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Hot Works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Hot Works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Hot work is defined as any process that can act as a source of ignition when flammable or explosive materials are present, or that poses a fire hazard regardless of flammable material presence, including: welding; soldering; grinding; cutting; brazing; and burning.</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hot works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hot work activities it governs, and the project lifecycle phases and personnel to which it applies.</w:t>
      </w:r>
    </w:p>
    <w:p>
      <w:pPr>
        <w:pStyle w:val="Heading2Numbered"/>
      </w:pPr>
      <w:r>
        <w:t>3.1  Purpose of This Document</w:t>
      </w:r>
    </w:p>
    <w:p>
      <w:pPr>
        <w:pStyle w:val="NormalNumberedtext"/>
      </w:pPr>
      <w:r>
        <w:t>This section states the purpose of this procedure and the requirements it establishes for controlling hot work on the project.</w:t>
      </w:r>
    </w:p>
    <w:p>
      <w:pPr>
        <w:pStyle w:val="NormalNumberedtext"/>
      </w:pPr>
      <w:r>
        <w:t>This procedure establishes the minimum requirements for identifying, planning, and controlling hot work activities on the project. It defines the hazardous area designation process, permit requirements, gas detection standards, fire protection measures, and controls for hot work on in-service equipment.</w:t>
      </w:r>
    </w:p>
    <w:p>
      <w:pPr>
        <w:pStyle w:val="NormalNumberedtext"/>
      </w:pPr>
      <w:r>
        <w:t>This procedure applies to all personnel on the project, including Rio Tinto staff and all contractor organisations. It applies from the commencement of execution through to project handover.</w:t>
      </w:r>
    </w:p>
    <w:p>
      <w:pPr>
        <w:pStyle w:val="NormalNumberedtext"/>
      </w:pPr>
      <w:r>
        <w:t>Hot work risk assessments are conducted in accordance with the project risk management process. Refer RTPR-HSE-PRO-0002 for the risk assessment methodology. Hot work competency requirements are governed by RTPR-HSE-PRO-0004.</w:t>
      </w:r>
    </w:p>
    <w:p>
      <w:pPr>
        <w:pStyle w:val="Heading2Numbered"/>
      </w:pPr>
      <w:r>
        <w:t>3.2  Definition of Hot Work</w:t>
      </w:r>
    </w:p>
    <w:p>
      <w:pPr>
        <w:pStyle w:val="NormalNumberedtext"/>
      </w:pPr>
      <w:r>
        <w:t>This section defines hot work and the specific activities that trigger the requirements of this procedure.</w:t>
      </w:r>
    </w:p>
    <w:p>
      <w:pPr>
        <w:pStyle w:val="NormalNumberedtext"/>
      </w:pPr>
      <w:r>
        <w:t>Hot work is any activity that generates a flame, spark, arc, or heat sufficient to ignite a flammable or combustible material. The following activities are defined as hot work and trigger the requirements of this procedure:</w:t>
      </w:r>
    </w:p>
    <w:p>
      <w:pPr>
        <w:pStyle w:val="NormalNumberedtext"/>
      </w:pPr>
      <w:r>
        <w:t>Activities classified as hot work on this project include:</w:t>
      </w:r>
    </w:p>
    <w:p>
      <w:pPr>
        <w:pStyle w:val="NumberedBulletL1"/>
      </w:pPr>
      <w:r>
        <w:t>Welding — oxy-acetylene, MIG, TIG, stick, and plasma processes</w:t>
      </w:r>
    </w:p>
    <w:p>
      <w:pPr>
        <w:pStyle w:val="NumberedBulletL1"/>
      </w:pPr>
      <w:r>
        <w:t>Thermal cutting — oxy-fuel cutting, plasma cutting, and angle grinding producing sparks</w:t>
      </w:r>
    </w:p>
    <w:p>
      <w:pPr>
        <w:pStyle w:val="NumberedBulletL1"/>
      </w:pPr>
      <w:r>
        <w:t>Brazing and soldering</w:t>
      </w:r>
    </w:p>
    <w:p>
      <w:pPr>
        <w:pStyle w:val="NumberedBulletL1"/>
      </w:pPr>
      <w:r>
        <w:t>Heat treatment using open flame or resistance heating</w:t>
      </w:r>
    </w:p>
    <w:p>
      <w:pPr>
        <w:pStyle w:val="NumberedBulletL1"/>
      </w:pPr>
      <w:r>
        <w:t>Use of open-flame equipment including blow torches and heat guns</w:t>
      </w:r>
    </w:p>
    <w:p>
      <w:pPr>
        <w:pStyle w:val="NumberedBulletL1"/>
      </w:pPr>
      <w:r>
        <w:t>Operation of internal combustion engines within a designated hazardous area</w:t>
      </w:r>
    </w:p>
    <w:p>
      <w:pPr>
        <w:pStyle w:val="NumberedBulletL1"/>
      </w:pPr>
      <w:r>
        <w:rPr>
          <w:color w:val="C55A11"/>
        </w:rPr>
        <w:t>Any other activity determined by the HSESC Manager to present an ignition risk in a specific location</w:t>
      </w:r>
    </w:p>
    <w:p>
      <w:pPr>
        <w:pStyle w:val="Heading1Numbered"/>
      </w:pPr>
      <w:r>
        <w:t>4  Hazard Area Designation and Permit</w:t>
      </w:r>
    </w:p>
    <w:p>
      <w:pPr>
        <w:pStyle w:val="NormalNumberedtext"/>
      </w:pPr>
      <w:r>
        <w:t>This section defines the process for designating hazardous areas on the project site and the permit requirements that apply before any hot work commences.</w:t>
      </w:r>
    </w:p>
    <w:p>
      <w:pPr>
        <w:pStyle w:val="Heading2Numbered"/>
      </w:pPr>
      <w:r>
        <w:t>4.1  Hazardous Area Designation</w:t>
      </w:r>
    </w:p>
    <w:p>
      <w:pPr>
        <w:pStyle w:val="NormalNumberedtext"/>
      </w:pPr>
      <w:r>
        <w:t>This section defines the requirements for identifying and classifying areas where hot work presents a fire or explosion risk.</w:t>
      </w:r>
    </w:p>
    <w:p>
      <w:pPr>
        <w:pStyle w:val="NormalNumberedtext"/>
      </w:pPr>
      <w:r>
        <w:t>The HSESC Manager ensures that hazardous areas are designated across the project site before hot work commences. Designation identifies all areas where hot work presents a fire or explosion risk and assigns each area a classification that determines the controls required before work may proceed.</w:t>
      </w:r>
    </w:p>
    <w:p>
      <w:pPr>
        <w:pStyle w:val="NormalNumberedtext"/>
      </w:pPr>
      <w:r>
        <w:t>The area classification system for this project applies the following three categories:</w:t>
      </w:r>
    </w:p>
    <w:p>
      <w:pPr>
        <w:pStyle w:val="NormalNumberedtext"/>
      </w:pPr>
      <w:r>
        <w:t>Table: Hazardous Area Classifications for Hot Work</w:t>
      </w:r>
    </w:p>
    <w:tbl>
      <w:tblPr>
        <w:tblStyle w:val="TableOption2"/>
        <w:tblW w:type="pct" w:w="5000"/>
      </w:tblPr>
      <w:tr>
        <w:trPr>
          <w:tblHeader/>
        </w:trPr>
        <w:tc>
          <w:tcPr>
            <w:shd w:val="clear" w:color="auto" w:fill="1F3864"/>
          </w:tcPr>
          <w:p>
            <w:pPr>
              <w:pStyle w:val="TableContents"/>
            </w:pPr>
            <w:r>
              <w:rPr>
                <w:b/>
                <w:bCs/>
                <w:color w:val="FFFFFF"/>
              </w:rPr>
              <w:t>Area Classification</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Hot Work Status</w:t>
            </w:r>
          </w:p>
        </w:tc>
        <w:tc>
          <w:tcPr>
            <w:shd w:val="clear" w:color="auto" w:fill="1F3864"/>
          </w:tcPr>
          <w:p>
            <w:pPr>
              <w:pStyle w:val="TableContents"/>
            </w:pPr>
            <w:r>
              <w:rPr>
                <w:b/>
                <w:bCs/>
                <w:color w:val="FFFFFF"/>
              </w:rPr>
              <w:t>Project Area Reference</w:t>
            </w:r>
          </w:p>
        </w:tc>
      </w:tr>
      <w:tr>
        <w:tc>
          <w:tcPr/>
          <w:p>
            <w:pPr>
              <w:pStyle w:val="TableContents"/>
            </w:pPr>
            <w:r>
              <w:t>Prohibited</w:t>
            </w:r>
          </w:p>
        </w:tc>
        <w:tc>
          <w:tcPr/>
          <w:p>
            <w:pPr>
              <w:pStyle w:val="TableContents"/>
            </w:pPr>
            <w:r>
              <w:t>Areas where flammable or explosive atmospheres are present or cannot be reliably excluded. Hot work is not permitted under any circumstances.</w:t>
            </w:r>
          </w:p>
        </w:tc>
        <w:tc>
          <w:tcPr/>
          <w:p>
            <w:pPr>
              <w:pStyle w:val="TableContents"/>
            </w:pPr>
            <w:r>
              <w:t>Not permitted</w:t>
            </w:r>
          </w:p>
        </w:tc>
        <w:tc>
          <w:tcPr/>
          <w:p>
            <w:pPr>
              <w:pStyle w:val="TableContents"/>
            </w:pPr>
            <w:r>
              <w:rPr>
                <w:b/>
                <w:bCs/>
                <w:color w:val="0059D1"/>
              </w:rPr>
              <w:t>[INSERT: area list or site map reference]</w:t>
            </w:r>
          </w:p>
        </w:tc>
      </w:tr>
      <w:tr>
        <w:tc>
          <w:tcPr/>
          <w:p>
            <w:pPr>
              <w:pStyle w:val="TableContents"/>
            </w:pPr>
            <w:r>
              <w:t>Restricted</w:t>
            </w:r>
          </w:p>
        </w:tc>
        <w:tc>
          <w:tcPr/>
          <w:p>
            <w:pPr>
              <w:pStyle w:val="TableContents"/>
            </w:pPr>
            <w:r>
              <w:t>Areas where flammable materials are present or in close proximity. Hot work requires elevated controls and specific written authorisation.</w:t>
            </w:r>
          </w:p>
        </w:tc>
        <w:tc>
          <w:tcPr/>
          <w:p>
            <w:pPr>
              <w:pStyle w:val="TableContents"/>
            </w:pPr>
            <w:r>
              <w:t>Permitted with elevated controls</w:t>
            </w:r>
          </w:p>
        </w:tc>
        <w:tc>
          <w:tcPr/>
          <w:p>
            <w:pPr>
              <w:pStyle w:val="TableContents"/>
            </w:pPr>
            <w:r>
              <w:rPr>
                <w:b/>
                <w:bCs/>
                <w:color w:val="0059D1"/>
              </w:rPr>
              <w:t>[INSERT: area list or site map reference]</w:t>
            </w:r>
          </w:p>
        </w:tc>
      </w:tr>
      <w:tr>
        <w:tc>
          <w:tcPr/>
          <w:p>
            <w:pPr>
              <w:pStyle w:val="TableContents"/>
            </w:pPr>
            <w:r>
              <w:t>Controlled</w:t>
            </w:r>
          </w:p>
        </w:tc>
        <w:tc>
          <w:tcPr/>
          <w:p>
            <w:pPr>
              <w:pStyle w:val="TableContents"/>
            </w:pPr>
            <w:r>
              <w:t>Areas where the risk of ignition is low but standard hot work controls are required.</w:t>
            </w:r>
          </w:p>
        </w:tc>
        <w:tc>
          <w:tcPr/>
          <w:p>
            <w:pPr>
              <w:pStyle w:val="TableContents"/>
            </w:pPr>
            <w:r>
              <w:t>Permitted with standard controls</w:t>
            </w:r>
          </w:p>
        </w:tc>
        <w:tc>
          <w:tcPr/>
          <w:p>
            <w:pPr>
              <w:pStyle w:val="TableContents"/>
            </w:pPr>
            <w:r>
              <w:rPr>
                <w:b/>
                <w:bCs/>
                <w:color w:val="0059D1"/>
              </w:rPr>
              <w:t>[INSERT: area list or site map reference]</w:t>
            </w:r>
          </w:p>
        </w:tc>
      </w:tr>
    </w:tbl>
    <w:p>
      <w:pPr>
        <w:pStyle w:val="Default"/>
      </w:pPr>
    </w:p>
    <w:tbl>
      <w:tblPr>
        <w:tblStyle w:val="TableOption1"/>
        <w:tblW w:type="pct" w:w="5000"/>
      </w:tblPr>
      <w:tr>
        <w:tc>
          <w:tcPr>
            <w:shd w:val="clear" w:color="auto" w:fill="FFF2CC"/>
          </w:tcPr>
          <w:p>
            <w:pPr>
              <w:pStyle w:val="Instructions"/>
            </w:pPr>
            <w:r>
              <w:rPr>
                <w:b/>
                <w:bCs/>
                <w:color w:val="C55A11"/>
              </w:rPr>
              <w:t>[INSERT: 1] Define the project-specific hazardous area designations before work commences. Identify all areas of the site where hot work is prohibited, restricted, or requires elevated controls, and insert a site map reference or area list in the table above.</w:t>
            </w:r>
          </w:p>
        </w:tc>
      </w:tr>
    </w:tbl>
    <w:p>
      <w:pPr>
        <w:pStyle w:val="Default"/>
      </w:pPr>
    </w:p>
    <w:p>
      <w:pPr>
        <w:pStyle w:val="NormalNumberedtext"/>
      </w:pPr>
      <w:r>
        <w:t>The HSESC Manager reviews and updates the hazardous area designations whenever a scope change, new process activity, or management of change outcome introduces a new ignition risk to any part of the site. The current designations are maintained in the project HSESC document management system.</w:t>
      </w:r>
    </w:p>
    <w:p>
      <w:pPr>
        <w:pStyle w:val="NormalNumberedtext"/>
      </w:pPr>
      <w:r>
        <w:t>Flammable substance controls associated with hazardous area designation are governed by the project chemicals management process. Refer RTPR-HSE-PRO-0012 for flammable substance controls.</w:t>
      </w:r>
    </w:p>
    <w:p>
      <w:pPr>
        <w:pStyle w:val="Heading2Numbered"/>
      </w:pPr>
      <w:r>
        <w:t>4.2  Hot Works Permit Requirements</w:t>
      </w:r>
    </w:p>
    <w:p>
      <w:pPr>
        <w:pStyle w:val="NormalNumberedtext"/>
      </w:pPr>
      <w:r>
        <w:t>This section defines the permit requirement for all hot work activities and the minimum content the permit must contain.</w:t>
      </w:r>
    </w:p>
    <w:p>
      <w:pPr>
        <w:pStyle w:val="NormalNumberedtext"/>
      </w:pPr>
      <w:r>
        <w:t>The work supervisor ensures that a Hot Works Permit is raised via the site PTW system before commencing any hot work activity. Refer RTPR-HSE-PRO-0021 for the permit to work process, including permit raise, approval, and close-out requirements.</w:t>
      </w:r>
    </w:p>
    <w:p>
      <w:pPr>
        <w:pStyle w:val="NormalNumberedtext"/>
      </w:pPr>
      <w:r>
        <w:t>Every Hot Works Permit must contain the following minimum content before it is approved:</w:t>
      </w:r>
    </w:p>
    <w:p>
      <w:pPr>
        <w:pStyle w:val="NormalNumberedtext"/>
      </w:pPr>
      <w:r>
        <w:t>Minimum Hot Works Permit content:</w:t>
      </w:r>
    </w:p>
    <w:p>
      <w:pPr>
        <w:pStyle w:val="NumberedBulletL1"/>
      </w:pPr>
      <w:r>
        <w:t>Location of the work, including area classification</w:t>
      </w:r>
    </w:p>
    <w:p>
      <w:pPr>
        <w:pStyle w:val="NumberedBulletL1"/>
      </w:pPr>
      <w:r>
        <w:t>Description of the work activity and the hot work process to be used</w:t>
      </w:r>
    </w:p>
    <w:p>
      <w:pPr>
        <w:pStyle w:val="NumberedBulletL1"/>
      </w:pPr>
      <w:r>
        <w:t>Safe welding area classification for the nominated location</w:t>
      </w:r>
    </w:p>
    <w:p>
      <w:pPr>
        <w:pStyle w:val="NumberedBulletL1"/>
      </w:pPr>
      <w:r>
        <w:t>Gas detection pre-work results, including the instrument used, the reading obtained, and the time of test</w:t>
      </w:r>
    </w:p>
    <w:p>
      <w:pPr>
        <w:pStyle w:val="NumberedBulletL1"/>
      </w:pPr>
      <w:r>
        <w:t>Fire protection measures confirmed as in place before work commences</w:t>
      </w:r>
    </w:p>
    <w:p>
      <w:pPr>
        <w:pStyle w:val="NumberedBulletL1"/>
      </w:pPr>
      <w:r>
        <w:t>Identity of the assigned fire watch and the fire watch period, including the post-completion monitoring duration</w:t>
      </w:r>
    </w:p>
    <w:p>
      <w:pPr>
        <w:pStyle w:val="NumberedBulletL1"/>
      </w:pPr>
      <w:r>
        <w:t>Permit duration, including the permitted start time and expiry time</w:t>
      </w:r>
    </w:p>
    <w:p>
      <w:pPr>
        <w:pStyle w:val="NormalNumberedtext"/>
      </w:pPr>
      <w:r>
        <w:t>Fire prevention, detection, and suppression systems in the work area are confirmed as functional before the Hot Works Permit is approved. Hot work control requirements are integrated with the site emergency response plan. Refer RTPR-HSE-PRO-0041 for fire emergency response requirements.</w:t>
      </w:r>
    </w:p>
    <w:p>
      <w:pPr>
        <w:pStyle w:val="Heading1Numbered"/>
      </w:pPr>
      <w:r>
        <w:t>5  Gas Detection</w:t>
      </w:r>
    </w:p>
    <w:p>
      <w:pPr>
        <w:pStyle w:val="NormalNumberedtext"/>
      </w:pPr>
      <w:r>
        <w:t>This section defines the gas detection requirements that apply before and during all hot work activities, including equipment standards, testing frequency, and action levels.</w:t>
      </w:r>
    </w:p>
    <w:p>
      <w:pPr>
        <w:pStyle w:val="Heading2Numbered"/>
      </w:pPr>
      <w:r>
        <w:t>5.1  Pre-Work Atmospheric Testing</w:t>
      </w:r>
    </w:p>
    <w:p>
      <w:pPr>
        <w:pStyle w:val="NormalNumberedtext"/>
      </w:pPr>
      <w:r>
        <w:t>This section defines the atmospheric testing requirements that must be completed and recorded before any hot work permit is approved.</w:t>
      </w:r>
    </w:p>
    <w:p>
      <w:pPr>
        <w:pStyle w:val="NormalNumberedtext"/>
      </w:pPr>
      <w:r>
        <w:t>The work supervisor ensures that the atmosphere at the hot work location is tested for flammable gases and vapours before the Hot Works Permit is approved and before work commences. The test result is recorded on the permit.</w:t>
      </w:r>
    </w:p>
    <w:p>
      <w:pPr>
        <w:pStyle w:val="NormalNumberedtext"/>
      </w:pPr>
      <w:r>
        <w:t>Hot work must not commence if the gas reading at the work location equals or exceeds 10% of the Lower Explosive Limit (LEL). The work supervisor suspends preparation activities, identifies the source of the reading, and does not allow work to proceed until the atmosphere has been re-tested and confirmed below the action level.</w:t>
      </w:r>
    </w:p>
    <w:p>
      <w:pPr>
        <w:pStyle w:val="NormalNumberedtext"/>
      </w:pPr>
      <w:r>
        <w:t>Gas detection equipment used on this project must meet the following requirements:</w:t>
      </w:r>
    </w:p>
    <w:p>
      <w:pPr>
        <w:pStyle w:val="NormalNumberedtext"/>
      </w:pPr>
      <w:r>
        <w:t>Table: Gas Detection Equipment Requirements</w:t>
      </w:r>
    </w:p>
    <w:tbl>
      <w:tblPr>
        <w:tblStyle w:val="TableOption2"/>
        <w:tblW w:type="pct" w:w="5000"/>
      </w:tblPr>
      <w:tr>
        <w:trPr>
          <w:tblHeader/>
        </w:trPr>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Standard</w:t>
            </w:r>
          </w:p>
        </w:tc>
        <w:tc>
          <w:tcPr>
            <w:shd w:val="clear" w:color="auto" w:fill="1F3864"/>
          </w:tcPr>
          <w:p>
            <w:pPr>
              <w:pStyle w:val="TableContents"/>
            </w:pPr>
            <w:r>
              <w:rPr>
                <w:b/>
                <w:bCs/>
                <w:color w:val="FFFFFF"/>
              </w:rPr>
              <w:t>Project Specification</w:t>
            </w:r>
          </w:p>
        </w:tc>
      </w:tr>
      <w:tr>
        <w:tc>
          <w:tcPr/>
          <w:p>
            <w:pPr>
              <w:pStyle w:val="TableContents"/>
            </w:pPr>
            <w:r>
              <w:t>Approved instruments</w:t>
            </w:r>
          </w:p>
        </w:tc>
        <w:tc>
          <w:tcPr/>
          <w:p>
            <w:pPr>
              <w:pStyle w:val="TableContents"/>
            </w:pPr>
            <w:r>
              <w:t>Calibrated, intrinsically safe, multi-gas capable devices capable of detecting flammable gas as % LEL</w:t>
            </w:r>
          </w:p>
        </w:tc>
        <w:tc>
          <w:tcPr/>
          <w:p>
            <w:pPr>
              <w:pStyle w:val="TableContents"/>
            </w:pPr>
            <w:r>
              <w:rPr>
                <w:b/>
                <w:bCs/>
                <w:color w:val="0059D1"/>
              </w:rPr>
              <w:t>[INSERT: list of project-approved gas detection instruments]</w:t>
            </w:r>
          </w:p>
        </w:tc>
      </w:tr>
      <w:tr>
        <w:tc>
          <w:tcPr/>
          <w:p>
            <w:pPr>
              <w:pStyle w:val="TableContents"/>
            </w:pPr>
            <w:r>
              <w:t>Bump test frequency</w:t>
            </w:r>
          </w:p>
        </w:tc>
        <w:tc>
          <w:tcPr/>
          <w:p>
            <w:pPr>
              <w:pStyle w:val="TableContents"/>
            </w:pPr>
            <w:r>
              <w:t>Before each use</w:t>
            </w:r>
          </w:p>
        </w:tc>
        <w:tc>
          <w:tcPr/>
          <w:p>
            <w:pPr>
              <w:pStyle w:val="TableContents"/>
            </w:pPr>
            <w:r>
              <w:t>{'suggested': True, 'text': 'Bump test performed on each instrument before each shift in which the instrument will be used, with result recorded in the instrument log'}</w:t>
            </w:r>
          </w:p>
        </w:tc>
      </w:tr>
      <w:tr>
        <w:tc>
          <w:tcPr/>
          <w:p>
            <w:pPr>
              <w:pStyle w:val="TableContents"/>
            </w:pPr>
            <w:r>
              <w:t>Calibration frequency</w:t>
            </w:r>
          </w:p>
        </w:tc>
        <w:tc>
          <w:tcPr/>
          <w:p>
            <w:pPr>
              <w:pStyle w:val="TableContents"/>
            </w:pPr>
            <w:r>
              <w:t>In accordance with manufacturer specification and site calibration register</w:t>
            </w:r>
          </w:p>
        </w:tc>
        <w:tc>
          <w:tcPr/>
          <w:p>
            <w:pPr>
              <w:pStyle w:val="TableContents"/>
            </w:pPr>
            <w:r>
              <w:t>{'suggested': True, 'text': 'Full calibration performed at intervals not exceeding six months, or following any incident involving the instrument'}</w:t>
            </w:r>
          </w:p>
        </w:tc>
      </w:tr>
      <w:tr>
        <w:tc>
          <w:tcPr/>
          <w:p>
            <w:pPr>
              <w:pStyle w:val="TableContents"/>
            </w:pPr>
            <w:r>
              <w:t>Action level — suspend hot work</w:t>
            </w:r>
          </w:p>
        </w:tc>
        <w:tc>
          <w:tcPr/>
          <w:p>
            <w:pPr>
              <w:pStyle w:val="TableContents"/>
            </w:pPr>
            <w:r>
              <w:t>Below 10% LEL required to proceed; at or above 10% LEL hot work must be suspended</w:t>
            </w:r>
          </w:p>
        </w:tc>
        <w:tc>
          <w:tcPr/>
          <w:p>
            <w:pPr>
              <w:pStyle w:val="TableContents"/>
            </w:pPr>
            <w:r>
              <w:t>10% LEL — work suspended; source identified; atmosphere re-tested before recommencing</w:t>
            </w:r>
          </w:p>
        </w:tc>
      </w:tr>
    </w:tbl>
    <w:p>
      <w:pPr>
        <w:pStyle w:val="Default"/>
      </w:pPr>
    </w:p>
    <w:tbl>
      <w:tblPr>
        <w:tblStyle w:val="TableOption1"/>
        <w:tblW w:type="pct" w:w="5000"/>
      </w:tblPr>
      <w:tr>
        <w:tc>
          <w:tcPr>
            <w:shd w:val="clear" w:color="auto" w:fill="FFF2CC"/>
          </w:tcPr>
          <w:p>
            <w:pPr>
              <w:pStyle w:val="Instructions"/>
            </w:pPr>
            <w:r>
              <w:rPr>
                <w:b/>
                <w:bCs/>
                <w:color w:val="C55A11"/>
              </w:rPr>
              <w:t>[INSERT: 2] Define the gas detection equipment approved for use on this project and confirm the action levels in the table above. Specify the approved instrument models available on this project site.</w:t>
            </w:r>
          </w:p>
        </w:tc>
      </w:tr>
    </w:tbl>
    <w:p>
      <w:pPr>
        <w:pStyle w:val="Default"/>
      </w:pPr>
    </w:p>
    <w:p>
      <w:pPr>
        <w:pStyle w:val="Heading2Numbered"/>
      </w:pPr>
      <w:r>
        <w:t>5.2  Continuous Monitoring During Hot Work</w:t>
      </w:r>
    </w:p>
    <w:p>
      <w:pPr>
        <w:pStyle w:val="NormalNumberedtext"/>
      </w:pPr>
      <w:r>
        <w:t>This section defines the continuous monitoring requirements for hot work in areas where gas accumulation could recur during the task.</w:t>
      </w:r>
    </w:p>
    <w:p>
      <w:pPr>
        <w:pStyle w:val="NormalNumberedtext"/>
      </w:pPr>
      <w:r>
        <w:t>Where hot work is performed in proximity to process equipment, drains, sumps, enclosed spaces, or any other location where flammable gas accumulation could recur during the task, the Hot Works Permit specifies a continuous monitoring requirement. Continuous monitoring means the atmosphere is tested at defined intervals throughout the work activity, with results recorded on the permit or an attached monitoring log.</w:t>
      </w:r>
    </w:p>
    <w:p>
      <w:pPr>
        <w:pStyle w:val="NormalNumberedtext"/>
      </w:pPr>
      <w:r>
        <w:t>The following criteria govern continuous monitoring requirements:</w:t>
      </w:r>
    </w:p>
    <w:p>
      <w:pPr>
        <w:pStyle w:val="NormalNumberedtext"/>
      </w:pPr>
      <w:r>
        <w:t>Table: Continuous Gas Monitoring Requirements</w:t>
      </w:r>
    </w:p>
    <w:tbl>
      <w:tblPr>
        <w:tblStyle w:val="TableOption2"/>
        <w:tblW w:type="pct" w:w="5000"/>
      </w:tblPr>
      <w:tr>
        <w:trPr>
          <w:tblHeader/>
        </w:trPr>
        <w:tc>
          <w:tcPr>
            <w:shd w:val="clear" w:color="auto" w:fill="1F3864"/>
          </w:tcPr>
          <w:p>
            <w:pPr>
              <w:pStyle w:val="TableContents"/>
            </w:pPr>
            <w:r>
              <w:rPr>
                <w:b/>
                <w:bCs/>
                <w:color w:val="FFFFFF"/>
              </w:rPr>
              <w:t>Condition</w:t>
            </w:r>
          </w:p>
        </w:tc>
        <w:tc>
          <w:tcPr>
            <w:shd w:val="clear" w:color="auto" w:fill="1F3864"/>
          </w:tcPr>
          <w:p>
            <w:pPr>
              <w:pStyle w:val="TableContents"/>
            </w:pPr>
            <w:r>
              <w:rPr>
                <w:b/>
                <w:bCs/>
                <w:color w:val="FFFFFF"/>
              </w:rPr>
              <w:t>Monitoring Frequency</w:t>
            </w:r>
          </w:p>
        </w:tc>
        <w:tc>
          <w:tcPr>
            <w:shd w:val="clear" w:color="auto" w:fill="1F3864"/>
          </w:tcPr>
          <w:p>
            <w:pPr>
              <w:pStyle w:val="TableContents"/>
            </w:pPr>
            <w:r>
              <w:rPr>
                <w:b/>
                <w:bCs/>
                <w:color w:val="FFFFFF"/>
              </w:rPr>
              <w:t>Suspension Criteria</w:t>
            </w:r>
          </w:p>
        </w:tc>
      </w:tr>
      <w:tr>
        <w:tc>
          <w:tcPr/>
          <w:p>
            <w:pPr>
              <w:pStyle w:val="TableContents"/>
            </w:pPr>
            <w:r>
              <w:t>Hot work adjacent to or above process drains or sumps</w:t>
            </w:r>
          </w:p>
        </w:tc>
        <w:tc>
          <w:tcPr/>
          <w:p>
            <w:pPr>
              <w:pStyle w:val="TableContents"/>
            </w:pPr>
            <w:r>
              <w:t>{'suggested': True, 'text': 'Every 15 minutes throughout the task'}</w:t>
            </w:r>
          </w:p>
        </w:tc>
        <w:tc>
          <w:tcPr/>
          <w:p>
            <w:pPr>
              <w:pStyle w:val="TableContents"/>
            </w:pPr>
            <w:r>
              <w:t>At or above 10% LEL — suspend immediately</w:t>
            </w:r>
          </w:p>
        </w:tc>
      </w:tr>
      <w:tr>
        <w:tc>
          <w:tcPr/>
          <w:p>
            <w:pPr>
              <w:pStyle w:val="TableContents"/>
            </w:pPr>
            <w:r>
              <w:t>Hot work within or adjacent to enclosed or semi-enclosed spaces</w:t>
            </w:r>
          </w:p>
        </w:tc>
        <w:tc>
          <w:tcPr/>
          <w:p>
            <w:pPr>
              <w:pStyle w:val="TableContents"/>
            </w:pPr>
            <w:r>
              <w:t>{'suggested': True, 'text': 'Continuous real-time monitoring with audible alarm set at 10% LEL'}</w:t>
            </w:r>
          </w:p>
        </w:tc>
        <w:tc>
          <w:tcPr/>
          <w:p>
            <w:pPr>
              <w:pStyle w:val="TableContents"/>
            </w:pPr>
            <w:r>
              <w:t>Alarm activation — suspend and evacuate</w:t>
            </w:r>
          </w:p>
        </w:tc>
      </w:tr>
      <w:tr>
        <w:tc>
          <w:tcPr/>
          <w:p>
            <w:pPr>
              <w:pStyle w:val="TableContents"/>
            </w:pPr>
            <w:r>
              <w:t>Hot work on or within 3 metres of in-service piping or vessels</w:t>
            </w:r>
          </w:p>
        </w:tc>
        <w:tc>
          <w:tcPr/>
          <w:p>
            <w:pPr>
              <w:pStyle w:val="TableContents"/>
            </w:pPr>
            <w:r>
              <w:t>{'suggested': True, 'text': 'Every 15 minutes throughout the task'}</w:t>
            </w:r>
          </w:p>
        </w:tc>
        <w:tc>
          <w:tcPr/>
          <w:p>
            <w:pPr>
              <w:pStyle w:val="TableContents"/>
            </w:pPr>
            <w:r>
              <w:t>At or above 10% LEL — suspend immediately</w:t>
            </w:r>
          </w:p>
        </w:tc>
      </w:tr>
      <w:tr>
        <w:tc>
          <w:tcPr/>
          <w:p>
            <w:pPr>
              <w:pStyle w:val="TableContents"/>
            </w:pPr>
            <w:r>
              <w:rPr>
                <w:b/>
                <w:bCs/>
                <w:color w:val="0059D1"/>
              </w:rPr>
              <w:t>[INSERT: other project-specific condition]</w:t>
            </w:r>
          </w:p>
        </w:tc>
        <w:tc>
          <w:tcPr/>
          <w:p>
            <w:pPr>
              <w:pStyle w:val="TableContents"/>
            </w:pPr>
            <w:r>
              <w:rPr>
                <w:b/>
                <w:bCs/>
                <w:color w:val="0059D1"/>
              </w:rPr>
              <w:t>[INSERT: monitoring frequency]</w:t>
            </w:r>
          </w:p>
        </w:tc>
        <w:tc>
          <w:tcPr/>
          <w:p>
            <w:pPr>
              <w:pStyle w:val="TableContents"/>
            </w:pPr>
            <w:r>
              <w:rPr>
                <w:b/>
                <w:bCs/>
                <w:color w:val="0059D1"/>
              </w:rPr>
              <w:t>[INSERT: suspension criteria]</w:t>
            </w:r>
          </w:p>
        </w:tc>
      </w:tr>
    </w:tbl>
    <w:p>
      <w:pPr>
        <w:pStyle w:val="Default"/>
      </w:pPr>
    </w:p>
    <w:p>
      <w:pPr>
        <w:pStyle w:val="NormalNumberedtext"/>
      </w:pPr>
      <w:r>
        <w:t>When hot work is suspended due to a gas reading at or above the action level, the work supervisor records the reading on the permit, identifies and addresses the gas source, and confirms the atmosphere is re-tested and below the action level before authorising work to recommence. If the source cannot be identified and controlled, the permit is cancelled and the HSESC Manager is notified.</w:t>
      </w:r>
    </w:p>
    <w:p>
      <w:pPr>
        <w:pStyle w:val="Heading1Numbered"/>
      </w:pPr>
      <w:r>
        <w:t>6  Fire Protection</w:t>
      </w:r>
    </w:p>
    <w:p>
      <w:pPr>
        <w:pStyle w:val="NormalNumberedtext"/>
      </w:pPr>
      <w:r>
        <w:t>This section defines the minimum fire protection measures required for all hot work activities, including extinguisher requirements, fire watch assignment, combustible clearance zones, and spark containment.</w:t>
      </w:r>
    </w:p>
    <w:p>
      <w:pPr>
        <w:pStyle w:val="Heading2Numbered"/>
      </w:pPr>
      <w:r>
        <w:t>6.1  Minimum Fire Protection Requirements</w:t>
      </w:r>
    </w:p>
    <w:p>
      <w:pPr>
        <w:pStyle w:val="NormalNumberedtext"/>
      </w:pPr>
      <w:r>
        <w:t>This section defines the fire protection controls that must be confirmed in place before any Hot Works Permit is approved.</w:t>
      </w:r>
    </w:p>
    <w:p>
      <w:pPr>
        <w:pStyle w:val="NormalNumberedtext"/>
      </w:pPr>
      <w:r>
        <w:t>The work supervisor confirms that all required fire protection measures are in place before the Hot Works Permit is approved. Fire protection measures are recorded on the permit as a confirmed checklist item. No permit is approved until all applicable items below are confirmed:</w:t>
      </w:r>
    </w:p>
    <w:p>
      <w:pPr>
        <w:pStyle w:val="NormalNumberedtext"/>
      </w:pPr>
      <w:r>
        <w:t>Minimum fire protection requirements before hot work commences:</w:t>
      </w:r>
    </w:p>
    <w:p>
      <w:pPr>
        <w:pStyle w:val="NumberedBulletL1"/>
      </w:pPr>
      <w:r>
        <w:t>A minimum of one serviceable fire extinguisher of the correct class for the hazard present is positioned at the work location and immediately accessible to the fire watch</w:t>
      </w:r>
    </w:p>
    <w:p>
      <w:pPr>
        <w:pStyle w:val="NumberedBulletL1"/>
      </w:pPr>
      <w:r>
        <w:rPr>
          <w:color w:val="C55A11"/>
        </w:rPr>
        <w:t>A Class ABE dry powder extinguisher is positioned for general welding and cutting work; a CO2 extinguisher is positioned where electrical equipment is present; a wet chemical extinguisher is positioned where cooking oils or similar materials are present</w:t>
      </w:r>
    </w:p>
    <w:p>
      <w:pPr>
        <w:pStyle w:val="NumberedBulletL1"/>
      </w:pPr>
      <w:r>
        <w:t>All combustible materials within the clearance zone have been removed, covered with fire-resistant blankets, or wetted down before work commences</w:t>
      </w:r>
    </w:p>
    <w:p>
      <w:pPr>
        <w:pStyle w:val="NumberedBulletL1"/>
      </w:pPr>
      <w:r>
        <w:rPr>
          <w:color w:val="C55A11"/>
        </w:rPr>
        <w:t>A minimum combustible clearance radius of 10 metres applies for all hot work, unless the hot work risk assessment documents a justified alternative distance with additional controls</w:t>
      </w:r>
    </w:p>
    <w:p>
      <w:pPr>
        <w:pStyle w:val="NumberedBulletL1"/>
      </w:pPr>
      <w:r>
        <w:t>Spark and slag containment measures — including welding screens, fire-resistant blankets, and drip trays — are in place to prevent sparks reaching combustible materials or ignitable atmospheres</w:t>
      </w:r>
    </w:p>
    <w:p>
      <w:pPr>
        <w:pStyle w:val="NumberedBulletL1"/>
      </w:pPr>
      <w:r>
        <w:t>A dedicated fire watch is assigned and present at the work location before work commences</w:t>
      </w:r>
    </w:p>
    <w:p>
      <w:pPr>
        <w:pStyle w:val="Heading2Numbered"/>
      </w:pPr>
      <w:r>
        <w:t>6.2  Fire Watch Requirements</w:t>
      </w:r>
    </w:p>
    <w:p>
      <w:pPr>
        <w:pStyle w:val="NormalNumberedtext"/>
      </w:pPr>
      <w:r>
        <w:t>This section defines the fire watch role, the responsibilities during work, and the post-completion monitoring period required after hot work ends.</w:t>
      </w:r>
    </w:p>
    <w:p>
      <w:pPr>
        <w:pStyle w:val="NormalNumberedtext"/>
      </w:pPr>
      <w:r>
        <w:t>The fire watch is a dedicated role assigned for each Hot Works Permit. The fire watch person does not perform any other task during the period of assignment. The fire watch is identified by name on the Hot Works Permit before it is approved.</w:t>
      </w:r>
    </w:p>
    <w:p>
      <w:pPr>
        <w:pStyle w:val="NormalNumberedtext"/>
      </w:pPr>
      <w:r>
        <w:t>The fire watch performs the following duties:</w:t>
      </w:r>
    </w:p>
    <w:p>
      <w:pPr>
        <w:pStyle w:val="NormalNumberedtext"/>
      </w:pPr>
      <w:r>
        <w:t>Fire watch duties during and after hot work:</w:t>
      </w:r>
    </w:p>
    <w:p>
      <w:pPr>
        <w:pStyle w:val="NumberedBulletL1"/>
      </w:pPr>
      <w:r>
        <w:t>Monitor the work area continuously for sparks, slag, smoke, or signs of ignition throughout the hot work activity</w:t>
      </w:r>
    </w:p>
    <w:p>
      <w:pPr>
        <w:pStyle w:val="NumberedBulletL1"/>
      </w:pPr>
      <w:r>
        <w:t>Maintain immediate access to the fire extinguisher assigned to the task and use it at the first sign of ignition without waiting for instruction</w:t>
      </w:r>
    </w:p>
    <w:p>
      <w:pPr>
        <w:pStyle w:val="NumberedBulletL1"/>
      </w:pPr>
      <w:r>
        <w:t>Alert the work supervisor and site emergency response if a fire cannot be immediately controlled</w:t>
      </w:r>
    </w:p>
    <w:p>
      <w:pPr>
        <w:pStyle w:val="NumberedBulletL1"/>
      </w:pPr>
      <w:r>
        <w:t>Remain at the work location for the full post-completion monitoring period after hot work stops to confirm no latent ignition source remains</w:t>
      </w:r>
    </w:p>
    <w:p>
      <w:pPr>
        <w:pStyle w:val="NumberedBulletL1"/>
      </w:pPr>
      <w:r>
        <w:t>Confirm to the work supervisor when the post-completion monitoring period has elapsed and the area is clear before leaving the location</w:t>
      </w:r>
    </w:p>
    <w:p>
      <w:pPr>
        <w:pStyle w:val="NormalNumberedtext"/>
      </w:pPr>
      <w:r>
        <w:t>The fire watch is maintained for a defined period after hot work ends. The minimum post-completion fire watch period is determined by the risk assessment completed before the Hot Works Permit is issued. The project minimum periods are:</w:t>
      </w:r>
    </w:p>
    <w:p>
      <w:pPr>
        <w:pStyle w:val="NormalNumberedtext"/>
      </w:pPr>
      <w:r>
        <w:t>Table: Minimum Post-Completion Fire Watch Periods</w:t>
      </w:r>
    </w:p>
    <w:tbl>
      <w:tblPr>
        <w:tblStyle w:val="TableOption2"/>
        <w:tblW w:type="pct" w:w="5000"/>
      </w:tblPr>
      <w:tr>
        <w:trPr>
          <w:tblHeader/>
        </w:trPr>
        <w:tc>
          <w:tcPr>
            <w:shd w:val="clear" w:color="auto" w:fill="1F3864"/>
          </w:tcPr>
          <w:p>
            <w:pPr>
              <w:pStyle w:val="TableContents"/>
            </w:pPr>
            <w:r>
              <w:rPr>
                <w:b/>
                <w:bCs/>
                <w:color w:val="FFFFFF"/>
              </w:rPr>
              <w:t>Work Condition</w:t>
            </w:r>
          </w:p>
        </w:tc>
        <w:tc>
          <w:tcPr>
            <w:shd w:val="clear" w:color="auto" w:fill="1F3864"/>
          </w:tcPr>
          <w:p>
            <w:pPr>
              <w:pStyle w:val="TableContents"/>
            </w:pPr>
            <w:r>
              <w:rPr>
                <w:b/>
                <w:bCs/>
                <w:color w:val="FFFFFF"/>
              </w:rPr>
              <w:t>Minimum Post-Completion Fire Watch Period</w:t>
            </w:r>
          </w:p>
        </w:tc>
      </w:tr>
      <w:tr>
        <w:tc>
          <w:tcPr/>
          <w:p>
            <w:pPr>
              <w:pStyle w:val="TableContents"/>
            </w:pPr>
            <w:r>
              <w:t>{'text': 'Standard hot work on structural steel or open surfaces', 'suggested': False}</w:t>
            </w:r>
          </w:p>
        </w:tc>
        <w:tc>
          <w:tcPr/>
          <w:p>
            <w:pPr>
              <w:pStyle w:val="TableContents"/>
            </w:pPr>
            <w:r>
              <w:t>{'text': '30 minutes', 'suggested': True}</w:t>
            </w:r>
          </w:p>
        </w:tc>
      </w:tr>
      <w:tr>
        <w:tc>
          <w:tcPr/>
          <w:p>
            <w:pPr>
              <w:pStyle w:val="TableContents"/>
            </w:pPr>
            <w:r>
              <w:t>{'text': 'Hot work on or adjacent to insulated surfaces, timber, or other materials with latent heat retention', 'suggested': False}</w:t>
            </w:r>
          </w:p>
        </w:tc>
        <w:tc>
          <w:tcPr/>
          <w:p>
            <w:pPr>
              <w:pStyle w:val="TableContents"/>
            </w:pPr>
            <w:r>
              <w:t>{'text': '60 minutes', 'suggested': True}</w:t>
            </w:r>
          </w:p>
        </w:tc>
      </w:tr>
      <w:tr>
        <w:tc>
          <w:tcPr/>
          <w:p>
            <w:pPr>
              <w:pStyle w:val="TableContents"/>
            </w:pPr>
            <w:r>
              <w:t>{'text': 'Hot work on in-service equipment or within enclosed spaces', 'suggested': False}</w:t>
            </w:r>
          </w:p>
        </w:tc>
        <w:tc>
          <w:tcPr/>
          <w:p>
            <w:pPr>
              <w:pStyle w:val="TableContents"/>
            </w:pPr>
            <w:r>
              <w:t>{'text': '60 minutes minimum, or as extended by the risk assessment', 'suggested': True}</w:t>
            </w:r>
          </w:p>
        </w:tc>
      </w:tr>
      <w:tr>
        <w:tc>
          <w:tcPr/>
          <w:p>
            <w:pPr>
              <w:pStyle w:val="TableContents"/>
            </w:pPr>
            <w:r>
              <w:rPr>
                <w:b/>
                <w:bCs/>
                <w:color w:val="0059D1"/>
              </w:rPr>
              <w:t>[INSERT: other project-specific condition]</w:t>
            </w:r>
          </w:p>
        </w:tc>
        <w:tc>
          <w:tcPr/>
          <w:p>
            <w:pPr>
              <w:pStyle w:val="TableContents"/>
            </w:pPr>
            <w:r>
              <w:rPr>
                <w:b/>
                <w:bCs/>
                <w:color w:val="0059D1"/>
              </w:rPr>
              <w:t>[INSERT: fire watch duration]</w:t>
            </w:r>
          </w:p>
        </w:tc>
      </w:tr>
    </w:tbl>
    <w:p>
      <w:pPr>
        <w:pStyle w:val="Default"/>
      </w:pPr>
    </w:p>
    <w:tbl>
      <w:tblPr>
        <w:tblStyle w:val="TableOption1"/>
        <w:tblW w:type="pct" w:w="5000"/>
      </w:tblPr>
      <w:tr>
        <w:tc>
          <w:tcPr>
            <w:shd w:val="clear" w:color="auto" w:fill="FFF2CC"/>
          </w:tcPr>
          <w:p>
            <w:pPr>
              <w:pStyle w:val="Instructions"/>
            </w:pPr>
            <w:r>
              <w:rPr>
                <w:b/>
                <w:bCs/>
                <w:color w:val="C55A11"/>
              </w:rPr>
              <w:t>[INSERT: 3] Define the fire watch duration requirement for this project after hot work completion. Review the suggested durations in the table above and adjust to reflect project-specific conditions before this procedure is issued.</w:t>
            </w:r>
          </w:p>
        </w:tc>
      </w:tr>
    </w:tbl>
    <w:p>
      <w:pPr>
        <w:pStyle w:val="Default"/>
      </w:pPr>
    </w:p>
    <w:p>
      <w:pPr>
        <w:pStyle w:val="NormalNumberedtext"/>
      </w:pPr>
      <w:r>
        <w:t>Fire emergency response requirements are governed by the project emergency response plan. Refer RTPR-HSE-PRO-0041. All fire and explosion incidents and near misses are reported per project requirements. Refer RTPR-HSE-PRO-0009.</w:t>
      </w:r>
    </w:p>
    <w:p>
      <w:pPr>
        <w:pStyle w:val="Heading1Numbered"/>
      </w:pPr>
      <w:r>
        <w:t>7  Hot Work on In-Service Equipment</w:t>
      </w:r>
    </w:p>
    <w:p>
      <w:pPr>
        <w:pStyle w:val="NormalNumberedtext"/>
      </w:pPr>
      <w:r>
        <w:t>This section defines the specific controls that apply when hot work is performed on or adjacent to tanks, vessels, or piping that may contain or have contained flammable, toxic, or reactive materials.</w:t>
      </w:r>
    </w:p>
    <w:p>
      <w:pPr>
        <w:pStyle w:val="Heading2Numbered"/>
      </w:pPr>
      <w:r>
        <w:t>7.1  Scope and Application</w:t>
      </w:r>
    </w:p>
    <w:p>
      <w:pPr>
        <w:pStyle w:val="NormalNumberedtext"/>
      </w:pPr>
      <w:r>
        <w:t>This section identifies the equipment types and conditions that trigger the elevated controls defined in this section.</w:t>
      </w:r>
    </w:p>
    <w:p>
      <w:pPr>
        <w:pStyle w:val="NormalNumberedtext"/>
      </w:pPr>
      <w:r>
        <w:t>The controls in this section apply whenever hot work is performed on or directly adjacent to tanks, vessels, piping, or other equipment that contains, or has previously contained, flammable, toxic, or reactive materials. These controls are in addition to the standard hot work requirements defined in Sections 2, 3, and 4.</w:t>
      </w:r>
    </w:p>
    <w:p>
      <w:pPr>
        <w:pStyle w:val="NormalNumberedtext"/>
      </w:pPr>
      <w:r>
        <w:t>The HSESC Manager determines whether the in-service equipment controls apply to a specific task based on the equipment history, current service content, and the proximity of the hot work to the equipment boundary. Where doubt exists, the in-service equipment controls apply.</w:t>
      </w:r>
    </w:p>
    <w:p>
      <w:pPr>
        <w:pStyle w:val="Heading2Numbered"/>
      </w:pPr>
      <w:r>
        <w:t>7.2  Isolation, Purging, and Atmospheric Testing</w:t>
      </w:r>
    </w:p>
    <w:p>
      <w:pPr>
        <w:pStyle w:val="NormalNumberedtext"/>
      </w:pPr>
      <w:r>
        <w:t>This section defines the isolation, purging, and atmospheric testing requirements before hot work on in-service equipment commences.</w:t>
      </w:r>
    </w:p>
    <w:p>
      <w:pPr>
        <w:pStyle w:val="NormalNumberedtext"/>
      </w:pPr>
      <w:r>
        <w:t>Before hot work commences on in-service equipment, all energy sources associated with the equipment are formally isolated and verified at zero energy using the site lockout/tagout procedure. Isolation is verified by the authorising supervisor before the Hot Works Permit is approved. Energy isolation applied to in-service equipment subject to hot work is governed by the site LOTO procedure.</w:t>
      </w:r>
    </w:p>
    <w:p>
      <w:pPr>
        <w:pStyle w:val="NormalNumberedtext"/>
      </w:pPr>
      <w:r>
        <w:t>The following sequence of controls applies to all hot work on in-service equipment and is completed in the order listed before the Hot Works Permit is approved:</w:t>
      </w:r>
    </w:p>
    <w:p>
      <w:pPr>
        <w:pStyle w:val="NormalNumberedtext"/>
      </w:pPr>
      <w:r>
        <w:t>Required sequence before hot work on in-service equipment:</w:t>
      </w:r>
    </w:p>
    <w:p>
      <w:pPr>
        <w:pStyle w:val="NumberedBulletL1"/>
      </w:pPr>
      <w:r>
        <w:t>All energy sources associated with the equipment are isolated, locked out, and tagged out in accordance with the site LOTO procedure, and zero energy state is verified</w:t>
      </w:r>
    </w:p>
    <w:p>
      <w:pPr>
        <w:pStyle w:val="NumberedBulletL1"/>
      </w:pPr>
      <w:r>
        <w:t>The equipment is physically isolated from all connected systems using blinds, spades, or physical disconnection — valve isolation alone is not acceptable as the sole isolation measure</w:t>
      </w:r>
    </w:p>
    <w:p>
      <w:pPr>
        <w:pStyle w:val="NumberedBulletL1"/>
      </w:pPr>
      <w:r>
        <w:t>The equipment interior is purged using an approved purging method until atmospheric testing confirms the absence of flammable, toxic, and oxygen-deficient conditions</w:t>
      </w:r>
    </w:p>
    <w:p>
      <w:pPr>
        <w:pStyle w:val="NumberedBulletL1"/>
      </w:pPr>
      <w:r>
        <w:rPr>
          <w:color w:val="C55A11"/>
        </w:rPr>
        <w:t>Nitrogen purging is used for vessels containing hydrocarbon residues; air purging is used only where the equipment service history and atmospheric test results confirm the absence of flammable residues</w:t>
      </w:r>
    </w:p>
    <w:p>
      <w:pPr>
        <w:pStyle w:val="NumberedBulletL1"/>
      </w:pPr>
      <w:r>
        <w:t>Atmospheric testing confirms oxygen content between 19.5% and 23.5%, flammable gas below 1% LEL, and toxic gas concentrations below the applicable occupational exposure limit before any work commences</w:t>
      </w:r>
    </w:p>
    <w:p>
      <w:pPr>
        <w:pStyle w:val="NumberedBulletL1"/>
      </w:pPr>
      <w:r>
        <w:t>The atmospheric test results are recorded on the Hot Works Permit together with the instrument identification, test time, and the name of the person who conducted the test</w:t>
      </w:r>
    </w:p>
    <w:p>
      <w:pPr>
        <w:pStyle w:val="Heading2Numbered"/>
      </w:pPr>
      <w:r>
        <w:t>7.3  Written Risk Assessment and Authorisation</w:t>
      </w:r>
    </w:p>
    <w:p>
      <w:pPr>
        <w:pStyle w:val="NormalNumberedtext"/>
      </w:pPr>
      <w:r>
        <w:t>This section defines the written risk assessment and approval requirements before hot work on in-service equipment is authorised.</w:t>
      </w:r>
    </w:p>
    <w:p>
      <w:pPr>
        <w:pStyle w:val="NormalNumberedtext"/>
      </w:pPr>
      <w:r>
        <w:t>Hot work on in-service equipment requires a written risk assessment completed before the Hot Works Permit is raised. The risk assessment is conducted in accordance with the project risk management process. Refer RTPR-HSE-PRO-0002. The risk assessment documents the equipment service history, the isolation and purging method selected, the atmospheric testing results, and all additional controls applied.</w:t>
      </w:r>
    </w:p>
    <w:p>
      <w:pPr>
        <w:pStyle w:val="NormalNumberedtext"/>
      </w:pPr>
      <w:r>
        <w:t>The authorisation process for hot work on in-service equipment on this project is as follows:</w:t>
      </w:r>
    </w:p>
    <w:p>
      <w:pPr>
        <w:pStyle w:val="NormalNumberedtext"/>
      </w:pPr>
      <w:r>
        <w:t>Table: Authorisation Requirements for Hot Work on In-Service Equipment</w:t>
      </w:r>
    </w:p>
    <w:tbl>
      <w:tblPr>
        <w:tblStyle w:val="TableOption2"/>
        <w:tblW w:type="pct" w:w="5000"/>
      </w:tblPr>
      <w:tr>
        <w:trPr>
          <w:tblHeader/>
        </w:trPr>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Project Specification</w:t>
            </w:r>
          </w:p>
        </w:tc>
      </w:tr>
      <w:tr>
        <w:tc>
          <w:tcPr/>
          <w:p>
            <w:pPr>
              <w:pStyle w:val="TableContents"/>
            </w:pPr>
            <w:r>
              <w:t>Written risk assessment completed and reviewed</w:t>
            </w:r>
          </w:p>
        </w:tc>
        <w:tc>
          <w:tcPr/>
          <w:p>
            <w:pPr>
              <w:pStyle w:val="TableContents"/>
            </w:pPr>
            <w:r>
              <w:rPr>
                <w:b/>
                <w:bCs/>
                <w:color w:val="0059D1"/>
              </w:rPr>
              <w:t>[INSERT: role responsible for completing the risk assessment]</w:t>
            </w:r>
          </w:p>
        </w:tc>
        <w:tc>
          <w:tcPr/>
          <w:p>
            <w:pPr>
              <w:pStyle w:val="TableContents"/>
            </w:pPr>
            <w:r>
              <w:rPr>
                <w:b/>
                <w:bCs/>
                <w:color w:val="0059D1"/>
              </w:rPr>
              <w:t>[INSERT: risk assessment template reference]</w:t>
            </w:r>
          </w:p>
        </w:tc>
      </w:tr>
      <w:tr>
        <w:tc>
          <w:tcPr/>
          <w:p>
            <w:pPr>
              <w:pStyle w:val="TableContents"/>
            </w:pPr>
            <w:r>
              <w:t>Isolation and purging plan documented and approved</w:t>
            </w:r>
          </w:p>
        </w:tc>
        <w:tc>
          <w:tcPr/>
          <w:p>
            <w:pPr>
              <w:pStyle w:val="TableContents"/>
            </w:pPr>
            <w:r>
              <w:rPr>
                <w:b/>
                <w:bCs/>
                <w:color w:val="0059D1"/>
              </w:rPr>
              <w:t>[INSERT: role responsible for approving the isolation plan]</w:t>
            </w:r>
          </w:p>
        </w:tc>
        <w:tc>
          <w:tcPr/>
          <w:p>
            <w:pPr>
              <w:pStyle w:val="TableContents"/>
            </w:pPr>
            <w:r>
              <w:rPr>
                <w:b/>
                <w:bCs/>
                <w:color w:val="0059D1"/>
              </w:rPr>
              <w:t>[INSERT: LOTO procedure reference]</w:t>
            </w:r>
          </w:p>
        </w:tc>
      </w:tr>
      <w:tr>
        <w:tc>
          <w:tcPr/>
          <w:p>
            <w:pPr>
              <w:pStyle w:val="TableContents"/>
            </w:pPr>
            <w:r>
              <w:t>Atmospheric testing results recorded and confirmed acceptable</w:t>
            </w:r>
          </w:p>
        </w:tc>
        <w:tc>
          <w:tcPr/>
          <w:p>
            <w:pPr>
              <w:pStyle w:val="TableContents"/>
            </w:pPr>
            <w:r>
              <w:rPr>
                <w:b/>
                <w:bCs/>
                <w:color w:val="0059D1"/>
              </w:rPr>
              <w:t>[INSERT: role responsible for confirming test results]</w:t>
            </w:r>
          </w:p>
        </w:tc>
        <w:tc>
          <w:tcPr/>
          <w:p>
            <w:pPr>
              <w:pStyle w:val="TableContents"/>
            </w:pPr>
            <w:r>
              <w:rPr>
                <w:b/>
                <w:bCs/>
                <w:color w:val="0059D1"/>
              </w:rPr>
              <w:t>[INSERT: acceptable range confirmation requirement]</w:t>
            </w:r>
          </w:p>
        </w:tc>
      </w:tr>
      <w:tr>
        <w:tc>
          <w:tcPr/>
          <w:p>
            <w:pPr>
              <w:pStyle w:val="TableContents"/>
            </w:pPr>
            <w:r>
              <w:t>Hot Works Permit approved for in-service equipment work</w:t>
            </w:r>
          </w:p>
        </w:tc>
        <w:tc>
          <w:tcPr/>
          <w:p>
            <w:pPr>
              <w:pStyle w:val="TableContents"/>
            </w:pPr>
            <w:r>
              <w:rPr>
                <w:b/>
                <w:bCs/>
                <w:color w:val="0059D1"/>
              </w:rPr>
              <w:t>[INSERT: minimum approval authority — e.g., Construction Manager or HSESC Manager]</w:t>
            </w:r>
          </w:p>
        </w:tc>
        <w:tc>
          <w:tcPr/>
          <w:p>
            <w:pPr>
              <w:pStyle w:val="TableContents"/>
            </w:pPr>
            <w:r>
              <w:rPr>
                <w:b/>
                <w:bCs/>
                <w:color w:val="0059D1"/>
              </w:rPr>
              <w:t>[INSERT: project approval authority]</w:t>
            </w:r>
          </w:p>
        </w:tc>
      </w:tr>
      <w:tr>
        <w:tc>
          <w:tcPr/>
          <w:p>
            <w:pPr>
              <w:pStyle w:val="TableContents"/>
            </w:pPr>
            <w:r>
              <w:t>Pre-work toolbox talk completed with work group</w:t>
            </w:r>
          </w:p>
        </w:tc>
        <w:tc>
          <w:tcPr/>
          <w:p>
            <w:pPr>
              <w:pStyle w:val="TableContents"/>
            </w:pPr>
            <w:r>
              <w:rPr>
                <w:b/>
                <w:bCs/>
                <w:color w:val="0059D1"/>
              </w:rPr>
              <w:t>[INSERT: work supervisor]</w:t>
            </w:r>
          </w:p>
        </w:tc>
        <w:tc>
          <w:tcPr/>
          <w:p>
            <w:pPr>
              <w:pStyle w:val="TableContents"/>
            </w:pPr>
            <w:r>
              <w:rPr>
                <w:b/>
                <w:bCs/>
                <w:color w:val="0059D1"/>
              </w:rPr>
              <w:t>[INSERT: toolbox talk record form reference]</w:t>
            </w:r>
          </w:p>
        </w:tc>
      </w:tr>
    </w:tbl>
    <w:p>
      <w:pPr>
        <w:pStyle w:val="Default"/>
      </w:pPr>
    </w:p>
    <w:tbl>
      <w:tblPr>
        <w:tblStyle w:val="TableOption1"/>
        <w:tblW w:type="pct" w:w="5000"/>
      </w:tblPr>
      <w:tr>
        <w:tc>
          <w:tcPr>
            <w:shd w:val="clear" w:color="auto" w:fill="FFF2CC"/>
          </w:tcPr>
          <w:p>
            <w:pPr>
              <w:pStyle w:val="Instructions"/>
            </w:pPr>
            <w:r>
              <w:rPr>
                <w:b/>
                <w:bCs/>
                <w:color w:val="C55A11"/>
              </w:rPr>
              <w:t>[INSERT: 4] Define the project approval process for hot work on in-service equipment. Complete the table above by nominating the role responsible for each step and confirming the documentation required before work commences.</w:t>
            </w:r>
          </w:p>
        </w:tc>
      </w:tr>
    </w:tbl>
    <w:p>
      <w:pPr>
        <w:pStyle w:val="Default"/>
      </w:pPr>
    </w:p>
    <w:p>
      <w:pPr>
        <w:pStyle w:val="NormalNumberedtext"/>
      </w:pPr>
      <w:r>
        <w:t>Flammable and toxic substance controls associated with in-service equipment are governed by the project chemicals management process. Refer RTPR-HSE-PRO-0012.</w:t>
      </w:r>
    </w:p>
    <w:p>
      <w:pPr>
        <w:pStyle w:val="Heading1Numbered"/>
      </w:pPr>
      <w:r>
        <w:t>8  SIMOPS Interface</w:t>
      </w:r>
    </w:p>
    <w:p>
      <w:pPr>
        <w:pStyle w:val="NormalNumberedtext"/>
      </w:pPr>
      <w:r>
        <w:t>This section defines the requirements for assessing hot work in proximity to other project activities through the project SIMOPS process and the conditions under which hot work must be suspended.</w:t>
      </w:r>
    </w:p>
    <w:p>
      <w:pPr>
        <w:pStyle w:val="Heading2Numbered"/>
      </w:pPr>
      <w:r>
        <w:t>8.1  SIMOPS Assessment for Hot Work</w:t>
      </w:r>
    </w:p>
    <w:p>
      <w:pPr>
        <w:pStyle w:val="NormalNumberedtext"/>
      </w:pPr>
      <w:r>
        <w:t>This section defines when a SIMOPS assessment is required for hot work and how outputs from that assessment govern permit approval.</w:t>
      </w:r>
    </w:p>
    <w:p>
      <w:pPr>
        <w:pStyle w:val="NormalNumberedtext"/>
      </w:pPr>
      <w:r>
        <w:t>Hot work in proximity to other project activities is assessed through the project SIMOPS process before the Hot Works Permit is approved. The SIMOPS assessment identifies concurrent activities that could introduce an ignition risk, a flammable atmosphere, or a conflicting emergency response requirement. The SIMOPS process is governed by RTPR-HSE-PRO-0022.</w:t>
      </w:r>
    </w:p>
    <w:p>
      <w:pPr>
        <w:pStyle w:val="NormalNumberedtext"/>
      </w:pPr>
      <w:r>
        <w:t>The following conditions are defined as prohibited combinations in the project SIMOPS Matrix and require hot work to be suspended until the conflicting activity ceases or is relocated:</w:t>
      </w:r>
    </w:p>
    <w:p>
      <w:pPr>
        <w:pStyle w:val="NormalNumberedtext"/>
      </w:pPr>
      <w:r>
        <w:t>Prohibited SIMOPS combinations for hot work:</w:t>
      </w:r>
    </w:p>
    <w:p>
      <w:pPr>
        <w:pStyle w:val="NumberedBulletL1"/>
      </w:pPr>
      <w:r>
        <w:t>Hot work and hydro-testing or pressure testing within the same work zone</w:t>
      </w:r>
    </w:p>
    <w:p>
      <w:pPr>
        <w:pStyle w:val="NumberedBulletL1"/>
      </w:pPr>
      <w:r>
        <w:t>Hot work and chemical handling or transfer of flammable substances within the same work zone</w:t>
      </w:r>
    </w:p>
    <w:p>
      <w:pPr>
        <w:pStyle w:val="NumberedBulletL1"/>
      </w:pPr>
      <w:r>
        <w:t>Hot work and confined space entry in the same or adjacent work zone where ventilation systems are shared</w:t>
      </w:r>
    </w:p>
    <w:p>
      <w:pPr>
        <w:pStyle w:val="NumberedBulletL1"/>
      </w:pPr>
      <w:r>
        <w:t>Hot work and activities that require the isolation or impairment of fire detection or suppression systems in the same area</w:t>
      </w:r>
    </w:p>
    <w:p>
      <w:pPr>
        <w:pStyle w:val="NumberedBulletL1"/>
      </w:pPr>
      <w:r>
        <w:rPr>
          <w:color w:val="C55A11"/>
        </w:rPr>
        <w:t>Hot work and commissioning activities involving live process fluids within a separation distance of 25 metres, unless a formal risk assessment documents approved compensating controls</w:t>
      </w:r>
    </w:p>
    <w:p>
      <w:pPr>
        <w:pStyle w:val="NumberedBulletL1"/>
      </w:pPr>
      <w:r>
        <w:rPr>
          <w:b/>
          <w:bCs/>
          <w:color w:val="0059D1"/>
        </w:rPr>
        <w:t>[INSERT: additional_prohibited_simops_combinations]</w:t>
      </w:r>
    </w:p>
    <w:p>
      <w:pPr>
        <w:pStyle w:val="NormalNumberedtext"/>
      </w:pPr>
      <w:r>
        <w:t>The SIMOPS Coordinator confirms that the hot work activity and any concurrent activities in the affected zone are recorded in the project daily SIMOPS review before the Hot Works Permit is approved for that day. Where a prohibited combination is identified, the permit is not approved until the conflicting activity is resolved.</w:t>
      </w: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Security Committee — the governance body responsible for overseeing HSEC performance and compliance on Rio Tinto owner-led projects.</w:t>
            </w:r>
          </w:p>
        </w:tc>
      </w:tr>
      <w:tr>
        <w:tc>
          <w:tcPr/>
          <w:p>
            <w:pPr>
              <w:pStyle w:val="TableContents"/>
            </w:pPr>
            <w:r>
              <w:t>PRO</w:t>
            </w:r>
          </w:p>
        </w:tc>
        <w:tc>
          <w:tcPr/>
          <w:p>
            <w:pPr>
              <w:pStyle w:val="TableContents"/>
            </w:pPr>
            <w:r>
              <w:t>Procedure — a controlled document that prescribes the mandatory steps, responsibilities and controls required to manage a specific activity or risk.</w:t>
            </w:r>
          </w:p>
        </w:tc>
      </w:tr>
      <w:tr>
        <w:tc>
          <w:tcPr/>
          <w:p>
            <w:pPr>
              <w:pStyle w:val="TableContents"/>
            </w:pPr>
            <w:r>
              <w:t>PTW</w:t>
            </w:r>
          </w:p>
        </w:tc>
        <w:tc>
          <w:tcPr/>
          <w:p>
            <w:pPr>
              <w:pStyle w:val="TableContents"/>
            </w:pPr>
            <w:r>
              <w:t>Permit to Work — a formal documented authorisation system that controls high-risk work activities by specifying conditions, controls and approvals required before, during and after the work.</w:t>
            </w:r>
          </w:p>
        </w:tc>
      </w:tr>
      <w:tr>
        <w:tc>
          <w:tcPr/>
          <w:p>
            <w:pPr>
              <w:pStyle w:val="TableContents"/>
            </w:pPr>
            <w:r>
              <w:t>SIMOPS</w:t>
            </w:r>
          </w:p>
        </w:tc>
        <w:tc>
          <w:tcPr/>
          <w:p>
            <w:pPr>
              <w:pStyle w:val="TableContents"/>
            </w:pPr>
            <w:r>
              <w:t>Simultaneous Operations — the concurrent execution of two or more activities within the same area or interface boundary that have the potential to adversely interact, requiring formal assessment and coordination to manage combined hazards.</w:t>
            </w:r>
          </w:p>
        </w:tc>
      </w:tr>
      <w:tr>
        <w:tc>
          <w:tcPr/>
          <w:p>
            <w:pPr>
              <w:pStyle w:val="TableContents"/>
            </w:pPr>
            <w:r>
              <w:t>HSE</w:t>
            </w:r>
          </w:p>
        </w:tc>
        <w:tc>
          <w:tcPr/>
          <w:p>
            <w:pPr>
              <w:pStyle w:val="TableContents"/>
            </w:pPr>
            <w:r>
              <w:t>Health, Safety and Environment — the discipline encompassing the identification, assessment and control of risks to people, assets and the environment arising from work activities.</w:t>
            </w:r>
          </w:p>
        </w:tc>
      </w:tr>
      <w:tr>
        <w:tc>
          <w:tcPr/>
          <w:p>
            <w:pPr>
              <w:pStyle w:val="TableContents"/>
            </w:pPr>
            <w:r>
              <w:t>RTPR</w:t>
            </w:r>
          </w:p>
        </w:tc>
        <w:tc>
          <w:tcPr/>
          <w:p>
            <w:pPr>
              <w:pStyle w:val="TableContents"/>
            </w:pPr>
            <w:r>
              <w:t>Rio Tinto Projects — the project delivery entity responsible for owner-led capital project execution under Rio Tinto governance frameworks.</w:t>
            </w:r>
          </w:p>
        </w:tc>
      </w:tr>
      <w:tr>
        <w:tc>
          <w:tcPr/>
          <w:p>
            <w:pPr>
              <w:pStyle w:val="TableContents"/>
            </w:pPr>
            <w:r>
              <w:t>ERP</w:t>
            </w:r>
          </w:p>
        </w:tc>
        <w:tc>
          <w:tcPr/>
          <w:p>
            <w:pPr>
              <w:pStyle w:val="TableContents"/>
            </w:pPr>
            <w:r>
              <w:t>Emergency Response Plan — the documented plan that defines roles, responsibilities, resources and procedures for responding to emergencies including fire and explosion events.</w:t>
            </w:r>
          </w:p>
        </w:tc>
      </w:tr>
      <w:tr>
        <w:tc>
          <w:tcPr/>
          <w:p>
            <w:pPr>
              <w:pStyle w:val="TableContents"/>
            </w:pPr>
            <w:r>
              <w:t>LEL</w:t>
            </w:r>
          </w:p>
        </w:tc>
        <w:tc>
          <w:tcPr/>
          <w:p>
            <w:pPr>
              <w:pStyle w:val="TableContents"/>
            </w:pPr>
            <w:r>
              <w:t>Lower Explosive Limit — the minimum concentration of a flammable gas or vapour in air below which ignition cannot occur; typically expressed as a percentage by volume.</w:t>
            </w:r>
          </w:p>
        </w:tc>
      </w:tr>
      <w:tr>
        <w:tc>
          <w:tcPr/>
          <w:p>
            <w:pPr>
              <w:pStyle w:val="TableContents"/>
            </w:pPr>
            <w:r>
              <w:t>UEL</w:t>
            </w:r>
          </w:p>
        </w:tc>
        <w:tc>
          <w:tcPr/>
          <w:p>
            <w:pPr>
              <w:pStyle w:val="TableContents"/>
            </w:pPr>
            <w:r>
              <w:t>Upper Explosive Limit — the maximum concentration of a flammable gas or vapour in air above which ignition cannot occur due to insufficient oxygen; typically expressed as a percentage by volume.</w:t>
            </w:r>
          </w:p>
        </w:tc>
      </w:tr>
      <w:tr>
        <w:tc>
          <w:tcPr/>
          <w:p>
            <w:pPr>
              <w:pStyle w:val="TableContents"/>
            </w:pPr>
            <w:r>
              <w:t>PPE</w:t>
            </w:r>
          </w:p>
        </w:tc>
        <w:tc>
          <w:tcPr/>
          <w:p>
            <w:pPr>
              <w:pStyle w:val="TableContents"/>
            </w:pPr>
            <w:r>
              <w:t>Personal Protective Equipment — equipment worn or used by an individual to minimise exposure to hazards that could cause injury or illness, including fire-resistant clothing, face shields and welding gloves used during hot work.</w:t>
            </w:r>
          </w:p>
        </w:tc>
      </w:tr>
      <w:tr>
        <w:tc>
          <w:tcPr/>
          <w:p>
            <w:pPr>
              <w:pStyle w:val="TableContents"/>
            </w:pPr>
            <w:r>
              <w:t>SDS</w:t>
            </w:r>
          </w:p>
        </w:tc>
        <w:tc>
          <w:tcPr/>
          <w:p>
            <w:pPr>
              <w:pStyle w:val="TableContents"/>
            </w:pPr>
            <w:r>
              <w:t>Safety Data Sheet — a standardised document providing detailed information on the properties, hazards, handling, storage and emergency measures for a chemical substance or mixture, including flammable materials managed under hot work controls.</w:t>
            </w:r>
          </w:p>
        </w:tc>
      </w:tr>
      <w:tr>
        <w:tc>
          <w:tcPr/>
          <w:p>
            <w:pPr>
              <w:pStyle w:val="TableContents"/>
            </w:pPr>
            <w:r>
              <w:t>JSA</w:t>
            </w:r>
          </w:p>
        </w:tc>
        <w:tc>
          <w:tcPr/>
          <w:p>
            <w:pPr>
              <w:pStyle w:val="TableContents"/>
            </w:pPr>
            <w:r>
              <w:t>Job Safety Analysis — a structured technique that identifies the steps of a task, the hazards associated with each step and the controls required to eliminate or mitigate those hazards prior to commencing work.</w:t>
            </w:r>
          </w:p>
        </w:tc>
      </w:tr>
      <w:tr>
        <w:tc>
          <w:tcPr/>
          <w:p>
            <w:pPr>
              <w:pStyle w:val="TableContents"/>
            </w:pPr>
            <w:r>
              <w:t>LOTO</w:t>
            </w:r>
          </w:p>
        </w:tc>
        <w:tc>
          <w:tcPr/>
          <w:p>
            <w:pPr>
              <w:pStyle w:val="TableContents"/>
            </w:pPr>
            <w:r>
              <w:t>Lockout/Tagout — an energy isolation procedure that ensures hazardous energy sources are identified, isolated and rendered safe before hot work or maintenance activities are performed on in-service equipment.</w:t>
            </w:r>
          </w:p>
        </w:tc>
      </w:tr>
      <w:tr>
        <w:tc>
          <w:tcPr/>
          <w:p>
            <w:pPr>
              <w:pStyle w:val="TableContents"/>
            </w:pPr>
            <w:r>
              <w:t>RT</w:t>
            </w:r>
          </w:p>
        </w:tc>
        <w:tc>
          <w:tcPr/>
          <w:p>
            <w:pPr>
              <w:pStyle w:val="TableContents"/>
            </w:pPr>
            <w:r>
              <w:t>Rio Tinto — the parent company whose group-level standards, frameworks and requirements apply to all Rio Tinto owner-led project activities.</w:t>
            </w:r>
          </w:p>
        </w:tc>
      </w:tr>
      <w:tr>
        <w:tc>
          <w:tcPr/>
          <w:p>
            <w:pPr>
              <w:pStyle w:val="TableContents"/>
            </w:pPr>
            <w:r>
              <w:t>HSEC</w:t>
            </w:r>
          </w:p>
        </w:tc>
        <w:tc>
          <w:tcPr/>
          <w:p>
            <w:pPr>
              <w:pStyle w:val="TableContents"/>
            </w:pPr>
            <w:r>
              <w:t>Health, Safety, Environment and Communities — the integrated management discipline under which Rio Tinto governs risks to people, environment and host communities across all project and operational activities.</w:t>
            </w:r>
          </w:p>
        </w:tc>
      </w:tr>
      <w:tr>
        <w:tc>
          <w:tcPr/>
          <w:p>
            <w:pPr>
              <w:pStyle w:val="TableContents"/>
            </w:pPr>
            <w:r>
              <w:t>ICS</w:t>
            </w:r>
          </w:p>
        </w:tc>
        <w:tc>
          <w:tcPr/>
          <w:p>
            <w:pPr>
              <w:pStyle w:val="TableContents"/>
            </w:pPr>
            <w:r>
              <w:t>Incident Command System — a standardised on-scene emergency management framework used to coordinate response resources and activities during fire, explosion or other emergency events.</w:t>
            </w:r>
          </w:p>
        </w:tc>
      </w:tr>
      <w:tr>
        <w:tc>
          <w:tcPr/>
          <w:p>
            <w:pPr>
              <w:pStyle w:val="TableContents"/>
            </w:pPr>
            <w:r>
              <w:t>MOC</w:t>
            </w:r>
          </w:p>
        </w:tc>
        <w:tc>
          <w:tcPr/>
          <w:p>
            <w:pPr>
              <w:pStyle w:val="TableContents"/>
            </w:pPr>
            <w:r>
              <w:t>Management of Change — the formal process for identifying, assessing and controlling risks introduced by proposed changes to equipment, processes, materials, procedures or organisational arrangements, including changes affecting hot work boundaries.</w:t>
            </w:r>
          </w:p>
        </w:tc>
      </w:tr>
      <w:tr>
        <w:tc>
          <w:tcPr/>
          <w:p>
            <w:pPr>
              <w:pStyle w:val="TableContents"/>
            </w:pPr>
            <w:r>
              <w:t>WMS</w:t>
            </w:r>
          </w:p>
        </w:tc>
        <w:tc>
          <w:tcPr/>
          <w:p>
            <w:pPr>
              <w:pStyle w:val="TableContents"/>
            </w:pPr>
            <w:r>
              <w:t>Work Method Statement — a document that describes in detail how a specific task will be carried out safely, identifying hazards and specifying the sequence of steps, tools and controls to be applied during hot work activities.</w:t>
            </w:r>
          </w:p>
        </w:tc>
      </w:tr>
      <w:tr>
        <w:tc>
          <w:tcPr/>
          <w:p>
            <w:pPr>
              <w:pStyle w:val="TableContents"/>
            </w:pPr>
            <w:r>
              <w:t>TWA</w:t>
            </w:r>
          </w:p>
        </w:tc>
        <w:tc>
          <w:tcPr/>
          <w:p>
            <w:pPr>
              <w:pStyle w:val="TableContents"/>
            </w:pPr>
            <w:r>
              <w:t>Time-Weighted Average — the average concentration of an airborne contaminant over a specified period, typically eight hours, used to assess worker exposure against occupational exposure limits in environments where hot work generates fumes or gases.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Chemicals Procedure</w:t>
            </w:r>
          </w:p>
        </w:tc>
        <w:tc>
          <w:tcPr/>
          <w:p>
            <w:pPr>
              <w:pStyle w:val="TableContents"/>
            </w:pPr>
            <w:r>
              <w:t>RTPR-HSE-PRO-0012</w:t>
            </w:r>
          </w:p>
        </w:tc>
        <w:tc>
          <w:tcPr/>
          <w:p>
            <w:pPr>
              <w:pStyle w:val="TableContents"/>
            </w:pPr>
            <w:r>
              <w:t>Internal procedure</w:t>
            </w:r>
          </w:p>
        </w:tc>
      </w:tr>
      <w:tr>
        <w:tc>
          <w:tcPr/>
          <w:p>
            <w:pPr>
              <w:pStyle w:val="TableContents"/>
            </w:pPr>
            <w:r>
              <w:t>SIMOPS Procedure</w:t>
            </w:r>
          </w:p>
        </w:tc>
        <w:tc>
          <w:tcPr/>
          <w:p>
            <w:pPr>
              <w:pStyle w:val="TableContents"/>
            </w:pPr>
            <w:r>
              <w:t>RTPR-HSE-PRO-0022</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Hazard Identification and Risk Assessment Requirements</w:t>
            </w:r>
          </w:p>
        </w:tc>
        <w:tc>
          <w:tcPr/>
          <w:p>
            <w:pPr>
              <w:pStyle w:val="TableContents"/>
            </w:pPr>
            <w:r>
              <w:t>RT Risk Management Standard Appendix C C-1</w:t>
            </w:r>
          </w:p>
        </w:tc>
        <w:tc>
          <w:tcPr/>
          <w:p>
            <w:pPr>
              <w:pStyle w:val="TableContents"/>
            </w:pPr>
            <w:r>
              <w:t>External RT</w:t>
            </w:r>
          </w:p>
        </w:tc>
      </w:tr>
      <w:tr>
        <w:tc>
          <w:tcPr/>
          <w:p>
            <w:pPr>
              <w:pStyle w:val="TableContents"/>
            </w:pPr>
            <w:r>
              <w:t>Rio Tinto HSEC Management System Standard</w:t>
            </w:r>
          </w:p>
        </w:tc>
        <w:tc>
          <w:tcPr/>
          <w:p>
            <w:pPr>
              <w:pStyle w:val="TableContents"/>
            </w:pPr>
            <w:r>
              <w:t>RT HSEC Management System Standard</w:t>
            </w:r>
          </w:p>
        </w:tc>
        <w:tc>
          <w:tcPr/>
          <w:p>
            <w:pPr>
              <w:pStyle w:val="TableContents"/>
            </w:pPr>
            <w:r>
              <w:t>External RT</w:t>
            </w:r>
          </w:p>
        </w:tc>
      </w:tr>
      <w:tr>
        <w:tc>
          <w:tcPr/>
          <w:p>
            <w:pPr>
              <w:pStyle w:val="TableContents"/>
            </w:pPr>
            <w:r>
              <w:t>Rio Tinto Work Management Standard</w:t>
            </w:r>
          </w:p>
        </w:tc>
        <w:tc>
          <w:tcPr/>
          <w:p>
            <w:pPr>
              <w:pStyle w:val="TableContents"/>
            </w:pPr>
            <w:r>
              <w:t>RT Work Management Standard</w:t>
            </w:r>
          </w:p>
        </w:tc>
        <w:tc>
          <w:tcPr/>
          <w:p>
            <w:pPr>
              <w:pStyle w:val="TableContents"/>
            </w:pPr>
            <w:r>
              <w:t>External RT</w:t>
            </w:r>
          </w:p>
        </w:tc>
      </w:tr>
      <w:tr>
        <w:tc>
          <w:tcPr/>
          <w:p>
            <w:pPr>
              <w:pStyle w:val="TableContents"/>
            </w:pPr>
            <w:r>
              <w:t>AS 1674.1 — Safety in Welding and Allied Processes: Fire Precautions</w:t>
            </w:r>
          </w:p>
        </w:tc>
        <w:tc>
          <w:tcPr/>
          <w:p>
            <w:pPr>
              <w:pStyle w:val="TableContents"/>
            </w:pPr>
            <w:r>
              <w:t>AS 1674.1</w:t>
            </w:r>
          </w:p>
        </w:tc>
        <w:tc>
          <w:tcPr/>
          <w:p>
            <w:pPr>
              <w:pStyle w:val="TableContents"/>
            </w:pPr>
            <w:r>
              <w:t>External framework</w:t>
            </w:r>
          </w:p>
        </w:tc>
      </w:tr>
      <w:tr>
        <w:tc>
          <w:tcPr/>
          <w:p>
            <w:pPr>
              <w:pStyle w:val="TableContents"/>
            </w:pPr>
            <w:r>
              <w:t>AS 1674.2 — Safety in Welding and Allied Processes: Electrical</w:t>
            </w:r>
          </w:p>
        </w:tc>
        <w:tc>
          <w:tcPr/>
          <w:p>
            <w:pPr>
              <w:pStyle w:val="TableContents"/>
            </w:pPr>
            <w:r>
              <w:t>AS 1674.2</w:t>
            </w:r>
          </w:p>
        </w:tc>
        <w:tc>
          <w:tcPr/>
          <w:p>
            <w:pPr>
              <w:pStyle w:val="TableContents"/>
            </w:pPr>
            <w:r>
              <w:t>External framework</w:t>
            </w:r>
          </w:p>
        </w:tc>
      </w:tr>
      <w:tr>
        <w:tc>
          <w:tcPr/>
          <w:p>
            <w:pPr>
              <w:pStyle w:val="TableContents"/>
            </w:pPr>
            <w:r>
              <w:t>AS/NZS 60079 Series — Explosive Atmospheres</w:t>
            </w:r>
          </w:p>
        </w:tc>
        <w:tc>
          <w:tcPr/>
          <w:p>
            <w:pPr>
              <w:pStyle w:val="TableContents"/>
            </w:pPr>
            <w:r>
              <w:t>AS/NZS 60079</w:t>
            </w:r>
          </w:p>
        </w:tc>
        <w:tc>
          <w:tcPr/>
          <w:p>
            <w:pPr>
              <w:pStyle w:val="TableContents"/>
            </w:pPr>
            <w:r>
              <w:t>External framework</w:t>
            </w:r>
          </w:p>
        </w:tc>
      </w:tr>
      <w:tr>
        <w:tc>
          <w:tcPr/>
          <w:p>
            <w:pPr>
              <w:pStyle w:val="TableContents"/>
            </w:pPr>
            <w:r>
              <w:t>AS 1940 — The Storage and Handling of Flammable and Combustible Liquids</w:t>
            </w:r>
          </w:p>
        </w:tc>
        <w:tc>
          <w:tcPr/>
          <w:p>
            <w:pPr>
              <w:pStyle w:val="TableContents"/>
            </w:pPr>
            <w:r>
              <w:t>AS 1940</w:t>
            </w:r>
          </w:p>
        </w:tc>
        <w:tc>
          <w:tcPr/>
          <w:p>
            <w:pPr>
              <w:pStyle w:val="TableContents"/>
            </w:pPr>
            <w:r>
              <w:t>External framework</w:t>
            </w:r>
          </w:p>
        </w:tc>
      </w:tr>
      <w:tr>
        <w:tc>
          <w:tcPr/>
          <w:p>
            <w:pPr>
              <w:pStyle w:val="TableContents"/>
            </w:pPr>
            <w:r>
              <w:t>ISO 45001 — Occupational Health and Safety Management Systems</w:t>
            </w:r>
          </w:p>
        </w:tc>
        <w:tc>
          <w:tcPr/>
          <w:p>
            <w:pPr>
              <w:pStyle w:val="TableContents"/>
            </w:pPr>
            <w:r>
              <w:t>ISO 45001:2018</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§64</w:t>
            </w:r>
          </w:p>
        </w:tc>
        <w:tc>
          <w:tcPr/>
          <w:p>
            <w:pPr>
              <w:pStyle w:val="TableContents"/>
            </w:pPr>
            <w:r>
              <w:t>Requires hazardous area designation, a Hot Works Permit with defined minimum content, gas detection before and during hot work with a 10% LEL suspension threshold, minimum fire protection measures including fire watch, and specific controls for hot work on in-service equipment containing flammable or toxic materials.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§3.3</w:t>
            </w:r>
          </w:p>
        </w:tc>
        <w:tc>
          <w:tcPr/>
          <w:p>
            <w:pPr>
              <w:pStyle w:val="TableContents"/>
            </w:pPr>
            <w:r>
              <w:t>Requires that fire prevention, detection, and suppression systems are in place and maintained, that hot work procedures are integrated with the site emergency response plan, and that the fire watch is maintained for sufficient time after work ends to confirm no latent ignition source remains.</w:t>
            </w:r>
          </w:p>
        </w:tc>
        <w:tc>
          <w:tcPr/>
          <w:p>
            <w:pPr>
              <w:pStyle w:val="TableContents"/>
            </w:pPr>
            <w:r>
              <w:t>Full</w:t>
            </w:r>
          </w:p>
        </w:tc>
      </w:tr>
      <w:tr>
        <w:tc>
          <w:tcPr/>
          <w:p>
            <w:pPr>
              <w:pStyle w:val="TableContents"/>
            </w:pPr>
            <w:r>
              <w:rPr>
                <w:b/>
                <w:bCs/>
                <w:color w:val="0059D1"/>
              </w:rPr>
              <w:t>[INSERT: section]</w:t>
            </w:r>
          </w:p>
        </w:tc>
        <w:tc>
          <w:tcPr/>
          <w:p>
            <w:pPr>
              <w:pStyle w:val="TableContents"/>
            </w:pPr>
            <w:r>
              <w:t>RT Standard RT C1 – Control of Energy Standard</w:t>
            </w:r>
          </w:p>
        </w:tc>
        <w:tc>
          <w:tcPr/>
          <w:p>
            <w:pPr>
              <w:pStyle w:val="TableContents"/>
            </w:pPr>
            <w:r>
              <w:t>Requires that all energy sources associated with in-service equipment subject to hot work are formally isolated and verified at zero energy before work commences, using the site LOTO procedure.</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