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Electrical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Electrical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electrical work and electrical equipment at voltages above 50V AC or 110V DC, including arc flash risk management. All electrical work requires formal authorisation before commencement. This procedure complements the Isolation Procedure, which covers non-electrical energy sources.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electrical safety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electrical safety domains within scope, and the lifecycle phases during which this procedure applies.</w:t>
      </w:r>
    </w:p>
    <w:p>
      <w:pPr>
        <w:pStyle w:val="Heading2Numbered"/>
      </w:pPr>
      <w:r>
        <w:t>3.1  Purpose of This Document</w:t>
      </w:r>
    </w:p>
    <w:p>
      <w:pPr>
        <w:pStyle w:val="NormalNumberedtext"/>
      </w:pPr>
      <w:r>
        <w:t>This section states the purpose of this procedure and the requirements it establishes for electrical safety on the project.</w:t>
      </w:r>
    </w:p>
    <w:p>
      <w:pPr>
        <w:pStyle w:val="NormalNumberedtext"/>
      </w:pPr>
      <w:r>
        <w:t>This procedure meets the following purpose requirements:</w:t>
      </w:r>
    </w:p>
    <w:p>
      <w:pPr>
        <w:pStyle w:val="NormalNumberedtext"/>
      </w:pPr>
      <w:r>
        <w:t>This procedure establishes the minimum electrical safety requirements for:</w:t>
      </w:r>
    </w:p>
    <w:p>
      <w:pPr>
        <w:pStyle w:val="NumberedBulletL1"/>
      </w:pPr>
      <w:r>
        <w:t>Arc flash hazard assessment and management.</w:t>
      </w:r>
    </w:p>
    <w:p>
      <w:pPr>
        <w:pStyle w:val="NumberedBulletL1"/>
      </w:pPr>
      <w:r>
        <w:t>Electrical equipment inspection, tagging, and registration.</w:t>
      </w:r>
    </w:p>
    <w:p>
      <w:pPr>
        <w:pStyle w:val="NumberedBulletL1"/>
      </w:pPr>
      <w:r>
        <w:t>Single-line diagram documentation and maintenance.</w:t>
      </w:r>
    </w:p>
    <w:p>
      <w:pPr>
        <w:pStyle w:val="NumberedBulletL1"/>
      </w:pPr>
      <w:r>
        <w:t>Electrical isolation and zero-energy verification.</w:t>
      </w:r>
    </w:p>
    <w:p>
      <w:pPr>
        <w:pStyle w:val="NumberedBulletL1"/>
      </w:pPr>
      <w:r>
        <w:t>Energised Work Authorisation.</w:t>
      </w:r>
    </w:p>
    <w:p>
      <w:pPr>
        <w:pStyle w:val="NumberedBulletL1"/>
      </w:pPr>
      <w:r>
        <w:t>Arc flash PPE selection by task category.</w:t>
      </w:r>
    </w:p>
    <w:p>
      <w:pPr>
        <w:pStyle w:val="NumberedBulletL1"/>
      </w:pPr>
      <w:r>
        <w:t>Lightning and severe weather electrical management.</w:t>
      </w:r>
    </w:p>
    <w:p>
      <w:pPr>
        <w:pStyle w:val="NumberedBulletL1"/>
      </w:pPr>
      <w:r>
        <w:t>Electrical competency and authorisation categories.</w:t>
      </w:r>
    </w:p>
    <w:p>
      <w:pPr>
        <w:pStyle w:val="NormalNumberedtext"/>
      </w:pPr>
      <w:r>
        <w:t>This procedure applies to all Rio Tinto personnel and all contractor organisations performing electrical work on the project. It operationalises the Rio Tinto Contact with Electricity Standard (RT C2) and applicable legislative requirements into a documented, project-specific process.</w:t>
      </w:r>
    </w:p>
    <w:p>
      <w:pPr>
        <w:pStyle w:val="Heading2Numbered"/>
      </w:pPr>
      <w:r>
        <w:t>3.2  Scope of This Document</w:t>
      </w:r>
    </w:p>
    <w:p>
      <w:pPr>
        <w:pStyle w:val="NormalNumberedtext"/>
      </w:pPr>
      <w:r>
        <w:t>This section defines which electrical safety activities and lifecycle phases are governed by this document.</w:t>
      </w:r>
    </w:p>
    <w:p>
      <w:pPr>
        <w:pStyle w:val="NormalNumberedtext"/>
      </w:pPr>
      <w:r>
        <w:t>This procedure applies the following scope requirements:</w:t>
      </w:r>
    </w:p>
    <w:p>
      <w:pPr>
        <w:pStyle w:val="NumberedBulletL1"/>
      </w:pPr>
      <w:r>
        <w:t>This procedure governs all electrical safety activities from project execution through to commissioning and handover.</w:t>
      </w:r>
    </w:p>
    <w:p>
      <w:pPr>
        <w:pStyle w:val="NumberedBulletL1"/>
      </w:pPr>
      <w:r>
        <w:t>Electrical isolation of mechanical energy sources is governed by RTPR-HSE-PRO-0024. Electrical isolation of electrical energy sources is governed by this procedure.</w:t>
      </w:r>
    </w:p>
    <w:p>
      <w:pPr>
        <w:pStyle w:val="NumberedBulletL1"/>
      </w:pPr>
      <w:r>
        <w:t>Electrical risk assessment methodology is governed by RTPR-HSE-PRO-0002. This procedure defines the electrical-specific hazard assessment requirements that apply within that framework.</w:t>
      </w:r>
    </w:p>
    <w:p>
      <w:pPr>
        <w:pStyle w:val="NumberedBulletL1"/>
      </w:pPr>
      <w:r>
        <w:t>Electrical competency records are maintained in RTPR-HSE-REG-0003, referenced via RTPR-HSE-PRO-0004. This procedure defines the authorisation categories and reassessment intervals.</w:t>
      </w:r>
    </w:p>
    <w:p>
      <w:pPr>
        <w:pStyle w:val="NumberedBulletL1"/>
      </w:pPr>
      <w:r>
        <w:t>Arc flash PPE selection criteria are defined in this procedure. PPE procurement, fit-testing, and management are governed by RTPR-HSE-PRO-0027.</w:t>
      </w:r>
    </w:p>
    <w:p>
      <w:pPr>
        <w:pStyle w:val="NumberedBulletL1"/>
      </w:pPr>
      <w:r>
        <w:t>Electrical work permits are raised via the site PTW system before commencing work; refer RTPR-HSE-PRO-0021.</w:t>
      </w:r>
    </w:p>
    <w:p>
      <w:pPr>
        <w:pStyle w:val="NumberedBulletL1"/>
      </w:pPr>
      <w:r>
        <w:t>The Electrical Equipment Register is maintained as RTPR-HSE-REG-0010 under the document control process defined in RTPR-HSE-PRO-0010.</w:t>
      </w:r>
    </w:p>
    <w:p>
      <w:pPr>
        <w:pStyle w:val="Heading1Numbered"/>
      </w:pPr>
      <w:r>
        <w:t>4  Risk Assessment and Electrical Hazard Management</w:t>
      </w:r>
    </w:p>
    <w:p>
      <w:pPr>
        <w:pStyle w:val="NormalNumberedtext"/>
      </w:pPr>
      <w:r>
        <w:t>This section defines the risk assessment requirements that apply to all electrical work, including arc flash hazard assessment, standard alignment, and review intervals.</w:t>
      </w:r>
    </w:p>
    <w:p>
      <w:pPr>
        <w:pStyle w:val="Heading2Numbered"/>
      </w:pPr>
      <w:r>
        <w:t>4.1  Electrical Risk Assessment Requirements</w:t>
      </w:r>
    </w:p>
    <w:p>
      <w:pPr>
        <w:pStyle w:val="NormalNumberedtext"/>
      </w:pPr>
      <w:r>
        <w:t>This section establishes when a risk assessment is required and the process for documenting and reviewing electrical hazard management.</w:t>
      </w:r>
    </w:p>
    <w:p>
      <w:pPr>
        <w:pStyle w:val="NormalNumberedtext"/>
      </w:pPr>
      <w:r>
        <w:t>A risk assessment is required before all work that involves exposure to arc flash, direct shock, or indirect shock. The risk assessment process is governed by RTPR-HSE-PRO-0002. The electrical-specific requirements below apply within that framework.</w:t>
      </w:r>
    </w:p>
    <w:p>
      <w:pPr>
        <w:pStyle w:val="NormalNumberedtext"/>
      </w:pPr>
      <w:r>
        <w:t>The HSESC Manager ensures the following risk assessment requirements are met for all electrical work:</w:t>
      </w:r>
    </w:p>
    <w:p>
      <w:pPr>
        <w:pStyle w:val="NumberedBulletL1"/>
      </w:pPr>
      <w:r>
        <w:t>A risk assessment is conducted for every task that involves arc flash, direct shock, or indirect shock exposure before work commences.</w:t>
      </w:r>
    </w:p>
    <w:p>
      <w:pPr>
        <w:pStyle w:val="NumberedBulletL1"/>
      </w:pPr>
      <w:r>
        <w:t>An arc flash hazard assessment is conducted for all work with arc flash risk, in accordance with IEEE 1584 or an equivalent standard accepted under the applicable national or international framework.</w:t>
      </w:r>
    </w:p>
    <w:p>
      <w:pPr>
        <w:pStyle w:val="NumberedBulletL1"/>
      </w:pPr>
      <w:r>
        <w:t>The documented electrical hazard management process is reviewed at intervals not exceeding two years, or following any modification to the electrical system, a significant incident, or a change in applicable legislation.</w:t>
      </w:r>
    </w:p>
    <w:p>
      <w:pPr>
        <w:pStyle w:val="NumberedBulletL1"/>
      </w:pPr>
      <w:r>
        <w:t>All electrical hazard management activities align with applicable national or international standards, including IEC, NEMA, ANSI, IEEE, and AS/NZS, as relevant to the jurisdiction and system voltage.</w:t>
      </w:r>
    </w:p>
    <w:tbl>
      <w:tblPr>
        <w:tblStyle w:val="TableOption1"/>
        <w:tblW w:type="pct" w:w="5000"/>
      </w:tblPr>
      <w:tr>
        <w:tc>
          <w:tcPr>
            <w:shd w:val="clear" w:color="auto" w:fill="FFF2CC"/>
          </w:tcPr>
          <w:p>
            <w:pPr>
              <w:pStyle w:val="Instructions"/>
            </w:pPr>
            <w:r>
              <w:rPr>
                <w:b/>
                <w:bCs/>
                <w:color w:val="C55A11"/>
              </w:rPr>
              <w:t>PROJECT COMPLETION — Arc Flash Hazard Assessment: Commission an arc flash hazard assessment for this project's electrical systems before any energised work commences. Insert the assessment findings or reference the completed assessment report in the placeholder below.</w:t>
            </w:r>
          </w:p>
        </w:tc>
      </w:tr>
    </w:tbl>
    <w:p>
      <w:pPr>
        <w:pStyle w:val="Default"/>
      </w:pPr>
    </w:p>
    <w:p>
      <w:pPr>
        <w:pStyle w:val="NormalNumberedtext"/>
      </w:pPr>
      <w:r>
        <w:rPr>
          <w:b/>
          <w:bCs/>
          <w:color w:val="0059D1"/>
        </w:rPr>
        <w:t>[INSERT: arc_flash_assessment_reference] — Insert the reference number and date of the completed arc flash hazard assessment report, or confirm the scheduled date for completion before energised work commences.</w:t>
      </w:r>
    </w:p>
    <w:p>
      <w:pPr>
        <w:pStyle w:val="Heading1Numbered"/>
      </w:pPr>
      <w:r>
        <w:t>5  Equipment Design, Installation, Inspection, and Documentation</w:t>
      </w:r>
    </w:p>
    <w:p>
      <w:pPr>
        <w:pStyle w:val="NormalNumberedtext"/>
      </w:pPr>
      <w:r>
        <w:t>This section defines the requirements for overload and earth leakage protection, equipment identification, single-line diagram documentation, and inspection and tagging.</w:t>
      </w:r>
    </w:p>
    <w:p>
      <w:pPr>
        <w:pStyle w:val="Heading2Numbered"/>
      </w:pPr>
      <w:r>
        <w:t>5.1  Protection and Installation Requirements</w:t>
      </w:r>
    </w:p>
    <w:p>
      <w:pPr>
        <w:pStyle w:val="NormalNumberedtext"/>
      </w:pPr>
      <w:r>
        <w:t>This section defines the minimum protection requirements for all final distribution circuits and subcircuits on the project.</w:t>
      </w:r>
    </w:p>
    <w:p>
      <w:pPr>
        <w:pStyle w:val="NormalNumberedtext"/>
      </w:pPr>
      <w:r>
        <w:t>Authorised electrical personnel verify and document protection settings for all final distribution circuits before energisation. The following requirements apply to all electrical equipment installed on the project:</w:t>
      </w:r>
    </w:p>
    <w:p>
      <w:pPr>
        <w:pStyle w:val="NormalNumberedtext"/>
      </w:pPr>
      <w:r>
        <w:t>The Electrical Superintendent ensures the following protection and installation requirements are met:</w:t>
      </w:r>
    </w:p>
    <w:p>
      <w:pPr>
        <w:pStyle w:val="NumberedBulletL1"/>
      </w:pPr>
      <w:r>
        <w:t>Overload protection is installed on all final distribution circuits, with settings verified and documented by authorised electrical personnel before and after any modification.</w:t>
      </w:r>
    </w:p>
    <w:p>
      <w:pPr>
        <w:pStyle w:val="NumberedBulletL1"/>
      </w:pPr>
      <w:r>
        <w:t>Earth leakage protection is installed on all subcircuits supplying socket outlets where required by applicable legislation or where the risk assessment identifies it as a necessary control.</w:t>
      </w:r>
    </w:p>
    <w:p>
      <w:pPr>
        <w:pStyle w:val="NumberedBulletL1"/>
      </w:pPr>
      <w:r>
        <w:t>Temporary electrical switchgear is designed and installed in accordance with relevant standards and project electrical specifications. Temporary switchgear is formally inspected by a competent and authorised person before energisation, and the inspection outcome is recorded in the Electrical Equipment Register, RTPR-HSE-REG-0010.</w:t>
      </w:r>
    </w:p>
    <w:p>
      <w:pPr>
        <w:pStyle w:val="Heading2Numbered"/>
      </w:pPr>
      <w:r>
        <w:t>5.2  Equipment Identification and Single-Line Diagram Documentation</w:t>
      </w:r>
    </w:p>
    <w:p>
      <w:pPr>
        <w:pStyle w:val="NormalNumberedtext"/>
      </w:pPr>
      <w:r>
        <w:t>This section defines the requirements for equipment labelling, SLD preparation, storage, and update triggers.</w:t>
      </w:r>
    </w:p>
    <w:p>
      <w:pPr>
        <w:pStyle w:val="NormalNumberedtext"/>
      </w:pPr>
      <w:r>
        <w:t>All electrical equipment is identifiable through physical labelling that corresponds to the single-line diagrams maintained for the project. SLDs are controlled documents updated following any modification to the electrical system.</w:t>
      </w:r>
    </w:p>
    <w:p>
      <w:pPr>
        <w:pStyle w:val="NormalNumberedtext"/>
      </w:pPr>
      <w:r>
        <w:t>The Electrical Superintendent ensures the following SLD documentation requirements are met:</w:t>
      </w:r>
    </w:p>
    <w:p>
      <w:pPr>
        <w:pStyle w:val="NumberedBulletL1"/>
      </w:pPr>
      <w:r>
        <w:t>Single-line diagrams are prepared for all electrical systems before energisation and are maintained as controlled documents throughout the project lifecycle.</w:t>
      </w:r>
    </w:p>
    <w:p>
      <w:pPr>
        <w:pStyle w:val="NumberedBulletL1"/>
      </w:pPr>
      <w:r>
        <w:t>SLDs are updated before or immediately following any modification to the electrical system. No modification is accepted as complete until the SLD is revised and the revision is reviewed by an authorised person.</w:t>
      </w:r>
    </w:p>
    <w:p>
      <w:pPr>
        <w:pStyle w:val="NumberedBulletL1"/>
      </w:pPr>
      <w:r>
        <w:t>Physical equipment labelling is consistent with the current SLD at all times. Discrepancies between installed equipment and SLD documentation are treated as isolation hazards and escalated immediately.</w:t>
      </w:r>
    </w:p>
    <w:tbl>
      <w:tblPr>
        <w:tblStyle w:val="TableOption1"/>
        <w:tblW w:type="pct" w:w="5000"/>
      </w:tblPr>
      <w:tr>
        <w:tc>
          <w:tcPr>
            <w:shd w:val="clear" w:color="auto" w:fill="FFF2CC"/>
          </w:tcPr>
          <w:p>
            <w:pPr>
              <w:pStyle w:val="Instructions"/>
            </w:pPr>
            <w:r>
              <w:rPr>
                <w:b/>
                <w:bCs/>
                <w:color w:val="C55A11"/>
              </w:rPr>
              <w:t>PROJECT COMPLETION — SLD Documentation Standard: Define the project SLD documentation standard: where SLDs are stored; who maintains them; what triggers an SLD update. This is critical for isolation accuracy. Insert the project SLD management details in the placeholders below.</w:t>
            </w:r>
          </w:p>
        </w:tc>
      </w:tr>
    </w:tbl>
    <w:p>
      <w:pPr>
        <w:pStyle w:val="Default"/>
      </w:pPr>
    </w:p>
    <w:p>
      <w:pPr>
        <w:pStyle w:val="NormalNumberedtext"/>
      </w:pPr>
      <w:r>
        <w:rPr>
          <w:b/>
          <w:bCs/>
          <w:color w:val="0059D1"/>
        </w:rPr>
        <w:t>[INSERT: sld_storage_location] — Insert the location where controlled SLDs are stored (e.g., document management system name and folder path).</w:t>
      </w:r>
    </w:p>
    <w:p>
      <w:pPr>
        <w:pStyle w:val="NormalNumberedtext"/>
      </w:pPr>
      <w:r>
        <w:rPr>
          <w:b/>
          <w:bCs/>
          <w:color w:val="0059D1"/>
        </w:rPr>
        <w:t>[INSERT: sld_custodian] — Insert the role responsible for maintaining and controlling SLD updates (e.g., Electrical Superintendent, Senior Authorised Person).</w:t>
      </w:r>
    </w:p>
    <w:p>
      <w:pPr>
        <w:pStyle w:val="NormalNumberedtext"/>
      </w:pPr>
      <w:r>
        <w:rPr>
          <w:b/>
          <w:bCs/>
          <w:color w:val="0059D1"/>
        </w:rPr>
        <w:t>[INSERT: sld_update_triggers] — Insert the defined triggers that require an SLD update, including modification types, scope changes, and commissioning milestones.</w:t>
      </w:r>
    </w:p>
    <w:p>
      <w:pPr>
        <w:pStyle w:val="Heading2Numbered"/>
      </w:pPr>
      <w:r>
        <w:t>5.3  Electrical Equipment Inspection and Tagging</w:t>
      </w:r>
    </w:p>
    <w:p>
      <w:pPr>
        <w:pStyle w:val="NormalNumberedtext"/>
      </w:pPr>
      <w:r>
        <w:t>This section defines the inspection frequency, competency requirements, recording obligations, and colour-coding system for electrical equipment.</w:t>
      </w:r>
    </w:p>
    <w:p>
      <w:pPr>
        <w:pStyle w:val="NormalNumberedtext"/>
      </w:pPr>
      <w:r>
        <w:t>All electrical equipment used on the project is inspected and tagged on a defined frequency by a certified electrician. The inspection outcome is recorded in the Electrical Equipment Register, RTPR-HSE-REG-0010, and equipment is colour-coded to indicate inspection status.</w:t>
      </w:r>
    </w:p>
    <w:p>
      <w:pPr>
        <w:pStyle w:val="NormalNumberedtext"/>
      </w:pPr>
      <w:r>
        <w:t>The Electrical Superintendent ensures the following inspection and tagging requirements are met:</w:t>
      </w:r>
    </w:p>
    <w:p>
      <w:pPr>
        <w:pStyle w:val="NumberedBulletL1"/>
      </w:pPr>
      <w:r>
        <w:t>All electrical equipment is inspected and tagged quarterly by a certified electrician. The inspection is recorded in the Electrical Equipment Register, RTPR-HSE-REG-0010, with the date, inspector, equipment identifier, and outcome.</w:t>
      </w:r>
    </w:p>
    <w:p>
      <w:pPr>
        <w:pStyle w:val="NumberedBulletL1"/>
      </w:pPr>
      <w:r>
        <w:t>Equipment is colour-coded to indicate the current inspection period. Equipment that has not been inspected within the required interval or that has failed inspection is tagged out of service and removed from use until re-inspected and cleared.</w:t>
      </w:r>
    </w:p>
    <w:p>
      <w:pPr>
        <w:pStyle w:val="NumberedBulletL1"/>
      </w:pPr>
      <w:r>
        <w:rPr>
          <w:color w:val="C55A11"/>
        </w:rPr>
        <w:t>The project colour-coding cycle uses a quarterly rotating colour sequence. The Electrical Superintendent confirms the current period colour at the start of each quarter and communicates it to all site electrical personnel.</w:t>
      </w:r>
    </w:p>
    <w:p>
      <w:pPr>
        <w:pStyle w:val="NormalNumberedtext"/>
      </w:pPr>
      <w:r>
        <w:t>Table: Electrical Equipment Inspection Colour-Code Schedule</w:t>
      </w:r>
    </w:p>
    <w:tbl>
      <w:tblPr>
        <w:tblStyle w:val="TableOption2"/>
        <w:tblW w:type="pct" w:w="5000"/>
      </w:tblPr>
      <w:tr>
        <w:trPr>
          <w:tblHeader/>
        </w:trPr>
        <w:tc>
          <w:tcPr>
            <w:shd w:val="clear" w:color="auto" w:fill="1F3864"/>
          </w:tcPr>
          <w:p>
            <w:pPr>
              <w:pStyle w:val="TableContents"/>
            </w:pPr>
            <w:r>
              <w:rPr>
                <w:b/>
                <w:bCs/>
                <w:color w:val="FFFFFF"/>
              </w:rPr>
              <w:t>Quarter</w:t>
            </w:r>
          </w:p>
        </w:tc>
        <w:tc>
          <w:tcPr>
            <w:shd w:val="clear" w:color="auto" w:fill="1F3864"/>
          </w:tcPr>
          <w:p>
            <w:pPr>
              <w:pStyle w:val="TableContents"/>
            </w:pPr>
            <w:r>
              <w:rPr>
                <w:b/>
                <w:bCs/>
                <w:color w:val="FFFFFF"/>
              </w:rPr>
              <w:t>Inspection Period</w:t>
            </w:r>
          </w:p>
        </w:tc>
        <w:tc>
          <w:tcPr>
            <w:shd w:val="clear" w:color="auto" w:fill="1F3864"/>
          </w:tcPr>
          <w:p>
            <w:pPr>
              <w:pStyle w:val="TableContents"/>
            </w:pPr>
            <w:r>
              <w:rPr>
                <w:b/>
                <w:bCs/>
                <w:color w:val="FFFFFF"/>
              </w:rPr>
              <w:t>Tag Colour</w:t>
            </w:r>
          </w:p>
        </w:tc>
        <w:tc>
          <w:tcPr>
            <w:shd w:val="clear" w:color="auto" w:fill="1F3864"/>
          </w:tcPr>
          <w:p>
            <w:pPr>
              <w:pStyle w:val="TableContents"/>
            </w:pPr>
            <w:r>
              <w:rPr>
                <w:b/>
                <w:bCs/>
                <w:color w:val="FFFFFF"/>
              </w:rPr>
              <w:t>Notes</w:t>
            </w:r>
          </w:p>
        </w:tc>
      </w:tr>
      <w:tr>
        <w:tc>
          <w:tcPr/>
          <w:p>
            <w:pPr>
              <w:pStyle w:val="TableContents"/>
            </w:pPr>
            <w:r>
              <w:t>Q1</w:t>
            </w:r>
          </w:p>
        </w:tc>
        <w:tc>
          <w:tcPr/>
          <w:p>
            <w:pPr>
              <w:pStyle w:val="TableContents"/>
            </w:pPr>
            <w:r>
              <w:rPr>
                <w:b/>
                <w:bCs/>
                <w:color w:val="0059D1"/>
              </w:rPr>
              <w:t>[INSERT: date range]</w:t>
            </w:r>
          </w:p>
        </w:tc>
        <w:tc>
          <w:tcPr/>
          <w:p>
            <w:pPr>
              <w:pStyle w:val="TableContents"/>
            </w:pPr>
            <w:r>
              <w:rPr>
                <w:b/>
                <w:bCs/>
                <w:color w:val="0059D1"/>
              </w:rPr>
              <w:t>[INSERT: colour]</w:t>
            </w:r>
          </w:p>
        </w:tc>
        <w:tc>
          <w:tcPr/>
          <w:p>
            <w:pPr>
              <w:pStyle w:val="TableContents"/>
            </w:pPr>
            <w:r>
              <w:t>Current period confirmed by Electrical Superintendent</w:t>
            </w:r>
          </w:p>
        </w:tc>
      </w:tr>
      <w:tr>
        <w:tc>
          <w:tcPr/>
          <w:p>
            <w:pPr>
              <w:pStyle w:val="TableContents"/>
            </w:pPr>
            <w:r>
              <w:t>Q2</w:t>
            </w:r>
          </w:p>
        </w:tc>
        <w:tc>
          <w:tcPr/>
          <w:p>
            <w:pPr>
              <w:pStyle w:val="TableContents"/>
            </w:pPr>
            <w:r>
              <w:rPr>
                <w:b/>
                <w:bCs/>
                <w:color w:val="0059D1"/>
              </w:rPr>
              <w:t>[INSERT: date range]</w:t>
            </w:r>
          </w:p>
        </w:tc>
        <w:tc>
          <w:tcPr/>
          <w:p>
            <w:pPr>
              <w:pStyle w:val="TableContents"/>
            </w:pPr>
            <w:r>
              <w:rPr>
                <w:b/>
                <w:bCs/>
                <w:color w:val="0059D1"/>
              </w:rPr>
              <w:t>[INSERT: colour]</w:t>
            </w:r>
          </w:p>
        </w:tc>
        <w:tc>
          <w:tcPr/>
          <w:p>
            <w:pPr>
              <w:pStyle w:val="TableContents"/>
            </w:pPr>
            <w:r>
              <w:t>Current period confirmed by Electrical Superintendent</w:t>
            </w:r>
          </w:p>
        </w:tc>
      </w:tr>
      <w:tr>
        <w:tc>
          <w:tcPr/>
          <w:p>
            <w:pPr>
              <w:pStyle w:val="TableContents"/>
            </w:pPr>
            <w:r>
              <w:t>Q3</w:t>
            </w:r>
          </w:p>
        </w:tc>
        <w:tc>
          <w:tcPr/>
          <w:p>
            <w:pPr>
              <w:pStyle w:val="TableContents"/>
            </w:pPr>
            <w:r>
              <w:rPr>
                <w:b/>
                <w:bCs/>
                <w:color w:val="0059D1"/>
              </w:rPr>
              <w:t>[INSERT: date range]</w:t>
            </w:r>
          </w:p>
        </w:tc>
        <w:tc>
          <w:tcPr/>
          <w:p>
            <w:pPr>
              <w:pStyle w:val="TableContents"/>
            </w:pPr>
            <w:r>
              <w:rPr>
                <w:b/>
                <w:bCs/>
                <w:color w:val="0059D1"/>
              </w:rPr>
              <w:t>[INSERT: colour]</w:t>
            </w:r>
          </w:p>
        </w:tc>
        <w:tc>
          <w:tcPr/>
          <w:p>
            <w:pPr>
              <w:pStyle w:val="TableContents"/>
            </w:pPr>
            <w:r>
              <w:t>Current period confirmed by Electrical Superintendent</w:t>
            </w:r>
          </w:p>
        </w:tc>
      </w:tr>
      <w:tr>
        <w:tc>
          <w:tcPr/>
          <w:p>
            <w:pPr>
              <w:pStyle w:val="TableContents"/>
            </w:pPr>
            <w:r>
              <w:t>Q4</w:t>
            </w:r>
          </w:p>
        </w:tc>
        <w:tc>
          <w:tcPr/>
          <w:p>
            <w:pPr>
              <w:pStyle w:val="TableContents"/>
            </w:pPr>
            <w:r>
              <w:rPr>
                <w:b/>
                <w:bCs/>
                <w:color w:val="0059D1"/>
              </w:rPr>
              <w:t>[INSERT: date range]</w:t>
            </w:r>
          </w:p>
        </w:tc>
        <w:tc>
          <w:tcPr/>
          <w:p>
            <w:pPr>
              <w:pStyle w:val="TableContents"/>
            </w:pPr>
            <w:r>
              <w:rPr>
                <w:b/>
                <w:bCs/>
                <w:color w:val="0059D1"/>
              </w:rPr>
              <w:t>[INSERT: colour]</w:t>
            </w:r>
          </w:p>
        </w:tc>
        <w:tc>
          <w:tcPr/>
          <w:p>
            <w:pPr>
              <w:pStyle w:val="TableContents"/>
            </w:pPr>
            <w:r>
              <w:t>Current period confirmed by Electrical Superintendent</w:t>
            </w:r>
          </w:p>
        </w:tc>
      </w:tr>
    </w:tbl>
    <w:p>
      <w:pPr>
        <w:pStyle w:val="Default"/>
      </w:pPr>
    </w:p>
    <w:p>
      <w:pPr>
        <w:pStyle w:val="Heading1Numbered"/>
      </w:pPr>
      <w:r>
        <w:t>6  Electrical Isolation and Zero-Energy Verification</w:t>
      </w:r>
    </w:p>
    <w:p>
      <w:pPr>
        <w:pStyle w:val="NormalNumberedtext"/>
      </w:pPr>
      <w:r>
        <w:t>This section defines the isolation requirements, personal lock and tag obligations, zero-energy verification process, and the prohibitions that apply above threshold voltages.</w:t>
      </w:r>
    </w:p>
    <w:p>
      <w:pPr>
        <w:pStyle w:val="Heading2Numbered"/>
      </w:pPr>
      <w:r>
        <w:t>6.1  Isolation Requirements</w:t>
      </w:r>
    </w:p>
    <w:p>
      <w:pPr>
        <w:pStyle w:val="NormalNumberedtext"/>
      </w:pPr>
      <w:r>
        <w:t>This section defines the identification, documentation, and lock-and-tag requirements for all electrical isolations on the project.</w:t>
      </w:r>
    </w:p>
    <w:p>
      <w:pPr>
        <w:pStyle w:val="NormalNumberedtext"/>
      </w:pPr>
      <w:r>
        <w:t>Electrical isolation on this project is conducted in accordance with the requirements defined in this section. Mechanical and other energy source isolation is governed by RTPR-HSE-PRO-0024. Electrical work permits are raised via the site PTW system before commencing work; refer RTPR-HSE-PRO-0021.</w:t>
      </w:r>
    </w:p>
    <w:p>
      <w:pPr>
        <w:pStyle w:val="NormalNumberedtext"/>
      </w:pPr>
      <w:r>
        <w:t>The Authorised Person conducting isolation ensures the following requirements are met:</w:t>
      </w:r>
    </w:p>
    <w:p>
      <w:pPr>
        <w:pStyle w:val="NumberedBulletL1"/>
      </w:pPr>
      <w:r>
        <w:t>All electrical energy sources associated with the work scope are identified before isolation commences, including all potential back-feed sources and stored energy sources.</w:t>
      </w:r>
    </w:p>
    <w:p>
      <w:pPr>
        <w:pStyle w:val="NumberedBulletL1"/>
      </w:pPr>
      <w:r>
        <w:t>The isolation method is documented for each isolation point. Standard isolations use the approved project isolation template. Novel isolations require a written isolation plan prepared and reviewed by an Authorised Person before commencement.</w:t>
      </w:r>
    </w:p>
    <w:p>
      <w:pPr>
        <w:pStyle w:val="NumberedBulletL1"/>
      </w:pPr>
      <w:r>
        <w:t>Personal isolation locks and danger tags are applied by each person working on the isolated system. No person relies on another person's lock for their personal protection.</w:t>
      </w:r>
    </w:p>
    <w:p>
      <w:pPr>
        <w:pStyle w:val="NumberedBulletL1"/>
      </w:pPr>
      <w:r>
        <w:t>Access to conductors operating above 1,000 V AC or 1,500 V DC is prohibited except where full isolation, zero-energy verification, earthing, and an isolation permit are in place. No approach to such conductors is made without all four conditions confirmed.</w:t>
      </w:r>
    </w:p>
    <w:p>
      <w:pPr>
        <w:pStyle w:val="Heading2Numbered"/>
      </w:pPr>
      <w:r>
        <w:t>6.2  Zero-Energy Verification</w:t>
      </w:r>
    </w:p>
    <w:p>
      <w:pPr>
        <w:pStyle w:val="NormalNumberedtext"/>
      </w:pPr>
      <w:r>
        <w:t>This section defines the test equipment requirements and the sequence for zero-energy verification before any access to isolated systems.</w:t>
      </w:r>
    </w:p>
    <w:p>
      <w:pPr>
        <w:pStyle w:val="NormalNumberedtext"/>
      </w:pPr>
      <w:r>
        <w:t>Zero-energy verification is completed by the Authorised Person before any access to an isolated electrical system. The principle of test before touch applies to every isolation without exception.</w:t>
      </w:r>
    </w:p>
    <w:p>
      <w:pPr>
        <w:pStyle w:val="NormalNumberedtext"/>
      </w:pPr>
      <w:r>
        <w:t>The Authorised Person conducting zero-energy verification ensures the following requirements are met:</w:t>
      </w:r>
    </w:p>
    <w:p>
      <w:pPr>
        <w:pStyle w:val="NumberedBulletL1"/>
      </w:pPr>
      <w:r>
        <w:t>Approved, fit-for-purpose test equipment is used for all zero-energy verification. The test instrument is function-tested immediately before and immediately after each verification to confirm it is operating correctly.</w:t>
      </w:r>
    </w:p>
    <w:p>
      <w:pPr>
        <w:pStyle w:val="NumberedBulletL1"/>
      </w:pPr>
      <w:r>
        <w:t>The test before touch principle is applied: voltage is tested at the point of work before any contact is made with a conductor, regardless of the isolation status confirmed at the isolation point.</w:t>
      </w:r>
    </w:p>
    <w:p>
      <w:pPr>
        <w:pStyle w:val="NumberedBulletL1"/>
      </w:pPr>
      <w:r>
        <w:t>For conductors operating above 1,000 V AC or 1,500 V DC, an approved absence-of-voltage test is conducted before earthing is applied. Earthing is not applied until the absence of voltage is confirmed at the point of work.</w:t>
      </w:r>
    </w:p>
    <w:p>
      <w:pPr>
        <w:pStyle w:val="Heading1Numbered"/>
      </w:pPr>
      <w:r>
        <w:t>7  Energised Work Authorisation</w:t>
      </w:r>
    </w:p>
    <w:p>
      <w:pPr>
        <w:pStyle w:val="NormalNumberedtext"/>
      </w:pPr>
      <w:r>
        <w:t>This section defines the conditions under which energised electrical work is permitted and the authorisation, review, and supervision requirements that apply.</w:t>
      </w:r>
    </w:p>
    <w:p>
      <w:pPr>
        <w:pStyle w:val="Heading2Numbered"/>
      </w:pPr>
      <w:r>
        <w:t>7.1  Energised Work Conditions and Authorisation Process</w:t>
      </w:r>
    </w:p>
    <w:p>
      <w:pPr>
        <w:pStyle w:val="NormalNumberedtext"/>
      </w:pPr>
      <w:r>
        <w:t>This section defines the prohibition on energised work, the justification requirements, and the formal authorisation process.</w:t>
      </w:r>
    </w:p>
    <w:p>
      <w:pPr>
        <w:pStyle w:val="NormalNumberedtext"/>
      </w:pPr>
      <w:r>
        <w:t>Work on or near energised electrical equipment is prohibited unless the work cannot be done in a de-energised state and no safer practicable alternative exists. The justification for energised work is documented before the Energised Work Authorisation is prepared.</w:t>
      </w:r>
    </w:p>
    <w:p>
      <w:pPr>
        <w:pStyle w:val="NormalNumberedtext"/>
      </w:pPr>
      <w:r>
        <w:t>The Electrical Superintendent ensures the following Energised Work Authorisation requirements are met:</w:t>
      </w:r>
    </w:p>
    <w:p>
      <w:pPr>
        <w:pStyle w:val="NumberedBulletL1"/>
      </w:pPr>
      <w:r>
        <w:t>A formal Energised Work Authorisation is prepared for every task involving work on or near energised equipment. The authorisation documents the justification, the specific scope, the identified hazards, the controls applied, the PPE required, and the emergency response arrangements.</w:t>
      </w:r>
    </w:p>
    <w:p>
      <w:pPr>
        <w:pStyle w:val="NumberedBulletL1"/>
      </w:pPr>
      <w:r>
        <w:t>An independent review of the Energised Work Authorisation is conducted by an Authorised Person who is not directly involved in the task before work commences. The reviewer signs the authorisation to confirm the review is complete.</w:t>
      </w:r>
    </w:p>
    <w:p>
      <w:pPr>
        <w:pStyle w:val="NumberedBulletL1"/>
      </w:pPr>
      <w:r>
        <w:t>Supervision is provided at a level appropriate to the risk identified in the arc flash hazard assessment and the risk assessment for the specific task. The supervision arrangement is defined in the authorisation.</w:t>
      </w:r>
    </w:p>
    <w:p>
      <w:pPr>
        <w:pStyle w:val="NumberedBulletL1"/>
      </w:pPr>
      <w:r>
        <w:t>The Energised Work Authorisation is available at the work location for the duration of the task. The authorisation is not held offsite or in a location that requires personnel to leave the work area to access it.</w:t>
      </w:r>
    </w:p>
    <w:p>
      <w:pPr>
        <w:pStyle w:val="NumberedBulletL1"/>
      </w:pPr>
      <w:r>
        <w:t>Energised work permits are raised via the site PTW system before commencing work; refer RTPR-HSE-PRO-0021.</w:t>
      </w:r>
    </w:p>
    <w:p>
      <w:pPr>
        <w:pStyle w:val="Heading1Numbered"/>
      </w:pPr>
      <w:r>
        <w:t>8  Arc Flash PPE and Protective Devices</w:t>
      </w:r>
    </w:p>
    <w:p>
      <w:pPr>
        <w:pStyle w:val="NormalNumberedtext"/>
      </w:pPr>
      <w:r>
        <w:t>This section defines the arc flash PPE requirements by task category and the protective device requirements identified through the arc flash hazard assessment.</w:t>
      </w:r>
    </w:p>
    <w:p>
      <w:pPr>
        <w:pStyle w:val="Heading2Numbered"/>
      </w:pPr>
      <w:r>
        <w:t>8.1  Arc Flash PPE Requirements by Task Category</w:t>
      </w:r>
    </w:p>
    <w:p>
      <w:pPr>
        <w:pStyle w:val="NormalNumberedtext"/>
      </w:pPr>
      <w:r>
        <w:t>This section defines the PPE ratings required for each task category and the associated equipment requirements.</w:t>
      </w:r>
    </w:p>
    <w:p>
      <w:pPr>
        <w:pStyle w:val="NormalNumberedtext"/>
      </w:pPr>
      <w:r>
        <w:t>Arc flash PPE is selected based on the task category and incident energy level established in the arc flash hazard assessment. PPE procurement, fit-testing, and management are governed by RTPR-HSE-PRO-0027. The following requirements apply to selection and use at the task level.</w:t>
      </w:r>
    </w:p>
    <w:p>
      <w:pPr>
        <w:pStyle w:val="NormalNumberedtext"/>
      </w:pPr>
      <w:r>
        <w:t>The Authorised Person performing the task ensures the following PPE requirements are met:</w:t>
      </w:r>
    </w:p>
    <w:p>
      <w:pPr>
        <w:pStyle w:val="NumberedBulletL1"/>
      </w:pPr>
      <w:r>
        <w:t>Arc flash PPE is rated at or above the incident energy level identified for the specific task in the arc flash hazard assessment. PPE rated below the identified incident energy level is not used.</w:t>
      </w:r>
    </w:p>
    <w:p>
      <w:pPr>
        <w:pStyle w:val="NumberedBulletL1"/>
      </w:pPr>
      <w:r>
        <w:t>Voltage-rated tools, voltage-rated gloves, and operating sticks rated for the system voltage are used where the task category or risk assessment identifies them as required controls.</w:t>
      </w:r>
    </w:p>
    <w:p>
      <w:pPr>
        <w:pStyle w:val="NumberedBulletL1"/>
      </w:pPr>
      <w:r>
        <w:t>PPE condition is inspected before each use. Damaged or degraded arc flash PPE is removed from service immediately and replaced before the task commences.</w:t>
      </w:r>
    </w:p>
    <w:p>
      <w:pPr>
        <w:pStyle w:val="NormalNumberedtext"/>
      </w:pPr>
      <w:r>
        <w:t>Table: Arc Flash PPE Requirements by Task Category</w:t>
      </w:r>
    </w:p>
    <w:tbl>
      <w:tblPr>
        <w:tblStyle w:val="TableOption2"/>
        <w:tblW w:type="pct" w:w="5000"/>
      </w:tblPr>
      <w:tr>
        <w:trPr>
          <w:tblHeader/>
        </w:trPr>
        <w:tc>
          <w:tcPr>
            <w:shd w:val="clear" w:color="auto" w:fill="1F3864"/>
          </w:tcPr>
          <w:p>
            <w:pPr>
              <w:pStyle w:val="TableContents"/>
            </w:pPr>
            <w:r>
              <w:rPr>
                <w:b/>
                <w:bCs/>
                <w:color w:val="FFFFFF"/>
              </w:rPr>
              <w:t>Task Category</w:t>
            </w:r>
          </w:p>
        </w:tc>
        <w:tc>
          <w:tcPr>
            <w:shd w:val="clear" w:color="auto" w:fill="1F3864"/>
          </w:tcPr>
          <w:p>
            <w:pPr>
              <w:pStyle w:val="TableContents"/>
            </w:pPr>
            <w:r>
              <w:rPr>
                <w:b/>
                <w:bCs/>
                <w:color w:val="FFFFFF"/>
              </w:rPr>
              <w:t>Incident Energy Level (cal/cm²)</w:t>
            </w:r>
          </w:p>
        </w:tc>
        <w:tc>
          <w:tcPr>
            <w:shd w:val="clear" w:color="auto" w:fill="1F3864"/>
          </w:tcPr>
          <w:p>
            <w:pPr>
              <w:pStyle w:val="TableContents"/>
            </w:pPr>
            <w:r>
              <w:rPr>
                <w:b/>
                <w:bCs/>
                <w:color w:val="FFFFFF"/>
              </w:rPr>
              <w:t>Minimum PPE Rating</w:t>
            </w:r>
          </w:p>
        </w:tc>
        <w:tc>
          <w:tcPr>
            <w:shd w:val="clear" w:color="auto" w:fill="1F3864"/>
          </w:tcPr>
          <w:p>
            <w:pPr>
              <w:pStyle w:val="TableContents"/>
            </w:pPr>
            <w:r>
              <w:rPr>
                <w:b/>
                <w:bCs/>
                <w:color w:val="FFFFFF"/>
              </w:rPr>
              <w:t>Voltage-Rated Gloves Required</w:t>
            </w:r>
          </w:p>
        </w:tc>
        <w:tc>
          <w:tcPr>
            <w:shd w:val="clear" w:color="auto" w:fill="1F3864"/>
          </w:tcPr>
          <w:p>
            <w:pPr>
              <w:pStyle w:val="TableContents"/>
            </w:pPr>
            <w:r>
              <w:rPr>
                <w:b/>
                <w:bCs/>
                <w:color w:val="FFFFFF"/>
              </w:rPr>
              <w:t>Operating Stick Required</w:t>
            </w:r>
          </w:p>
        </w:tc>
      </w:tr>
      <w:tr>
        <w:tc>
          <w:tcPr/>
          <w:p>
            <w:pPr>
              <w:pStyle w:val="TableContents"/>
            </w:pPr>
            <w:r>
              <w:rPr>
                <w:b/>
                <w:bCs/>
                <w:color w:val="0059D1"/>
              </w:rPr>
              <w:t>[INSERT: task category]</w:t>
            </w:r>
          </w:p>
        </w:tc>
        <w:tc>
          <w:tcPr/>
          <w:p>
            <w:pPr>
              <w:pStyle w:val="TableContents"/>
            </w:pPr>
            <w:r>
              <w:rPr>
                <w:b/>
                <w:bCs/>
                <w:color w:val="0059D1"/>
              </w:rPr>
              <w:t>[INSERT: cal/cm² range]</w:t>
            </w:r>
          </w:p>
        </w:tc>
        <w:tc>
          <w:tcPr/>
          <w:p>
            <w:pPr>
              <w:pStyle w:val="TableContents"/>
            </w:pPr>
            <w:r>
              <w:rPr>
                <w:b/>
                <w:bCs/>
                <w:color w:val="0059D1"/>
              </w:rPr>
              <w:t>[INSERT: PPE arc rating cal/cm²]</w:t>
            </w:r>
          </w:p>
        </w:tc>
        <w:tc>
          <w:tcPr/>
          <w:p>
            <w:pPr>
              <w:pStyle w:val="TableContents"/>
            </w:pPr>
            <w:r>
              <w:rPr>
                <w:b/>
                <w:bCs/>
                <w:color w:val="0059D1"/>
              </w:rPr>
              <w:t>[INSERT: Yes/No]</w:t>
            </w:r>
          </w:p>
        </w:tc>
        <w:tc>
          <w:tcPr/>
          <w:p>
            <w:pPr>
              <w:pStyle w:val="TableContents"/>
            </w:pPr>
            <w:r>
              <w:rPr>
                <w:b/>
                <w:bCs/>
                <w:color w:val="0059D1"/>
              </w:rPr>
              <w:t>[INSERT: Yes/No]</w:t>
            </w:r>
          </w:p>
        </w:tc>
      </w:tr>
      <w:tr>
        <w:tc>
          <w:tcPr/>
          <w:p>
            <w:pPr>
              <w:pStyle w:val="TableContents"/>
            </w:pPr>
            <w:r>
              <w:rPr>
                <w:b/>
                <w:bCs/>
                <w:color w:val="0059D1"/>
              </w:rPr>
              <w:t>[INSERT: task category]</w:t>
            </w:r>
          </w:p>
        </w:tc>
        <w:tc>
          <w:tcPr/>
          <w:p>
            <w:pPr>
              <w:pStyle w:val="TableContents"/>
            </w:pPr>
            <w:r>
              <w:rPr>
                <w:b/>
                <w:bCs/>
                <w:color w:val="0059D1"/>
              </w:rPr>
              <w:t>[INSERT: cal/cm² range]</w:t>
            </w:r>
          </w:p>
        </w:tc>
        <w:tc>
          <w:tcPr/>
          <w:p>
            <w:pPr>
              <w:pStyle w:val="TableContents"/>
            </w:pPr>
            <w:r>
              <w:rPr>
                <w:b/>
                <w:bCs/>
                <w:color w:val="0059D1"/>
              </w:rPr>
              <w:t>[INSERT: PPE arc rating cal/cm²]</w:t>
            </w:r>
          </w:p>
        </w:tc>
        <w:tc>
          <w:tcPr/>
          <w:p>
            <w:pPr>
              <w:pStyle w:val="TableContents"/>
            </w:pPr>
            <w:r>
              <w:rPr>
                <w:b/>
                <w:bCs/>
                <w:color w:val="0059D1"/>
              </w:rPr>
              <w:t>[INSERT: Yes/No]</w:t>
            </w:r>
          </w:p>
        </w:tc>
        <w:tc>
          <w:tcPr/>
          <w:p>
            <w:pPr>
              <w:pStyle w:val="TableContents"/>
            </w:pPr>
            <w:r>
              <w:rPr>
                <w:b/>
                <w:bCs/>
                <w:color w:val="0059D1"/>
              </w:rPr>
              <w:t>[INSERT: Yes/No]</w:t>
            </w:r>
          </w:p>
        </w:tc>
      </w:tr>
      <w:tr>
        <w:tc>
          <w:tcPr/>
          <w:p>
            <w:pPr>
              <w:pStyle w:val="TableContents"/>
            </w:pPr>
            <w:r>
              <w:rPr>
                <w:b/>
                <w:bCs/>
                <w:color w:val="0059D1"/>
              </w:rPr>
              <w:t>[INSERT: task category]</w:t>
            </w:r>
          </w:p>
        </w:tc>
        <w:tc>
          <w:tcPr/>
          <w:p>
            <w:pPr>
              <w:pStyle w:val="TableContents"/>
            </w:pPr>
            <w:r>
              <w:rPr>
                <w:b/>
                <w:bCs/>
                <w:color w:val="0059D1"/>
              </w:rPr>
              <w:t>[INSERT: cal/cm² range]</w:t>
            </w:r>
          </w:p>
        </w:tc>
        <w:tc>
          <w:tcPr/>
          <w:p>
            <w:pPr>
              <w:pStyle w:val="TableContents"/>
            </w:pPr>
            <w:r>
              <w:rPr>
                <w:b/>
                <w:bCs/>
                <w:color w:val="0059D1"/>
              </w:rPr>
              <w:t>[INSERT: PPE arc rating cal/cm²]</w:t>
            </w:r>
          </w:p>
        </w:tc>
        <w:tc>
          <w:tcPr/>
          <w:p>
            <w:pPr>
              <w:pStyle w:val="TableContents"/>
            </w:pPr>
            <w:r>
              <w:rPr>
                <w:b/>
                <w:bCs/>
                <w:color w:val="0059D1"/>
              </w:rPr>
              <w:t>[INSERT: Yes/No]</w:t>
            </w:r>
          </w:p>
        </w:tc>
        <w:tc>
          <w:tcPr/>
          <w:p>
            <w:pPr>
              <w:pStyle w:val="TableContents"/>
            </w:pPr>
            <w:r>
              <w:rPr>
                <w:b/>
                <w:bCs/>
                <w:color w:val="0059D1"/>
              </w:rPr>
              <w:t>[INSERT: Yes/No]</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Arc Flash PPE Table: Populate the task category table above using the findings of the completed arc flash hazard assessment. Each row must correspond to a defined task category in the assessment. Refer RTPR-HSE-PRO-0027 for PPE management requirements.</w:t>
            </w:r>
          </w:p>
        </w:tc>
      </w:tr>
    </w:tbl>
    <w:p>
      <w:pPr>
        <w:pStyle w:val="Default"/>
      </w:pPr>
    </w:p>
    <w:p>
      <w:pPr>
        <w:pStyle w:val="Heading2Numbered"/>
      </w:pPr>
      <w:r>
        <w:t>8.2  Arc Flash Protective Devices</w:t>
      </w:r>
    </w:p>
    <w:p>
      <w:pPr>
        <w:pStyle w:val="NormalNumberedtext"/>
      </w:pPr>
      <w:r>
        <w:t>This section defines the requirements for arc flash relays and equivalent protective devices where identified by the arc flash hazard assessment.</w:t>
      </w:r>
    </w:p>
    <w:p>
      <w:pPr>
        <w:pStyle w:val="NormalNumberedtext"/>
      </w:pPr>
      <w:r>
        <w:t>The Electrical Superintendent ensures the following protective device requirements are met:</w:t>
      </w:r>
    </w:p>
    <w:p>
      <w:pPr>
        <w:pStyle w:val="NumberedBulletL1"/>
      </w:pPr>
      <w:r>
        <w:t>Arc flash relays or equivalent protective devices are installed where the arc flash hazard assessment identifies them as necessary to achieve the required incident energy level for the task category.</w:t>
      </w:r>
    </w:p>
    <w:p>
      <w:pPr>
        <w:pStyle w:val="NumberedBulletL1"/>
      </w:pPr>
      <w:r>
        <w:t>Settings for arc flash relays and equivalent protective devices are established, verified, and documented by an Authorised Person before the device is commissioned. Settings are reviewed whenever a modification is made to the electrical system.</w:t>
      </w:r>
    </w:p>
    <w:p>
      <w:pPr>
        <w:pStyle w:val="NumberedBulletL1"/>
      </w:pPr>
      <w:r>
        <w:rPr>
          <w:color w:val="C55A11"/>
        </w:rPr>
        <w:t>Arc flash relay function testing is conducted at intervals not exceeding twelve months, or following any modification to the system the relay protects. Test results are recorded in the Electrical Equipment Register, RTPR-HSE-REG-0010.</w:t>
      </w:r>
    </w:p>
    <w:p>
      <w:pPr>
        <w:pStyle w:val="Heading1Numbered"/>
      </w:pPr>
      <w:r>
        <w:t>9  Lightning, Severe Weather, and Emergency Response</w:t>
      </w:r>
    </w:p>
    <w:p>
      <w:pPr>
        <w:pStyle w:val="NormalNumberedtext"/>
      </w:pPr>
      <w:r>
        <w:t>This section defines the lightning and severe weather management process, work suspension triggers, and the emergency response requirements for live electrical work.</w:t>
      </w:r>
    </w:p>
    <w:p>
      <w:pPr>
        <w:pStyle w:val="Heading2Numbered"/>
      </w:pPr>
      <w:r>
        <w:t>9.1  Lightning and Severe Weather Management</w:t>
      </w:r>
    </w:p>
    <w:p>
      <w:pPr>
        <w:pStyle w:val="NormalNumberedtext"/>
      </w:pPr>
      <w:r>
        <w:t>This section defines the documented process, suspension triggers, shelter identification, and earthing arrangements for severe weather events.</w:t>
      </w:r>
    </w:p>
    <w:p>
      <w:pPr>
        <w:pStyle w:val="NormalNumberedtext"/>
      </w:pPr>
      <w:r>
        <w:t>A documented lightning and severe weather management process is maintained for the project and includes site-defined work suspension triggers, identified shelter locations, and earthing and isolation arrangements for managing earth potential rise.</w:t>
      </w:r>
    </w:p>
    <w:p>
      <w:pPr>
        <w:pStyle w:val="NormalNumberedtext"/>
      </w:pPr>
      <w:r>
        <w:t>The HSESC Manager ensures the following lightning and severe weather requirements are met:</w:t>
      </w:r>
    </w:p>
    <w:p>
      <w:pPr>
        <w:pStyle w:val="NumberedBulletL1"/>
      </w:pPr>
      <w:r>
        <w:t>The lightning and severe weather management process defines the suspension trigger for electrical work, expressed as a distance threshold for detected lightning. All outdoor electrical work ceases when the threshold is reached and does not resume until the all-clear is confirmed.</w:t>
      </w:r>
    </w:p>
    <w:p>
      <w:pPr>
        <w:pStyle w:val="NumberedBulletL1"/>
      </w:pPr>
      <w:r>
        <w:t>Designated shelter locations are identified for each work zone before electrical work commences in that zone. Shelter locations are communicated to all personnel at the pre-start briefing.</w:t>
      </w:r>
    </w:p>
    <w:p>
      <w:pPr>
        <w:pStyle w:val="NumberedBulletL1"/>
      </w:pPr>
      <w:r>
        <w:t>Earthing and isolation arrangements for managing earth potential rise during and after a lightning event are defined in the project lightning management process and are implemented before the suspension threshold is reached where practicable.</w:t>
      </w:r>
    </w:p>
    <w:tbl>
      <w:tblPr>
        <w:tblStyle w:val="TableOption1"/>
        <w:tblW w:type="pct" w:w="5000"/>
      </w:tblPr>
      <w:tr>
        <w:tc>
          <w:tcPr>
            <w:shd w:val="clear" w:color="auto" w:fill="FFF2CC"/>
          </w:tcPr>
          <w:p>
            <w:pPr>
              <w:pStyle w:val="Instructions"/>
            </w:pPr>
            <w:r>
              <w:rPr>
                <w:b/>
                <w:bCs/>
                <w:color w:val="C55A11"/>
              </w:rPr>
              <w:t>PROJECT COMPLETION — Lightning Suspension Threshold: Define the project lightning and severe weather suspension threshold for electrical work (e.g., lightning detected within X km). The procedure requires a defined threshold — the project sets it based on site location and risk. Insert the project threshold in the placeholder below.</w:t>
            </w:r>
          </w:p>
        </w:tc>
      </w:tr>
    </w:tbl>
    <w:p>
      <w:pPr>
        <w:pStyle w:val="Default"/>
      </w:pPr>
    </w:p>
    <w:p>
      <w:pPr>
        <w:pStyle w:val="NormalNumberedtext"/>
      </w:pPr>
      <w:r>
        <w:rPr>
          <w:b/>
          <w:bCs/>
          <w:color w:val="0059D1"/>
        </w:rPr>
        <w:t>[INSERT: lightning_suspension_threshold] — Insert the defined distance threshold for lightning detection that triggers suspension of electrical work (e.g., lightning within 8 km of the work area, based on site-specific risk assessment).</w:t>
      </w:r>
    </w:p>
    <w:p>
      <w:pPr>
        <w:pStyle w:val="Heading2Numbered"/>
      </w:pPr>
      <w:r>
        <w:t>9.2  Electrical Emergency Response</w:t>
      </w:r>
    </w:p>
    <w:p>
      <w:pPr>
        <w:pStyle w:val="NormalNumberedtext"/>
      </w:pPr>
      <w:r>
        <w:t>This section defines the Emergency Rescue Plan requirements for live work and the frequency of electrical emergency response drills.</w:t>
      </w:r>
    </w:p>
    <w:p>
      <w:pPr>
        <w:pStyle w:val="NormalNumberedtext"/>
      </w:pPr>
      <w:r>
        <w:t>The Electrical Superintendent ensures the following electrical emergency response requirements are met:</w:t>
      </w:r>
    </w:p>
    <w:p>
      <w:pPr>
        <w:pStyle w:val="NumberedBulletL1"/>
      </w:pPr>
      <w:r>
        <w:t>A task-specific Emergency Rescue Plan is prepared and communicated to all personnel before any live testing or live electrical work commences. The plan identifies the rescue sequence, the personnel responsible for rescue, the location of rescue equipment, and the route to the nearest medical facility.</w:t>
      </w:r>
    </w:p>
    <w:p>
      <w:pPr>
        <w:pStyle w:val="NumberedBulletL1"/>
      </w:pPr>
      <w:r>
        <w:t>Electrical emergency response drills are conducted at a frequency determined by risk assessment. The minimum frequency and the trigger events that require an unplanned drill are defined in the project emergency response plan.</w:t>
      </w:r>
    </w:p>
    <w:p>
      <w:pPr>
        <w:pStyle w:val="NumberedBulletL1"/>
      </w:pPr>
      <w:r>
        <w:rPr>
          <w:color w:val="C55A11"/>
        </w:rPr>
        <w:t>Electrical emergency response drills are conducted at intervals not exceeding six months for work sites where live work is regularly performed. Drill outcomes are recorded and reviewed by the HSESC Manager to identify improvement actions.</w:t>
      </w:r>
    </w:p>
    <w:p>
      <w:pPr>
        <w:pStyle w:val="Heading1Numbered"/>
      </w:pPr>
      <w:r>
        <w:t>10  Electrical Competency and Authorisation</w:t>
      </w:r>
    </w:p>
    <w:p>
      <w:pPr>
        <w:pStyle w:val="NormalNumberedtext"/>
      </w:pPr>
      <w:r>
        <w:t>This section defines the competency, licensing, authorisation, and reassessment requirements for all personnel performing electrical work on the project.</w:t>
      </w:r>
    </w:p>
    <w:p>
      <w:pPr>
        <w:pStyle w:val="Heading2Numbered"/>
      </w:pPr>
      <w:r>
        <w:t>10.1  Competency and Licensing Requirements</w:t>
      </w:r>
    </w:p>
    <w:p>
      <w:pPr>
        <w:pStyle w:val="NormalNumberedtext"/>
      </w:pPr>
      <w:r>
        <w:t>This section defines the qualification, licensing, and initial authorisation requirements before electrical work commences.</w:t>
      </w:r>
    </w:p>
    <w:p>
      <w:pPr>
        <w:pStyle w:val="NormalNumberedtext"/>
      </w:pPr>
      <w:r>
        <w:t>All personnel performing electrical work on the project are qualified, competent, and formally authorised before commencing work. Competency records are maintained in RTPR-HSE-REG-0003 under the process defined in RTPR-HSE-PRO-0004.</w:t>
      </w:r>
    </w:p>
    <w:p>
      <w:pPr>
        <w:pStyle w:val="NormalNumberedtext"/>
      </w:pPr>
      <w:r>
        <w:t>The Electrical Superintendent ensures the following competency and licensing requirements are met:</w:t>
      </w:r>
    </w:p>
    <w:p>
      <w:pPr>
        <w:pStyle w:val="NumberedBulletL1"/>
      </w:pPr>
      <w:r>
        <w:t>Where applicable legislation requires a licence for the class of electrical work being performed, the licence is held and verified before the project authorisation is granted. A project authorisation does not substitute for a legislative licence requirement.</w:t>
      </w:r>
    </w:p>
    <w:p>
      <w:pPr>
        <w:pStyle w:val="NumberedBulletL1"/>
      </w:pPr>
      <w:r>
        <w:t>Competency reassessments are conducted at intervals not exceeding two years for all personnel holding an electrical work authorisation on the project.</w:t>
      </w:r>
    </w:p>
    <w:p>
      <w:pPr>
        <w:pStyle w:val="NumberedBulletL1"/>
      </w:pPr>
      <w:r>
        <w:t>When a person changes work roles, the existing authorisation is withdrawn and a reassessment is conducted before a new authorisation is granted for the new role.</w:t>
      </w:r>
    </w:p>
    <w:p>
      <w:pPr>
        <w:pStyle w:val="NumberedBulletL1"/>
      </w:pPr>
      <w:r>
        <w:t>Access to exposed, energised parts exceeding 1,000 V AC or 1,500 V DC is prohibited except for isolation, inspection, or testing conducted by competent and authorised personnel using appropriate high-voltage equipment, procedures, and PPE.</w:t>
      </w:r>
    </w:p>
    <w:p>
      <w:pPr>
        <w:pStyle w:val="Heading2Numbered"/>
      </w:pPr>
      <w:r>
        <w:t>10.2  Authorisation Categories</w:t>
      </w:r>
    </w:p>
    <w:p>
      <w:pPr>
        <w:pStyle w:val="NormalNumberedtext"/>
      </w:pPr>
      <w:r>
        <w:t>This section defines the authorisation categories applicable to this project and the scope of work permitted under each category.</w:t>
      </w:r>
    </w:p>
    <w:p>
      <w:pPr>
        <w:pStyle w:val="NormalNumberedtext"/>
      </w:pPr>
      <w:r>
        <w:t>The project defines authorisation categories covering the three domains required by the RT C2 Standard: electrical work and isolation; protective equipment selection; and hazardous environment entry. Each category defines the scope of permitted work and the minimum qualification and assessment requirements.</w:t>
      </w:r>
    </w:p>
    <w:p>
      <w:pPr>
        <w:pStyle w:val="NormalNumberedtext"/>
      </w:pPr>
      <w:r>
        <w:t>Table: Project Electrical Authorisation Categories</w:t>
      </w:r>
    </w:p>
    <w:tbl>
      <w:tblPr>
        <w:tblStyle w:val="TableOption2"/>
        <w:tblW w:type="pct" w:w="5000"/>
      </w:tblPr>
      <w:tr>
        <w:trPr>
          <w:tblHeader/>
        </w:trPr>
        <w:tc>
          <w:tcPr>
            <w:shd w:val="clear" w:color="auto" w:fill="1F3864"/>
          </w:tcPr>
          <w:p>
            <w:pPr>
              <w:pStyle w:val="TableContents"/>
            </w:pPr>
            <w:r>
              <w:rPr>
                <w:b/>
                <w:bCs/>
                <w:color w:val="FFFFFF"/>
              </w:rPr>
              <w:t>Authorisation Category</w:t>
            </w:r>
          </w:p>
        </w:tc>
        <w:tc>
          <w:tcPr>
            <w:shd w:val="clear" w:color="auto" w:fill="1F3864"/>
          </w:tcPr>
          <w:p>
            <w:pPr>
              <w:pStyle w:val="TableContents"/>
            </w:pPr>
            <w:r>
              <w:rPr>
                <w:b/>
                <w:bCs/>
                <w:color w:val="FFFFFF"/>
              </w:rPr>
              <w:t>Scope of Permitted Work</w:t>
            </w:r>
          </w:p>
        </w:tc>
        <w:tc>
          <w:tcPr>
            <w:shd w:val="clear" w:color="auto" w:fill="1F3864"/>
          </w:tcPr>
          <w:p>
            <w:pPr>
              <w:pStyle w:val="TableContents"/>
            </w:pPr>
            <w:r>
              <w:rPr>
                <w:b/>
                <w:bCs/>
                <w:color w:val="FFFFFF"/>
              </w:rPr>
              <w:t>Minimum Qualification</w:t>
            </w:r>
          </w:p>
        </w:tc>
        <w:tc>
          <w:tcPr>
            <w:shd w:val="clear" w:color="auto" w:fill="1F3864"/>
          </w:tcPr>
          <w:p>
            <w:pPr>
              <w:pStyle w:val="TableContents"/>
            </w:pPr>
            <w:r>
              <w:rPr>
                <w:b/>
                <w:bCs/>
                <w:color w:val="FFFFFF"/>
              </w:rPr>
              <w:t>Project Authorisation Required</w:t>
            </w:r>
          </w:p>
        </w:tc>
        <w:tc>
          <w:tcPr>
            <w:shd w:val="clear" w:color="auto" w:fill="1F3864"/>
          </w:tcPr>
          <w:p>
            <w:pPr>
              <w:pStyle w:val="TableContents"/>
            </w:pPr>
            <w:r>
              <w:rPr>
                <w:b/>
                <w:bCs/>
                <w:color w:val="FFFFFF"/>
              </w:rPr>
              <w:t>Reassessment Interval</w:t>
            </w:r>
          </w:p>
        </w:tc>
      </w:tr>
      <w:tr>
        <w:tc>
          <w:tcPr/>
          <w:p>
            <w:pPr>
              <w:pStyle w:val="TableContents"/>
            </w:pPr>
            <w:r>
              <w:t>Electrical Work and Isolation — Licensed Electrician</w:t>
            </w:r>
          </w:p>
        </w:tc>
        <w:tc>
          <w:tcPr/>
          <w:p>
            <w:pPr>
              <w:pStyle w:val="TableContents"/>
            </w:pPr>
            <w:r>
              <w:t>Low-voltage electrical work and isolation as defined by project scope, excluding novel isolations and energised work</w:t>
            </w:r>
          </w:p>
        </w:tc>
        <w:tc>
          <w:tcPr/>
          <w:p>
            <w:pPr>
              <w:pStyle w:val="TableContents"/>
            </w:pPr>
            <w:r>
              <w:t>Applicable legislative licence</w:t>
            </w:r>
          </w:p>
        </w:tc>
        <w:tc>
          <w:tcPr/>
          <w:p>
            <w:pPr>
              <w:pStyle w:val="TableContents"/>
            </w:pPr>
            <w:r>
              <w:t>Yes — project induction and site authorisation</w:t>
            </w:r>
          </w:p>
        </w:tc>
        <w:tc>
          <w:tcPr/>
          <w:p>
            <w:pPr>
              <w:pStyle w:val="TableContents"/>
            </w:pPr>
            <w:r>
              <w:t>2 years</w:t>
            </w:r>
          </w:p>
        </w:tc>
      </w:tr>
      <w:tr>
        <w:tc>
          <w:tcPr/>
          <w:p>
            <w:pPr>
              <w:pStyle w:val="TableContents"/>
            </w:pPr>
            <w:r>
              <w:t>Electrical Work and Isolation — Authorised Person (AP)</w:t>
            </w:r>
          </w:p>
        </w:tc>
        <w:tc>
          <w:tcPr/>
          <w:p>
            <w:pPr>
              <w:pStyle w:val="TableContents"/>
            </w:pPr>
            <w:r>
              <w:t>All electrical work including high-voltage systems, novel isolations, energised work authorisation review, and isolation management</w:t>
            </w:r>
          </w:p>
        </w:tc>
        <w:tc>
          <w:tcPr/>
          <w:p>
            <w:pPr>
              <w:pStyle w:val="TableContents"/>
            </w:pPr>
            <w:r>
              <w:rPr>
                <w:b/>
                <w:bCs/>
                <w:color w:val="0059D1"/>
              </w:rPr>
              <w:t>[INSERT: minimum qualification and licence requirement]</w:t>
            </w:r>
          </w:p>
        </w:tc>
        <w:tc>
          <w:tcPr/>
          <w:p>
            <w:pPr>
              <w:pStyle w:val="TableContents"/>
            </w:pPr>
            <w:r>
              <w:t>Yes — AP assessment and formal project authorisation</w:t>
            </w:r>
          </w:p>
        </w:tc>
        <w:tc>
          <w:tcPr/>
          <w:p>
            <w:pPr>
              <w:pStyle w:val="TableContents"/>
            </w:pPr>
            <w:r>
              <w:t>2 years</w:t>
            </w:r>
          </w:p>
        </w:tc>
      </w:tr>
      <w:tr>
        <w:tc>
          <w:tcPr/>
          <w:p>
            <w:pPr>
              <w:pStyle w:val="TableContents"/>
            </w:pPr>
            <w:r>
              <w:t>Protective Equipment Selection</w:t>
            </w:r>
          </w:p>
        </w:tc>
        <w:tc>
          <w:tcPr/>
          <w:p>
            <w:pPr>
              <w:pStyle w:val="TableContents"/>
            </w:pPr>
            <w:r>
              <w:t>Selection and verification of arc flash PPE and voltage-rated equipment for task categories defined in this procedure</w:t>
            </w:r>
          </w:p>
        </w:tc>
        <w:tc>
          <w:tcPr/>
          <w:p>
            <w:pPr>
              <w:pStyle w:val="TableContents"/>
            </w:pPr>
            <w:r>
              <w:rPr>
                <w:b/>
                <w:bCs/>
                <w:color w:val="0059D1"/>
              </w:rPr>
              <w:t>[INSERT: minimum qualification]</w:t>
            </w:r>
          </w:p>
        </w:tc>
        <w:tc>
          <w:tcPr/>
          <w:p>
            <w:pPr>
              <w:pStyle w:val="TableContents"/>
            </w:pPr>
            <w:r>
              <w:t>Yes — documented assessment against this procedure</w:t>
            </w:r>
          </w:p>
        </w:tc>
        <w:tc>
          <w:tcPr/>
          <w:p>
            <w:pPr>
              <w:pStyle w:val="TableContents"/>
            </w:pPr>
            <w:r>
              <w:t>2 years</w:t>
            </w:r>
          </w:p>
        </w:tc>
      </w:tr>
      <w:tr>
        <w:tc>
          <w:tcPr/>
          <w:p>
            <w:pPr>
              <w:pStyle w:val="TableContents"/>
            </w:pPr>
            <w:r>
              <w:t>Hazardous Environment Entry — General</w:t>
            </w:r>
          </w:p>
        </w:tc>
        <w:tc>
          <w:tcPr/>
          <w:p>
            <w:pPr>
              <w:pStyle w:val="TableContents"/>
            </w:pPr>
            <w:r>
              <w:t>Entry to designated electrical hazardous environments excluding potline</w:t>
            </w:r>
          </w:p>
        </w:tc>
        <w:tc>
          <w:tcPr/>
          <w:p>
            <w:pPr>
              <w:pStyle w:val="TableContents"/>
            </w:pPr>
            <w:r>
              <w:rPr>
                <w:b/>
                <w:bCs/>
                <w:color w:val="0059D1"/>
              </w:rPr>
              <w:t>[INSERT: minimum training requirement]</w:t>
            </w:r>
          </w:p>
        </w:tc>
        <w:tc>
          <w:tcPr/>
          <w:p>
            <w:pPr>
              <w:pStyle w:val="TableContents"/>
            </w:pPr>
            <w:r>
              <w:t>Yes — site-specific hazardous environment training</w:t>
            </w:r>
          </w:p>
        </w:tc>
        <w:tc>
          <w:tcPr/>
          <w:p>
            <w:pPr>
              <w:pStyle w:val="TableContents"/>
            </w:pPr>
            <w:r>
              <w:t>2 years</w:t>
            </w:r>
          </w:p>
        </w:tc>
      </w:tr>
      <w:tr>
        <w:tc>
          <w:tcPr/>
          <w:p>
            <w:pPr>
              <w:pStyle w:val="TableContents"/>
            </w:pPr>
            <w:r>
              <w:rPr>
                <w:b/>
                <w:bCs/>
                <w:color w:val="0059D1"/>
              </w:rPr>
              <w:t>[INSERT: Potline/Electrolytic Process Entry — if applicable]</w:t>
            </w:r>
          </w:p>
        </w:tc>
        <w:tc>
          <w:tcPr/>
          <w:p>
            <w:pPr>
              <w:pStyle w:val="TableContents"/>
            </w:pPr>
            <w:r>
              <w:rPr>
                <w:b/>
                <w:bCs/>
                <w:color w:val="0059D1"/>
              </w:rPr>
              <w:t>[INSERT: scope of work in potline or electrolytic process environment]</w:t>
            </w:r>
          </w:p>
        </w:tc>
        <w:tc>
          <w:tcPr/>
          <w:p>
            <w:pPr>
              <w:pStyle w:val="TableContents"/>
            </w:pPr>
            <w:r>
              <w:rPr>
                <w:b/>
                <w:bCs/>
                <w:color w:val="0059D1"/>
              </w:rPr>
              <w:t>[INSERT: minimum qualification]</w:t>
            </w:r>
          </w:p>
        </w:tc>
        <w:tc>
          <w:tcPr/>
          <w:p>
            <w:pPr>
              <w:pStyle w:val="TableContents"/>
            </w:pPr>
            <w:r>
              <w:rPr>
                <w:b/>
                <w:bCs/>
                <w:color w:val="0059D1"/>
              </w:rPr>
              <w:t>[INSERT: Yes/No and basis]</w:t>
            </w:r>
          </w:p>
        </w:tc>
        <w:tc>
          <w:tcPr/>
          <w:p>
            <w:pPr>
              <w:pStyle w:val="TableContents"/>
            </w:pPr>
            <w:r>
              <w:t>2 years</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Authorisation Matrix: Define the electrical authorisation categories for this project: what work a licensed electrician may perform without additional project authorisation; what requires project-level Authorised Person status. Insert the completed authorisation matrix above and confirm the details with the project Electrical Superintendent before issue.</w:t>
            </w:r>
          </w:p>
        </w:tc>
      </w:tr>
    </w:tbl>
    <w:p>
      <w:pPr>
        <w:pStyle w:val="Default"/>
      </w:pPr>
    </w:p>
    <w:p>
      <w:pPr>
        <w:pStyle w:val="NormalNumberedtext"/>
      </w:pPr>
      <w:r>
        <w:rPr>
          <w:b/>
          <w:bCs/>
          <w:color w:val="0059D1"/>
        </w:rPr>
        <w:t>[INSERT: authorisation_matrix_reference] — Insert the reference number of the completed project electrical authorisation matrix if it is maintained as a separate controlled document, or confirm the table above is the project-of-record authorisation matrix.</w:t>
      </w:r>
    </w:p>
    <w:p>
      <w:pPr>
        <w:pStyle w:val="Heading2Numbered"/>
      </w:pPr>
      <w:r>
        <w:t>10.3  Overhead Power Lines and Structures Above Energised Lines</w:t>
      </w:r>
    </w:p>
    <w:p>
      <w:pPr>
        <w:pStyle w:val="NormalNumberedtext"/>
      </w:pPr>
      <w:r>
        <w:t>This section defines the approach distance, demarcation, and safe work procedure requirements for overhead power line hazards.</w:t>
      </w:r>
    </w:p>
    <w:p>
      <w:pPr>
        <w:pStyle w:val="NormalNumberedtext"/>
      </w:pPr>
      <w:r>
        <w:t>The Electrical Superintendent ensures the following overhead power line requirements are met:</w:t>
      </w:r>
    </w:p>
    <w:p>
      <w:pPr>
        <w:pStyle w:val="NumberedBulletL1"/>
      </w:pPr>
      <w:r>
        <w:t>All overhead power lines in or adjacent to the project work area are identified and protected. Crossing points are demarcated and barricade flags are placed adjacent to the lines. Minimum approach distances are posted at each crossing point.</w:t>
      </w:r>
    </w:p>
    <w:p>
      <w:pPr>
        <w:pStyle w:val="NumberedBulletL1"/>
      </w:pPr>
      <w:r>
        <w:t>Where work is required on structures above energised overhead power lines, a dedicated safe work procedure is prepared and approved by a competent electrical engineer before the work commences. The procedure is supported by a specific permit raised via the site PTW system and a formal risk assessment; refer RTPR-HSE-PRO-0021 and RTPR-HSE-PRO-0002.</w:t>
      </w:r>
    </w:p>
    <w:p>
      <w:pPr>
        <w:pStyle w:val="NormalNumberedtext"/>
      </w:pPr>
      <w:r>
        <w:t>Table: Overhead Power Line Crossing Points and Minimum Approach Distances</w:t>
      </w:r>
    </w:p>
    <w:tbl>
      <w:tblPr>
        <w:tblStyle w:val="TableOption2"/>
        <w:tblW w:type="pct" w:w="5000"/>
      </w:tblPr>
      <w:tr>
        <w:trPr>
          <w:tblHeader/>
        </w:trPr>
        <w:tc>
          <w:tcPr>
            <w:shd w:val="clear" w:color="auto" w:fill="1F3864"/>
          </w:tcPr>
          <w:p>
            <w:pPr>
              <w:pStyle w:val="TableContents"/>
            </w:pPr>
            <w:r>
              <w:rPr>
                <w:b/>
                <w:bCs/>
                <w:color w:val="FFFFFF"/>
              </w:rPr>
              <w:t>Crossing Point Identifier</w:t>
            </w:r>
          </w:p>
        </w:tc>
        <w:tc>
          <w:tcPr>
            <w:shd w:val="clear" w:color="auto" w:fill="1F3864"/>
          </w:tcPr>
          <w:p>
            <w:pPr>
              <w:pStyle w:val="TableContents"/>
            </w:pPr>
            <w:r>
              <w:rPr>
                <w:b/>
                <w:bCs/>
                <w:color w:val="FFFFFF"/>
              </w:rPr>
              <w:t>Location Description</w:t>
            </w:r>
          </w:p>
        </w:tc>
        <w:tc>
          <w:tcPr>
            <w:shd w:val="clear" w:color="auto" w:fill="1F3864"/>
          </w:tcPr>
          <w:p>
            <w:pPr>
              <w:pStyle w:val="TableContents"/>
            </w:pPr>
            <w:r>
              <w:rPr>
                <w:b/>
                <w:bCs/>
                <w:color w:val="FFFFFF"/>
              </w:rPr>
              <w:t>Line Voltage (kV)</w:t>
            </w:r>
          </w:p>
        </w:tc>
        <w:tc>
          <w:tcPr>
            <w:shd w:val="clear" w:color="auto" w:fill="1F3864"/>
          </w:tcPr>
          <w:p>
            <w:pPr>
              <w:pStyle w:val="TableContents"/>
            </w:pPr>
            <w:r>
              <w:rPr>
                <w:b/>
                <w:bCs/>
                <w:color w:val="FFFFFF"/>
              </w:rPr>
              <w:t>Minimum Approach Distance (m)</w:t>
            </w:r>
          </w:p>
        </w:tc>
        <w:tc>
          <w:tcPr>
            <w:shd w:val="clear" w:color="auto" w:fill="1F3864"/>
          </w:tcPr>
          <w:p>
            <w:pPr>
              <w:pStyle w:val="TableContents"/>
            </w:pPr>
            <w:r>
              <w:rPr>
                <w:b/>
                <w:bCs/>
                <w:color w:val="FFFFFF"/>
              </w:rPr>
              <w:t>Demarcation Method</w:t>
            </w:r>
          </w:p>
        </w:tc>
        <w:tc>
          <w:tcPr>
            <w:shd w:val="clear" w:color="auto" w:fill="1F3864"/>
          </w:tcPr>
          <w:p>
            <w:pPr>
              <w:pStyle w:val="TableContents"/>
            </w:pPr>
            <w:r>
              <w:rPr>
                <w:b/>
                <w:bCs/>
                <w:color w:val="FFFFFF"/>
              </w:rPr>
              <w:t>Barricade Flag Installed</w:t>
            </w:r>
          </w:p>
        </w:tc>
      </w:tr>
      <w:tr>
        <w:tc>
          <w:tcPr/>
          <w:p>
            <w:pPr>
              <w:pStyle w:val="TableContents"/>
            </w:pPr>
            <w:r>
              <w:rPr>
                <w:b/>
                <w:bCs/>
                <w:color w:val="0059D1"/>
              </w:rPr>
              <w:t>[INSERT: identifier]</w:t>
            </w:r>
          </w:p>
        </w:tc>
        <w:tc>
          <w:tcPr/>
          <w:p>
            <w:pPr>
              <w:pStyle w:val="TableContents"/>
            </w:pPr>
            <w:r>
              <w:rPr>
                <w:b/>
                <w:bCs/>
                <w:color w:val="0059D1"/>
              </w:rPr>
              <w:t>[INSERT: location]</w:t>
            </w:r>
          </w:p>
        </w:tc>
        <w:tc>
          <w:tcPr/>
          <w:p>
            <w:pPr>
              <w:pStyle w:val="TableContents"/>
            </w:pPr>
            <w:r>
              <w:rPr>
                <w:b/>
                <w:bCs/>
                <w:color w:val="0059D1"/>
              </w:rPr>
              <w:t>[INSERT: voltage]</w:t>
            </w:r>
          </w:p>
        </w:tc>
        <w:tc>
          <w:tcPr/>
          <w:p>
            <w:pPr>
              <w:pStyle w:val="TableContents"/>
            </w:pPr>
            <w:r>
              <w:rPr>
                <w:b/>
                <w:bCs/>
                <w:color w:val="0059D1"/>
              </w:rPr>
              <w:t>[INSERT: distance]</w:t>
            </w:r>
          </w:p>
        </w:tc>
        <w:tc>
          <w:tcPr/>
          <w:p>
            <w:pPr>
              <w:pStyle w:val="TableContents"/>
            </w:pPr>
            <w:r>
              <w:rPr>
                <w:b/>
                <w:bCs/>
                <w:color w:val="0059D1"/>
              </w:rPr>
              <w:t>[INSERT: method]</w:t>
            </w:r>
          </w:p>
        </w:tc>
        <w:tc>
          <w:tcPr/>
          <w:p>
            <w:pPr>
              <w:pStyle w:val="TableContents"/>
            </w:pPr>
            <w:r>
              <w:rPr>
                <w:b/>
                <w:bCs/>
                <w:color w:val="0059D1"/>
              </w:rPr>
              <w:t>[INSERT: Yes/No]</w:t>
            </w:r>
          </w:p>
        </w:tc>
      </w:tr>
      <w:tr>
        <w:tc>
          <w:tcPr/>
          <w:p>
            <w:pPr>
              <w:pStyle w:val="TableContents"/>
            </w:pPr>
            <w:r>
              <w:rPr>
                <w:b/>
                <w:bCs/>
                <w:color w:val="0059D1"/>
              </w:rPr>
              <w:t>[INSERT: identifier]</w:t>
            </w:r>
          </w:p>
        </w:tc>
        <w:tc>
          <w:tcPr/>
          <w:p>
            <w:pPr>
              <w:pStyle w:val="TableContents"/>
            </w:pPr>
            <w:r>
              <w:rPr>
                <w:b/>
                <w:bCs/>
                <w:color w:val="0059D1"/>
              </w:rPr>
              <w:t>[INSERT: location]</w:t>
            </w:r>
          </w:p>
        </w:tc>
        <w:tc>
          <w:tcPr/>
          <w:p>
            <w:pPr>
              <w:pStyle w:val="TableContents"/>
            </w:pPr>
            <w:r>
              <w:rPr>
                <w:b/>
                <w:bCs/>
                <w:color w:val="0059D1"/>
              </w:rPr>
              <w:t>[INSERT: voltage]</w:t>
            </w:r>
          </w:p>
        </w:tc>
        <w:tc>
          <w:tcPr/>
          <w:p>
            <w:pPr>
              <w:pStyle w:val="TableContents"/>
            </w:pPr>
            <w:r>
              <w:rPr>
                <w:b/>
                <w:bCs/>
                <w:color w:val="0059D1"/>
              </w:rPr>
              <w:t>[INSERT: distance]</w:t>
            </w:r>
          </w:p>
        </w:tc>
        <w:tc>
          <w:tcPr/>
          <w:p>
            <w:pPr>
              <w:pStyle w:val="TableContents"/>
            </w:pPr>
            <w:r>
              <w:rPr>
                <w:b/>
                <w:bCs/>
                <w:color w:val="0059D1"/>
              </w:rPr>
              <w:t>[INSERT: method]</w:t>
            </w:r>
          </w:p>
        </w:tc>
        <w:tc>
          <w:tcPr/>
          <w:p>
            <w:pPr>
              <w:pStyle w:val="TableContents"/>
            </w:pPr>
            <w:r>
              <w:rPr>
                <w:b/>
                <w:bCs/>
                <w:color w:val="0059D1"/>
              </w:rPr>
              <w:t>[INSERT: Yes/No]</w:t>
            </w:r>
          </w:p>
        </w:tc>
      </w:tr>
    </w:tbl>
    <w:p>
      <w:pPr>
        <w:pStyle w:val="Default"/>
      </w:pPr>
    </w:p>
    <w:p>
      <w:pPr>
        <w:pStyle w:val="Heading2Numbered"/>
      </w:pPr>
      <w:r>
        <w:t>10.4  Potline and Electrolytic Process Requirements</w:t>
      </w:r>
    </w:p>
    <w:p>
      <w:pPr>
        <w:pStyle w:val="NormalNumberedtext"/>
      </w:pPr>
      <w:r>
        <w:t>This section defines the additional electrical safety requirements for potline or electrolytic process operations where applicable to this project.</w:t>
      </w:r>
    </w:p>
    <w:tbl>
      <w:tblPr>
        <w:tblStyle w:val="TableOption1"/>
        <w:tblW w:type="pct" w:w="5000"/>
      </w:tblPr>
      <w:tr>
        <w:tc>
          <w:tcPr>
            <w:shd w:val="clear" w:color="auto" w:fill="FFF2CC"/>
          </w:tcPr>
          <w:p>
            <w:pPr>
              <w:pStyle w:val="Instructions"/>
            </w:pPr>
            <w:r>
              <w:rPr>
                <w:b/>
                <w:bCs/>
                <w:color w:val="C55A11"/>
              </w:rPr>
              <w:t>PROJECT COMPLETION — Potline Requirements: Define the potline-specific requirements if this project includes aluminium smelting or electrolytic process operations. If this project does not include potline operations, delete this section before issue and note the deletion in the document change record.</w:t>
            </w:r>
          </w:p>
        </w:tc>
      </w:tr>
    </w:tbl>
    <w:p>
      <w:pPr>
        <w:pStyle w:val="Default"/>
      </w:pPr>
    </w:p>
    <w:p>
      <w:pPr>
        <w:pStyle w:val="NormalNumberedtext"/>
      </w:pPr>
      <w:r>
        <w:rPr>
          <w:b/>
          <w:bCs/>
          <w:color w:val="0059D1"/>
        </w:rPr>
        <w:t>[INSERT: potline_requirements] — Insert the potline-specific electrical safety requirements, including authorisation category for potline entry, stray current management, DC isolation requirements, and any site-specific hazards identified in the arc flash hazard assessment for the potline environment. If not applicable, delete this section.</w:t>
      </w:r>
    </w:p>
    <w:p>
      <w:pPr>
        <w:pStyle w:val="Heading1Numbered"/>
      </w:pPr>
      <w:r>
        <w:t>11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AC</w:t>
            </w:r>
          </w:p>
        </w:tc>
        <w:tc>
          <w:tcPr/>
          <w:p>
            <w:pPr>
              <w:pStyle w:val="TableContents"/>
            </w:pPr>
            <w:r>
              <w:t>Alternating Current — an electric current that periodically reverses direction, commonly used in power distribution systems.</w:t>
            </w:r>
          </w:p>
        </w:tc>
      </w:tr>
      <w:tr>
        <w:tc>
          <w:tcPr/>
          <w:p>
            <w:pPr>
              <w:pStyle w:val="TableContents"/>
            </w:pPr>
            <w:r>
              <w:t>ARC</w:t>
            </w:r>
          </w:p>
        </w:tc>
        <w:tc>
          <w:tcPr/>
          <w:p>
            <w:pPr>
              <w:pStyle w:val="TableContents"/>
            </w:pPr>
            <w:r>
              <w:t>Arc Flash — a dangerous electrical explosion or discharge resulting from a short circuit through air, releasing intense heat, light, pressure, and molten material.</w:t>
            </w:r>
          </w:p>
        </w:tc>
      </w:tr>
      <w:tr>
        <w:tc>
          <w:tcPr/>
          <w:p>
            <w:pPr>
              <w:pStyle w:val="TableContents"/>
            </w:pPr>
            <w:r>
              <w:t>AS/NZS</w:t>
            </w:r>
          </w:p>
        </w:tc>
        <w:tc>
          <w:tcPr/>
          <w:p>
            <w:pPr>
              <w:pStyle w:val="TableContents"/>
            </w:pPr>
            <w:r>
              <w:t>Australian/New Zealand Standard — a joint standard published by Standards Australia and Standards New Zealand applicable to electrical equipment and installations.</w:t>
            </w:r>
          </w:p>
        </w:tc>
      </w:tr>
      <w:tr>
        <w:tc>
          <w:tcPr/>
          <w:p>
            <w:pPr>
              <w:pStyle w:val="TableContents"/>
            </w:pPr>
            <w:r>
              <w:t>CAL</w:t>
            </w:r>
          </w:p>
        </w:tc>
        <w:tc>
          <w:tcPr/>
          <w:p>
            <w:pPr>
              <w:pStyle w:val="TableContents"/>
            </w:pPr>
            <w:r>
              <w:t>Calorie per centimetre squared (cal/cm²) — the unit of measure used to quantify incident energy from an arc flash event and determine appropriate PPE ratings.</w:t>
            </w:r>
          </w:p>
        </w:tc>
      </w:tr>
      <w:tr>
        <w:tc>
          <w:tcPr/>
          <w:p>
            <w:pPr>
              <w:pStyle w:val="TableContents"/>
            </w:pPr>
            <w:r>
              <w:t>CEWA</w:t>
            </w:r>
          </w:p>
        </w:tc>
        <w:tc>
          <w:tcPr/>
          <w:p>
            <w:pPr>
              <w:pStyle w:val="TableContents"/>
            </w:pPr>
            <w:r>
              <w:t>Competent Electrical Work Authority — a formal authorisation granted to a person who has demonstrated the required qualifications, training, and experience to perform specified electrical work.</w:t>
            </w:r>
          </w:p>
        </w:tc>
      </w:tr>
      <w:tr>
        <w:tc>
          <w:tcPr/>
          <w:p>
            <w:pPr>
              <w:pStyle w:val="TableContents"/>
            </w:pPr>
            <w:r>
              <w:t>DC</w:t>
            </w:r>
          </w:p>
        </w:tc>
        <w:tc>
          <w:tcPr/>
          <w:p>
            <w:pPr>
              <w:pStyle w:val="TableContents"/>
            </w:pPr>
            <w:r>
              <w:t>Direct Current — an electric current that flows in one direction only, commonly found in battery systems, solar panels, and variable speed drives.</w:t>
            </w:r>
          </w:p>
        </w:tc>
      </w:tr>
      <w:tr>
        <w:tc>
          <w:tcPr/>
          <w:p>
            <w:pPr>
              <w:pStyle w:val="TableContents"/>
            </w:pPr>
            <w:r>
              <w:t>EAP</w:t>
            </w:r>
          </w:p>
        </w:tc>
        <w:tc>
          <w:tcPr/>
          <w:p>
            <w:pPr>
              <w:pStyle w:val="TableContents"/>
            </w:pPr>
            <w:r>
              <w:t>Emergency Action Plan — a documented plan outlining the procedures to be followed in the event of an electrical emergency, including rescue, first aid, and notification protocols.</w:t>
            </w:r>
          </w:p>
        </w:tc>
      </w:tr>
      <w:tr>
        <w:tc>
          <w:tcPr/>
          <w:p>
            <w:pPr>
              <w:pStyle w:val="TableContents"/>
            </w:pPr>
            <w:r>
              <w:t>EIC</w:t>
            </w:r>
          </w:p>
        </w:tc>
        <w:tc>
          <w:tcPr/>
          <w:p>
            <w:pPr>
              <w:pStyle w:val="TableContents"/>
            </w:pPr>
            <w:r>
              <w:t>Electrical Isolation Certificate — a formal document confirming that electrical energy has been isolated, locked out, and verified as zero-energy prior to commencing work.</w:t>
            </w:r>
          </w:p>
        </w:tc>
      </w:tr>
      <w:tr>
        <w:tc>
          <w:tcPr/>
          <w:p>
            <w:pPr>
              <w:pStyle w:val="TableContents"/>
            </w:pPr>
            <w:r>
              <w:t>EMP</w:t>
            </w:r>
          </w:p>
        </w:tc>
        <w:tc>
          <w:tcPr/>
          <w:p>
            <w:pPr>
              <w:pStyle w:val="TableContents"/>
            </w:pPr>
            <w:r>
              <w:t>Electrical Management Plan — a site-specific plan detailing how electrical safety requirements, inspections, competency, and documentation will be managed throughout the project.</w:t>
            </w:r>
          </w:p>
        </w:tc>
      </w:tr>
      <w:tr>
        <w:tc>
          <w:tcPr/>
          <w:p>
            <w:pPr>
              <w:pStyle w:val="TableContents"/>
            </w:pPr>
            <w:r>
              <w:t>EWA</w:t>
            </w:r>
          </w:p>
        </w:tc>
        <w:tc>
          <w:tcPr/>
          <w:p>
            <w:pPr>
              <w:pStyle w:val="TableContents"/>
            </w:pPr>
            <w:r>
              <w:t>Energised Work Authorisation — a formal written approval permitting work to be conducted on or near energised electrical equipment where de-energisation is not reasonably practicable.</w:t>
            </w:r>
          </w:p>
        </w:tc>
      </w:tr>
      <w:tr>
        <w:tc>
          <w:tcPr/>
          <w:p>
            <w:pPr>
              <w:pStyle w:val="TableContents"/>
            </w:pPr>
            <w:r>
              <w:t>FR</w:t>
            </w:r>
          </w:p>
        </w:tc>
        <w:tc>
          <w:tcPr/>
          <w:p>
            <w:pPr>
              <w:pStyle w:val="TableContents"/>
            </w:pPr>
            <w:r>
              <w:t>Flame Resistant — a property of clothing or materials that self-extinguishes when exposed to flame, required for arc flash PPE.</w:t>
            </w:r>
          </w:p>
        </w:tc>
      </w:tr>
      <w:tr>
        <w:tc>
          <w:tcPr/>
          <w:p>
            <w:pPr>
              <w:pStyle w:val="TableContents"/>
            </w:pPr>
            <w:r>
              <w:t>GFCI</w:t>
            </w:r>
          </w:p>
        </w:tc>
        <w:tc>
          <w:tcPr/>
          <w:p>
            <w:pPr>
              <w:pStyle w:val="TableContents"/>
            </w:pPr>
            <w:r>
              <w:t>Ground Fault Circuit Interrupter — a device designed to protect personnel from electric shock by detecting ground faults and interrupting the circuit within milliseconds.</w:t>
            </w:r>
          </w:p>
        </w:tc>
      </w:tr>
      <w:tr>
        <w:tc>
          <w:tcPr/>
          <w:p>
            <w:pPr>
              <w:pStyle w:val="TableContents"/>
            </w:pPr>
            <w:r>
              <w:t>HV</w:t>
            </w:r>
          </w:p>
        </w:tc>
        <w:tc>
          <w:tcPr/>
          <w:p>
            <w:pPr>
              <w:pStyle w:val="TableContents"/>
            </w:pPr>
            <w:r>
              <w:t>High Voltage — electrical systems operating at voltages exceeding 1,000 V AC or 1,500 V DC, as defined under applicable Australian electrical safety legislation.</w:t>
            </w:r>
          </w:p>
        </w:tc>
      </w:tr>
      <w:tr>
        <w:tc>
          <w:tcPr/>
          <w:p>
            <w:pPr>
              <w:pStyle w:val="TableContents"/>
            </w:pPr>
            <w:r>
              <w:t>HSESC</w:t>
            </w:r>
          </w:p>
        </w:tc>
        <w:tc>
          <w:tcPr/>
          <w:p>
            <w:pPr>
              <w:pStyle w:val="TableContents"/>
            </w:pPr>
            <w:r>
              <w:t>Health, Safety, Environment, Sustainability and Community — the integrated management framework governing all HSESC-related policies, procedures, and standards on Rio Tinto owner-led projects.</w:t>
            </w:r>
          </w:p>
        </w:tc>
      </w:tr>
      <w:tr>
        <w:tc>
          <w:tcPr/>
          <w:p>
            <w:pPr>
              <w:pStyle w:val="TableContents"/>
            </w:pPr>
            <w:r>
              <w:t>IE</w:t>
            </w:r>
          </w:p>
        </w:tc>
        <w:tc>
          <w:tcPr/>
          <w:p>
            <w:pPr>
              <w:pStyle w:val="TableContents"/>
            </w:pPr>
            <w:r>
              <w:t>Incident Energy — the amount of thermal energy impressed on a surface at a specified working distance during an arc flash event, expressed in cal/cm².</w:t>
            </w:r>
          </w:p>
        </w:tc>
      </w:tr>
      <w:tr>
        <w:tc>
          <w:tcPr/>
          <w:p>
            <w:pPr>
              <w:pStyle w:val="TableContents"/>
            </w:pPr>
            <w:r>
              <w:t>IEC</w:t>
            </w:r>
          </w:p>
        </w:tc>
        <w:tc>
          <w:tcPr/>
          <w:p>
            <w:pPr>
              <w:pStyle w:val="TableContents"/>
            </w:pPr>
            <w:r>
              <w:t>International Electrotechnical Commission — the international standards body responsible for preparing and publishing standards for electrical, electronic, and related technologies.</w:t>
            </w:r>
          </w:p>
        </w:tc>
      </w:tr>
      <w:tr>
        <w:tc>
          <w:tcPr/>
          <w:p>
            <w:pPr>
              <w:pStyle w:val="TableContents"/>
            </w:pPr>
            <w:r>
              <w:t>JSA</w:t>
            </w:r>
          </w:p>
        </w:tc>
        <w:tc>
          <w:tcPr/>
          <w:p>
            <w:pPr>
              <w:pStyle w:val="TableContents"/>
            </w:pPr>
            <w:r>
              <w:t>Job Safety Analysis — a systematic process for identifying hazards associated with specific job tasks and determining appropriate controls prior to work commencement.</w:t>
            </w:r>
          </w:p>
        </w:tc>
      </w:tr>
      <w:tr>
        <w:tc>
          <w:tcPr/>
          <w:p>
            <w:pPr>
              <w:pStyle w:val="TableContents"/>
            </w:pPr>
            <w:r>
              <w:t>kV</w:t>
            </w:r>
          </w:p>
        </w:tc>
        <w:tc>
          <w:tcPr/>
          <w:p>
            <w:pPr>
              <w:pStyle w:val="TableContents"/>
            </w:pPr>
            <w:r>
              <w:t>Kilovolt — a unit of electrical potential equal to 1,000 volts, commonly used to describe high voltage transmission and distribution systems.</w:t>
            </w:r>
          </w:p>
        </w:tc>
      </w:tr>
      <w:tr>
        <w:tc>
          <w:tcPr/>
          <w:p>
            <w:pPr>
              <w:pStyle w:val="TableContents"/>
            </w:pPr>
            <w:r>
              <w:t>LOTO</w:t>
            </w:r>
          </w:p>
        </w:tc>
        <w:tc>
          <w:tcPr/>
          <w:p>
            <w:pPr>
              <w:pStyle w:val="TableContents"/>
            </w:pPr>
            <w:r>
              <w:t>Lockout/Tagout — an energy control procedure that uses physical locks and warning tags to isolate and de-energise equipment to protect workers from unexpected re-energisation.</w:t>
            </w:r>
          </w:p>
        </w:tc>
      </w:tr>
      <w:tr>
        <w:tc>
          <w:tcPr/>
          <w:p>
            <w:pPr>
              <w:pStyle w:val="TableContents"/>
            </w:pPr>
            <w:r>
              <w:t>LV</w:t>
            </w:r>
          </w:p>
        </w:tc>
        <w:tc>
          <w:tcPr/>
          <w:p>
            <w:pPr>
              <w:pStyle w:val="TableContents"/>
            </w:pPr>
            <w:r>
              <w:t>Low Voltage — electrical systems operating at voltages up to and including 1,000 V AC or 1,500 V DC, as defined under applicable Australian electrical safety legislation.</w:t>
            </w:r>
          </w:p>
        </w:tc>
      </w:tr>
      <w:tr>
        <w:tc>
          <w:tcPr/>
          <w:p>
            <w:pPr>
              <w:pStyle w:val="TableContents"/>
            </w:pPr>
            <w:r>
              <w:t>MCC</w:t>
            </w:r>
          </w:p>
        </w:tc>
        <w:tc>
          <w:tcPr/>
          <w:p>
            <w:pPr>
              <w:pStyle w:val="TableContents"/>
            </w:pPr>
            <w:r>
              <w:t>Motor Control Centre — an assembly of one or more enclosed sections housing motor control units used to control and protect electrical motors within industrial facilities.</w:t>
            </w:r>
          </w:p>
        </w:tc>
      </w:tr>
      <w:tr>
        <w:tc>
          <w:tcPr/>
          <w:p>
            <w:pPr>
              <w:pStyle w:val="TableContents"/>
            </w:pPr>
            <w:r>
              <w:t>MSD</w:t>
            </w:r>
          </w:p>
        </w:tc>
        <w:tc>
          <w:tcPr/>
          <w:p>
            <w:pPr>
              <w:pStyle w:val="TableContents"/>
            </w:pPr>
            <w:r>
              <w:t>Minimum Safe Distance — the minimum approach boundary distance from energised electrical conductors or equipment within which only authorised and appropriately protected personnel may work.</w:t>
            </w:r>
          </w:p>
        </w:tc>
      </w:tr>
      <w:tr>
        <w:tc>
          <w:tcPr/>
          <w:p>
            <w:pPr>
              <w:pStyle w:val="TableContents"/>
            </w:pPr>
            <w:r>
              <w:t>NER</w:t>
            </w:r>
          </w:p>
        </w:tc>
        <w:tc>
          <w:tcPr/>
          <w:p>
            <w:pPr>
              <w:pStyle w:val="TableContents"/>
            </w:pPr>
            <w:r>
              <w:t>Neutral Earthing Resistor — a resistor connected between the neutral point of an electrical system and earth to limit fault currents and protect equipment during earth faults.</w:t>
            </w:r>
          </w:p>
        </w:tc>
      </w:tr>
      <w:tr>
        <w:tc>
          <w:tcPr/>
          <w:p>
            <w:pPr>
              <w:pStyle w:val="TableContents"/>
            </w:pPr>
            <w:r>
              <w:t>NFPA</w:t>
            </w:r>
          </w:p>
        </w:tc>
        <w:tc>
          <w:tcPr/>
          <w:p>
            <w:pPr>
              <w:pStyle w:val="TableContents"/>
            </w:pPr>
            <w:r>
              <w:t>National Fire Protection Association — a US-based organisation that publishes NFPA 70E, the standard for electrical safety in the workplace, including arc flash hazard analysis and PPE requirements.</w:t>
            </w:r>
          </w:p>
        </w:tc>
      </w:tr>
      <w:tr>
        <w:tc>
          <w:tcPr/>
          <w:p>
            <w:pPr>
              <w:pStyle w:val="TableContents"/>
            </w:pPr>
            <w:r>
              <w:t>OHS</w:t>
            </w:r>
          </w:p>
        </w:tc>
        <w:tc>
          <w:tcPr/>
          <w:p>
            <w:pPr>
              <w:pStyle w:val="TableContents"/>
            </w:pPr>
            <w:r>
              <w:t>Occupational Health and Safety — the legislative framework and management practices designed to prevent work-related injury, illness, and death.</w:t>
            </w:r>
          </w:p>
        </w:tc>
      </w:tr>
      <w:tr>
        <w:tc>
          <w:tcPr/>
          <w:p>
            <w:pPr>
              <w:pStyle w:val="TableContents"/>
            </w:pPr>
            <w:r>
              <w:t>PA</w:t>
            </w:r>
          </w:p>
        </w:tc>
        <w:tc>
          <w:tcPr/>
          <w:p>
            <w:pPr>
              <w:pStyle w:val="TableContents"/>
            </w:pPr>
            <w:r>
              <w:t>Project Authority — the designated Rio Tinto representative with overall accountability for project delivery and HSESC compliance on owner-led projects.</w:t>
            </w:r>
          </w:p>
        </w:tc>
      </w:tr>
      <w:tr>
        <w:tc>
          <w:tcPr/>
          <w:p>
            <w:pPr>
              <w:pStyle w:val="TableContents"/>
            </w:pPr>
            <w:r>
              <w:t>PLC</w:t>
            </w:r>
          </w:p>
        </w:tc>
        <w:tc>
          <w:tcPr/>
          <w:p>
            <w:pPr>
              <w:pStyle w:val="TableContents"/>
            </w:pPr>
            <w:r>
              <w:t>Programmable Logic Controller — an industrial digital computer used to automate electromechanical processes and control machinery, requiring specific electrical safety considerations during maintenance.</w:t>
            </w:r>
          </w:p>
        </w:tc>
      </w:tr>
      <w:tr>
        <w:tc>
          <w:tcPr/>
          <w:p>
            <w:pPr>
              <w:pStyle w:val="TableContents"/>
            </w:pPr>
            <w:r>
              <w:t>PPE</w:t>
            </w:r>
          </w:p>
        </w:tc>
        <w:tc>
          <w:tcPr/>
          <w:p>
            <w:pPr>
              <w:pStyle w:val="TableContents"/>
            </w:pPr>
            <w:r>
              <w:t>Personal Protective Equipment — equipment worn or used by a person to minimise exposure to hazards that could cause injury or illness, including arc flash rated clothing, gloves, and face protection.</w:t>
            </w:r>
          </w:p>
        </w:tc>
      </w:tr>
      <w:tr>
        <w:tc>
          <w:tcPr/>
          <w:p>
            <w:pPr>
              <w:pStyle w:val="TableContents"/>
            </w:pPr>
            <w:r>
              <w:t>PTW</w:t>
            </w:r>
          </w:p>
        </w:tc>
        <w:tc>
          <w:tcPr/>
          <w:p>
            <w:pPr>
              <w:pStyle w:val="TableContents"/>
            </w:pPr>
            <w:r>
              <w:t>Permit to Work — a formal documented system used to authorise and control high-risk work activities, including electrical work, ensuring hazards are identified and controls are in place before work begins.</w:t>
            </w:r>
          </w:p>
        </w:tc>
      </w:tr>
      <w:tr>
        <w:tc>
          <w:tcPr/>
          <w:p>
            <w:pPr>
              <w:pStyle w:val="TableContents"/>
            </w:pPr>
            <w:r>
              <w:t>RCCB</w:t>
            </w:r>
          </w:p>
        </w:tc>
        <w:tc>
          <w:tcPr/>
          <w:p>
            <w:pPr>
              <w:pStyle w:val="TableContents"/>
            </w:pPr>
            <w:r>
              <w:t>Residual Current Circuit Breaker — a protective device that detects and interrupts residual current (earth leakage) to protect against electric shock and fire caused by earth faults.</w:t>
            </w:r>
          </w:p>
        </w:tc>
      </w:tr>
      <w:tr>
        <w:tc>
          <w:tcPr/>
          <w:p>
            <w:pPr>
              <w:pStyle w:val="TableContents"/>
            </w:pPr>
            <w:r>
              <w:t>RCD</w:t>
            </w:r>
          </w:p>
        </w:tc>
        <w:tc>
          <w:tcPr/>
          <w:p>
            <w:pPr>
              <w:pStyle w:val="TableContents"/>
            </w:pPr>
            <w:r>
              <w:t>Residual Current Device — a life-saving device designed to prevent electrocution by detecting earth leakage current and automatically disconnecting the electrical circuit.</w:t>
            </w:r>
          </w:p>
        </w:tc>
      </w:tr>
      <w:tr>
        <w:tc>
          <w:tcPr/>
          <w:p>
            <w:pPr>
              <w:pStyle w:val="TableContents"/>
            </w:pPr>
            <w:r>
              <w:t>RT</w:t>
            </w:r>
          </w:p>
        </w:tc>
        <w:tc>
          <w:tcPr/>
          <w:p>
            <w:pPr>
              <w:pStyle w:val="TableContents"/>
            </w:pPr>
            <w:r>
              <w:t>Rio Tinto — the global mining and metals company under whose standards, policies, and frameworks this procedure is developed and implemented.</w:t>
            </w:r>
          </w:p>
        </w:tc>
      </w:tr>
      <w:tr>
        <w:tc>
          <w:tcPr/>
          <w:p>
            <w:pPr>
              <w:pStyle w:val="TableContents"/>
            </w:pPr>
            <w:r>
              <w:t>RTPR</w:t>
            </w:r>
          </w:p>
        </w:tc>
        <w:tc>
          <w:tcPr/>
          <w:p>
            <w:pPr>
              <w:pStyle w:val="TableContents"/>
            </w:pPr>
            <w:r>
              <w:t>Rio Tinto Project — the designation prefix used to identify documents, registers, and procedures applicable to Rio Tinto owner-led project environments.</w:t>
            </w:r>
          </w:p>
        </w:tc>
      </w:tr>
      <w:tr>
        <w:tc>
          <w:tcPr/>
          <w:p>
            <w:pPr>
              <w:pStyle w:val="TableContents"/>
            </w:pPr>
            <w:r>
              <w:t>SDS</w:t>
            </w:r>
          </w:p>
        </w:tc>
        <w:tc>
          <w:tcPr/>
          <w:p>
            <w:pPr>
              <w:pStyle w:val="TableContents"/>
            </w:pPr>
            <w:r>
              <w:t>Safety Data Sheet — a document providing information on the properties of chemical substances used in electrical maintenance activities and the measures required to handle them safely.</w:t>
            </w:r>
          </w:p>
        </w:tc>
      </w:tr>
      <w:tr>
        <w:tc>
          <w:tcPr/>
          <w:p>
            <w:pPr>
              <w:pStyle w:val="TableContents"/>
            </w:pPr>
            <w:r>
              <w:t>SLD</w:t>
            </w:r>
          </w:p>
        </w:tc>
        <w:tc>
          <w:tcPr/>
          <w:p>
            <w:pPr>
              <w:pStyle w:val="TableContents"/>
            </w:pPr>
            <w:r>
              <w:t>Single Line Diagram — a simplified electrical diagram representing the main components and connections of an electrical system using standardised symbols.</w:t>
            </w:r>
          </w:p>
        </w:tc>
      </w:tr>
      <w:tr>
        <w:tc>
          <w:tcPr/>
          <w:p>
            <w:pPr>
              <w:pStyle w:val="TableContents"/>
            </w:pPr>
            <w:r>
              <w:t>SMS</w:t>
            </w:r>
          </w:p>
        </w:tc>
        <w:tc>
          <w:tcPr/>
          <w:p>
            <w:pPr>
              <w:pStyle w:val="TableContents"/>
            </w:pPr>
            <w:r>
              <w:t>Safety Management System — the structured and documented framework of policies, procedures, roles, responsibilities, and processes used to manage safety risk across the project.</w:t>
            </w:r>
          </w:p>
        </w:tc>
      </w:tr>
      <w:tr>
        <w:tc>
          <w:tcPr/>
          <w:p>
            <w:pPr>
              <w:pStyle w:val="TableContents"/>
            </w:pPr>
            <w:r>
              <w:t>SWMS</w:t>
            </w:r>
          </w:p>
        </w:tc>
        <w:tc>
          <w:tcPr/>
          <w:p>
            <w:pPr>
              <w:pStyle w:val="TableContents"/>
            </w:pPr>
            <w:r>
              <w:t>Safe Work Method Statement — a document identifying the high-risk work activities involved in a task, the associated hazards, and the step-by-step controls to be applied.</w:t>
            </w:r>
          </w:p>
        </w:tc>
      </w:tr>
      <w:tr>
        <w:tc>
          <w:tcPr/>
          <w:p>
            <w:pPr>
              <w:pStyle w:val="TableContents"/>
            </w:pPr>
            <w:r>
              <w:t>UPS</w:t>
            </w:r>
          </w:p>
        </w:tc>
        <w:tc>
          <w:tcPr/>
          <w:p>
            <w:pPr>
              <w:pStyle w:val="TableContents"/>
            </w:pPr>
            <w:r>
              <w:t>Uninterruptible Power Supply — an electrical system providing emergency power to a load when the main power source fails, maintaining voltage during short interruptions or transitions.</w:t>
            </w:r>
          </w:p>
        </w:tc>
      </w:tr>
      <w:tr>
        <w:tc>
          <w:tcPr/>
          <w:p>
            <w:pPr>
              <w:pStyle w:val="TableContents"/>
            </w:pPr>
            <w:r>
              <w:t>VSD</w:t>
            </w:r>
          </w:p>
        </w:tc>
        <w:tc>
          <w:tcPr/>
          <w:p>
            <w:pPr>
              <w:pStyle w:val="TableContents"/>
            </w:pPr>
            <w:r>
              <w:t>Variable Speed Drive — an electronic device used to control the rotational speed of an electric motor by varying the frequency and voltage of its power supply, which may retain residual stored energy after isolation.</w:t>
            </w:r>
          </w:p>
        </w:tc>
      </w:tr>
      <w:tr>
        <w:tc>
          <w:tcPr/>
          <w:p>
            <w:pPr>
              <w:pStyle w:val="TableContents"/>
            </w:pPr>
            <w:r>
              <w:t>WMS</w:t>
            </w:r>
          </w:p>
        </w:tc>
        <w:tc>
          <w:tcPr/>
          <w:p>
            <w:pPr>
              <w:pStyle w:val="TableContents"/>
            </w:pPr>
            <w:r>
              <w:t>Work Method Statement — a document that describes how a specific task will be carried out safely, including the sequence of steps, hazards, and associated risk controls.</w:t>
            </w:r>
          </w:p>
        </w:tc>
      </w:tr>
      <w:tr>
        <w:tc>
          <w:tcPr/>
          <w:p>
            <w:pPr>
              <w:pStyle w:val="TableContents"/>
            </w:pPr>
            <w:r>
              <w:t>ZEV</w:t>
            </w:r>
          </w:p>
        </w:tc>
        <w:tc>
          <w:tcPr/>
          <w:p>
            <w:pPr>
              <w:pStyle w:val="TableContents"/>
            </w:pPr>
            <w:r>
              <w:t>Zero-Energy Verification — the process of confirming, through testing and measurement, that all forms of electrical and stored energy have been successfully isolated to a zero-energy state before work commences.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12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Identification and Risk Assessment Requirements</w:t>
            </w:r>
          </w:p>
        </w:tc>
        <w:tc>
          <w:tcPr/>
          <w:p>
            <w:pPr>
              <w:pStyle w:val="TableContents"/>
            </w:pPr>
            <w:r>
              <w:t>RT Risk Management Standard — Appendix C,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and Competency Procedure</w:t>
            </w:r>
          </w:p>
        </w:tc>
        <w:tc>
          <w:tcPr/>
          <w:p>
            <w:pPr>
              <w:pStyle w:val="TableContents"/>
            </w:pPr>
            <w:r>
              <w:t>RTPR-HSE-PRO-0004</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 (Mechanical and Energy Isolation)</w:t>
            </w:r>
          </w:p>
        </w:tc>
        <w:tc>
          <w:tcPr/>
          <w:p>
            <w:pPr>
              <w:pStyle w:val="TableContents"/>
            </w:pPr>
            <w:r>
              <w:t>RTPR-HSE-PRO-0024</w:t>
            </w:r>
          </w:p>
        </w:tc>
        <w:tc>
          <w:tcPr/>
          <w:p>
            <w:pPr>
              <w:pStyle w:val="TableContents"/>
            </w:pPr>
            <w:r>
              <w:t>Internal procedure</w:t>
            </w:r>
          </w:p>
        </w:tc>
      </w:tr>
      <w:tr>
        <w:tc>
          <w:tcPr/>
          <w:p>
            <w:pPr>
              <w:pStyle w:val="TableContents"/>
            </w:pPr>
            <w:r>
              <w:t>Personal Protective Equipment Procedure</w:t>
            </w:r>
          </w:p>
        </w:tc>
        <w:tc>
          <w:tcPr/>
          <w:p>
            <w:pPr>
              <w:pStyle w:val="TableContents"/>
            </w:pPr>
            <w:r>
              <w:t>RTPR-HSE-PRO-0027</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Electrical Equipment Register</w:t>
            </w:r>
          </w:p>
        </w:tc>
        <w:tc>
          <w:tcPr/>
          <w:p>
            <w:pPr>
              <w:pStyle w:val="TableContents"/>
            </w:pPr>
            <w:r>
              <w:t>RTPR-HSE-REG-0010</w:t>
            </w:r>
          </w:p>
        </w:tc>
        <w:tc>
          <w:tcPr/>
          <w:p>
            <w:pPr>
              <w:pStyle w:val="TableContents"/>
            </w:pPr>
            <w:r>
              <w:t>Internal procedure</w:t>
            </w:r>
          </w:p>
        </w:tc>
      </w:tr>
      <w:tr>
        <w:tc>
          <w:tcPr/>
          <w:p>
            <w:pPr>
              <w:pStyle w:val="TableContents"/>
            </w:pPr>
            <w:r>
              <w:t>Electrical Competency Register</w:t>
            </w:r>
          </w:p>
        </w:tc>
        <w:tc>
          <w:tcPr/>
          <w:p>
            <w:pPr>
              <w:pStyle w:val="TableContents"/>
            </w:pPr>
            <w:r>
              <w:t>RTPR-HSE-REG-0003</w:t>
            </w:r>
          </w:p>
        </w:tc>
        <w:tc>
          <w:tcPr/>
          <w:p>
            <w:pPr>
              <w:pStyle w:val="TableContents"/>
            </w:pPr>
            <w:r>
              <w:t>Internal procedure</w:t>
            </w:r>
          </w:p>
        </w:tc>
      </w:tr>
      <w:tr>
        <w:tc>
          <w:tcPr/>
          <w:p>
            <w:pPr>
              <w:pStyle w:val="TableContents"/>
            </w:pPr>
            <w:r>
              <w:t>Electrical Safety Act 2002 (Qld) — or applicable state/territory equivalent</w:t>
            </w:r>
          </w:p>
        </w:tc>
        <w:tc>
          <w:tcPr/>
          <w:p>
            <w:pPr>
              <w:pStyle w:val="TableContents"/>
            </w:pPr>
            <w:r>
              <w:t>Electrical Safety Act 2002</w:t>
            </w:r>
          </w:p>
        </w:tc>
        <w:tc>
          <w:tcPr/>
          <w:p>
            <w:pPr>
              <w:pStyle w:val="TableContents"/>
            </w:pPr>
            <w:r>
              <w:t>External framework</w:t>
            </w:r>
          </w:p>
        </w:tc>
      </w:tr>
      <w:tr>
        <w:tc>
          <w:tcPr/>
          <w:p>
            <w:pPr>
              <w:pStyle w:val="TableContents"/>
            </w:pPr>
            <w:r>
              <w:t>Electrical Safety Regulation 2013 (Qld) — or applicable state/territory equivalent</w:t>
            </w:r>
          </w:p>
        </w:tc>
        <w:tc>
          <w:tcPr/>
          <w:p>
            <w:pPr>
              <w:pStyle w:val="TableContents"/>
            </w:pPr>
            <w:r>
              <w:t>Electrical Safety Regulation 2013</w:t>
            </w:r>
          </w:p>
        </w:tc>
        <w:tc>
          <w:tcPr/>
          <w:p>
            <w:pPr>
              <w:pStyle w:val="TableContents"/>
            </w:pPr>
            <w:r>
              <w:t>External framework</w:t>
            </w:r>
          </w:p>
        </w:tc>
      </w:tr>
      <w:tr>
        <w:tc>
          <w:tcPr/>
          <w:p>
            <w:pPr>
              <w:pStyle w:val="TableContents"/>
            </w:pPr>
            <w:r>
              <w:t>Work Health and Safety Act 2011 (Qld) — or applicable state/territory equivalent</w:t>
            </w:r>
          </w:p>
        </w:tc>
        <w:tc>
          <w:tcPr/>
          <w:p>
            <w:pPr>
              <w:pStyle w:val="TableContents"/>
            </w:pPr>
            <w:r>
              <w:t>WHS Act 2011</w:t>
            </w:r>
          </w:p>
        </w:tc>
        <w:tc>
          <w:tcPr/>
          <w:p>
            <w:pPr>
              <w:pStyle w:val="TableContents"/>
            </w:pPr>
            <w:r>
              <w:t>External framework</w:t>
            </w:r>
          </w:p>
        </w:tc>
      </w:tr>
      <w:tr>
        <w:tc>
          <w:tcPr/>
          <w:p>
            <w:pPr>
              <w:pStyle w:val="TableContents"/>
            </w:pPr>
            <w:r>
              <w:t>Work Health and Safety Regulation 2011 (Qld) — or applicable state/territory equivalent</w:t>
            </w:r>
          </w:p>
        </w:tc>
        <w:tc>
          <w:tcPr/>
          <w:p>
            <w:pPr>
              <w:pStyle w:val="TableContents"/>
            </w:pPr>
            <w:r>
              <w:t>WHS Regulation 2011</w:t>
            </w:r>
          </w:p>
        </w:tc>
        <w:tc>
          <w:tcPr/>
          <w:p>
            <w:pPr>
              <w:pStyle w:val="TableContents"/>
            </w:pPr>
            <w:r>
              <w:t>External framework</w:t>
            </w:r>
          </w:p>
        </w:tc>
      </w:tr>
      <w:tr>
        <w:tc>
          <w:tcPr/>
          <w:p>
            <w:pPr>
              <w:pStyle w:val="TableContents"/>
            </w:pPr>
            <w:r>
              <w:t>Wiring Rules — Electrical Installations</w:t>
            </w:r>
          </w:p>
        </w:tc>
        <w:tc>
          <w:tcPr/>
          <w:p>
            <w:pPr>
              <w:pStyle w:val="TableContents"/>
            </w:pPr>
            <w:r>
              <w:t>AS/NZS 3000:2018</w:t>
            </w:r>
          </w:p>
        </w:tc>
        <w:tc>
          <w:tcPr/>
          <w:p>
            <w:pPr>
              <w:pStyle w:val="TableContents"/>
            </w:pPr>
            <w:r>
              <w:t>External framework</w:t>
            </w:r>
          </w:p>
        </w:tc>
      </w:tr>
      <w:tr>
        <w:tc>
          <w:tcPr/>
          <w:p>
            <w:pPr>
              <w:pStyle w:val="TableContents"/>
            </w:pPr>
            <w:r>
              <w:t>Safety of Machinery — Electrical Equipment of Machines</w:t>
            </w:r>
          </w:p>
        </w:tc>
        <w:tc>
          <w:tcPr/>
          <w:p>
            <w:pPr>
              <w:pStyle w:val="TableContents"/>
            </w:pPr>
            <w:r>
              <w:t>AS 62061 / IEC 62061</w:t>
            </w:r>
          </w:p>
        </w:tc>
        <w:tc>
          <w:tcPr/>
          <w:p>
            <w:pPr>
              <w:pStyle w:val="TableContents"/>
            </w:pPr>
            <w:r>
              <w:t>External framework</w:t>
            </w:r>
          </w:p>
        </w:tc>
      </w:tr>
      <w:tr>
        <w:tc>
          <w:tcPr/>
          <w:p>
            <w:pPr>
              <w:pStyle w:val="TableContents"/>
            </w:pPr>
            <w:r>
              <w:t>High Voltage Installations</w:t>
            </w:r>
          </w:p>
        </w:tc>
        <w:tc>
          <w:tcPr/>
          <w:p>
            <w:pPr>
              <w:pStyle w:val="TableContents"/>
            </w:pPr>
            <w:r>
              <w:t>AS 2067:2016</w:t>
            </w:r>
          </w:p>
        </w:tc>
        <w:tc>
          <w:tcPr/>
          <w:p>
            <w:pPr>
              <w:pStyle w:val="TableContents"/>
            </w:pPr>
            <w:r>
              <w:t>External framework</w:t>
            </w:r>
          </w:p>
        </w:tc>
      </w:tr>
      <w:tr>
        <w:tc>
          <w:tcPr/>
          <w:p>
            <w:pPr>
              <w:pStyle w:val="TableContents"/>
            </w:pPr>
            <w:r>
              <w:t>Electrical Equipment — Maintenance</w:t>
            </w:r>
          </w:p>
        </w:tc>
        <w:tc>
          <w:tcPr/>
          <w:p>
            <w:pPr>
              <w:pStyle w:val="TableContents"/>
            </w:pPr>
            <w:r>
              <w:t>AS/NZS 3760:2022</w:t>
            </w:r>
          </w:p>
        </w:tc>
        <w:tc>
          <w:tcPr/>
          <w:p>
            <w:pPr>
              <w:pStyle w:val="TableContents"/>
            </w:pPr>
            <w:r>
              <w:t>External framework</w:t>
            </w:r>
          </w:p>
        </w:tc>
      </w:tr>
      <w:tr>
        <w:tc>
          <w:tcPr/>
          <w:p>
            <w:pPr>
              <w:pStyle w:val="TableContents"/>
            </w:pPr>
            <w:r>
              <w:t>Arc Flash Hazard Assessment — Standard for Electrical Safety in the Workplace</w:t>
            </w:r>
          </w:p>
        </w:tc>
        <w:tc>
          <w:tcPr/>
          <w:p>
            <w:pPr>
              <w:pStyle w:val="TableContents"/>
            </w:pPr>
            <w:r>
              <w:t>NFPA 70E:2021</w:t>
            </w:r>
          </w:p>
        </w:tc>
        <w:tc>
          <w:tcPr/>
          <w:p>
            <w:pPr>
              <w:pStyle w:val="TableContents"/>
            </w:pPr>
            <w:r>
              <w:t>External framework</w:t>
            </w:r>
          </w:p>
        </w:tc>
      </w:tr>
      <w:tr>
        <w:tc>
          <w:tcPr/>
          <w:p>
            <w:pPr>
              <w:pStyle w:val="TableContents"/>
            </w:pPr>
            <w:r>
              <w:t>Protection Against Lightning — Physical Damage to Structures and Life Hazard</w:t>
            </w:r>
          </w:p>
        </w:tc>
        <w:tc>
          <w:tcPr/>
          <w:p>
            <w:pPr>
              <w:pStyle w:val="TableContents"/>
            </w:pPr>
            <w:r>
              <w:t>AS/NZS 1768:2007</w:t>
            </w:r>
          </w:p>
        </w:tc>
        <w:tc>
          <w:tcPr/>
          <w:p>
            <w:pPr>
              <w:pStyle w:val="TableContents"/>
            </w:pPr>
            <w:r>
              <w:t>External framework</w:t>
            </w:r>
          </w:p>
        </w:tc>
      </w:tr>
      <w:tr>
        <w:tc>
          <w:tcPr/>
          <w:p>
            <w:pPr>
              <w:pStyle w:val="TableContents"/>
            </w:pPr>
            <w:r>
              <w:t>Guide to the Protection of Structural Metalwork and Concrete by the Use of Protective Coatings (referenced for earthing and bonding)</w:t>
            </w:r>
          </w:p>
        </w:tc>
        <w:tc>
          <w:tcPr/>
          <w:p>
            <w:pPr>
              <w:pStyle w:val="TableContents"/>
            </w:pPr>
            <w:r>
              <w:t>AS 4142.3</w:t>
            </w:r>
          </w:p>
        </w:tc>
        <w:tc>
          <w:tcPr/>
          <w:p>
            <w:pPr>
              <w:pStyle w:val="TableContents"/>
            </w:pPr>
            <w:r>
              <w:t>External framework</w:t>
            </w:r>
          </w:p>
        </w:tc>
      </w:tr>
      <w:tr>
        <w:tc>
          <w:tcPr/>
          <w:p>
            <w:pPr>
              <w:pStyle w:val="TableContents"/>
            </w:pPr>
            <w:r>
              <w:t>Rio Tinto Fatal Risk Standard — Energy Isolation</w:t>
            </w:r>
          </w:p>
        </w:tc>
        <w:tc>
          <w:tcPr/>
          <w:p>
            <w:pPr>
              <w:pStyle w:val="TableContents"/>
            </w:pPr>
            <w:r>
              <w:t>RT Fatal Risk Standard — Energy Isolation</w:t>
            </w:r>
          </w:p>
        </w:tc>
        <w:tc>
          <w:tcPr/>
          <w:p>
            <w:pPr>
              <w:pStyle w:val="TableContents"/>
            </w:pPr>
            <w:r>
              <w:t>External RT</w:t>
            </w:r>
          </w:p>
        </w:tc>
      </w:tr>
      <w:tr>
        <w:tc>
          <w:tcPr/>
          <w:p>
            <w:pPr>
              <w:pStyle w:val="TableContents"/>
            </w:pPr>
            <w:r>
              <w:t>Rio Tinto Fatal Risk Standard — Electrical Safety</w:t>
            </w:r>
          </w:p>
        </w:tc>
        <w:tc>
          <w:tcPr/>
          <w:p>
            <w:pPr>
              <w:pStyle w:val="TableContents"/>
            </w:pPr>
            <w:r>
              <w:t>RT Fatal Risk Standard — Electrical Safety</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13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14  Source Requirements Traceability (DELETE BEFORE ISSUE)</w:t>
      </w:r>
    </w:p>
    <w:p>
      <w:pPr>
        <w:pStyle w:val="Heading2Numbered"/>
      </w:pPr>
      <w:r>
        <w:t>14.1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C2 – Contact with Electricity Standard</w:t>
            </w:r>
          </w:p>
        </w:tc>
        <w:tc>
          <w:tcPr/>
          <w:p>
            <w:pPr>
              <w:pStyle w:val="TableContents"/>
            </w:pPr>
            <w:r>
              <w:t>Sets mandatory requirements for arc flash assessment, electrical isolation, energised work authorisation, arc flash PPE, lightning and severe weather management, emergency rescue planning, and electrical competency and authorisation.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§61.1</w:t>
            </w:r>
          </w:p>
        </w:tc>
        <w:tc>
          <w:tcPr/>
          <w:p>
            <w:pPr>
              <w:pStyle w:val="TableContents"/>
            </w:pPr>
            <w:r>
              <w:t>Requires all electrical equipment to be inspected and tagged quarterly by a certified electrician, recorded in a register, and colour-coded to indicate inspection status.</w:t>
            </w:r>
          </w:p>
        </w:tc>
        <w:tc>
          <w:tcPr/>
          <w:p>
            <w:pPr>
              <w:pStyle w:val="TableContents"/>
            </w:pPr>
            <w:r>
              <w:t>Full</w:t>
            </w:r>
          </w:p>
        </w:tc>
      </w:tr>
      <w:tr>
        <w:tc>
          <w:tcPr/>
          <w:p>
            <w:pPr>
              <w:pStyle w:val="TableContents"/>
            </w:pPr>
            <w:r>
              <w:rPr>
                <w:b/>
                <w:bCs/>
                <w:color w:val="0059D1"/>
              </w:rPr>
              <w:t>[INSERT: section]</w:t>
            </w:r>
          </w:p>
        </w:tc>
        <w:tc>
          <w:tcPr/>
          <w:p>
            <w:pPr>
              <w:pStyle w:val="TableContents"/>
            </w:pPr>
            <w:r>
              <w:t>Appendix C C-2 §51.0.1</w:t>
            </w:r>
          </w:p>
        </w:tc>
        <w:tc>
          <w:tcPr/>
          <w:p>
            <w:pPr>
              <w:pStyle w:val="TableContents"/>
            </w:pPr>
            <w:r>
              <w:t>Requires electrical workers to be competent and authorised with reassessments at intervals not exceeding two years, and authorisation to be withdrawn when personnel change roles.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§51.0.4</w:t>
            </w:r>
          </w:p>
        </w:tc>
        <w:tc>
          <w:tcPr/>
          <w:p>
            <w:pPr>
              <w:pStyle w:val="TableContents"/>
            </w:pPr>
            <w:r>
              <w:t>Prohibits access to exposed energised parts exceeding 1,000 volts except for isolation, inspection, or testing by competent and authorised personnel using appropriate high-voltage equipment and PPE.</w:t>
            </w:r>
          </w:p>
        </w:tc>
        <w:tc>
          <w:tcPr/>
          <w:p>
            <w:pPr>
              <w:pStyle w:val="TableContents"/>
            </w:pPr>
            <w:r>
              <w:t>Full</w:t>
            </w:r>
          </w:p>
        </w:tc>
      </w:tr>
      <w:tr>
        <w:tc>
          <w:tcPr/>
          <w:p>
            <w:pPr>
              <w:pStyle w:val="TableContents"/>
            </w:pPr>
            <w:r>
              <w:rPr>
                <w:b/>
                <w:bCs/>
                <w:color w:val="0059D1"/>
              </w:rPr>
              <w:t>[INSERT: section]</w:t>
            </w:r>
          </w:p>
        </w:tc>
        <w:tc>
          <w:tcPr/>
          <w:p>
            <w:pPr>
              <w:pStyle w:val="TableContents"/>
            </w:pPr>
            <w:r>
              <w:t>Appendix C C-2 §51.0.8</w:t>
            </w:r>
          </w:p>
        </w:tc>
        <w:tc>
          <w:tcPr/>
          <w:p>
            <w:pPr>
              <w:pStyle w:val="TableContents"/>
            </w:pPr>
            <w:r>
              <w:t>Requires temporary electrical switchgear to be designed, installed, and formally inspected in accordance with relevant standards and Company specifications before energisation.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§51.0.9</w:t>
            </w:r>
          </w:p>
        </w:tc>
        <w:tc>
          <w:tcPr/>
          <w:p>
            <w:pPr>
              <w:pStyle w:val="TableContents"/>
            </w:pPr>
            <w:r>
              <w:t>Requires overhead power lines to be protected with demarcated crossing points, barricade flags, and posted minimum approach distances at each crossing point.</w:t>
            </w:r>
          </w:p>
        </w:tc>
        <w:tc>
          <w:tcPr/>
          <w:p>
            <w:pPr>
              <w:pStyle w:val="TableContents"/>
            </w:pPr>
            <w:r>
              <w:t>Full</w:t>
            </w:r>
          </w:p>
        </w:tc>
      </w:tr>
      <w:tr>
        <w:tc>
          <w:tcPr/>
          <w:p>
            <w:pPr>
              <w:pStyle w:val="TableContents"/>
            </w:pPr>
            <w:r>
              <w:rPr>
                <w:b/>
                <w:bCs/>
                <w:color w:val="0059D1"/>
              </w:rPr>
              <w:t>[INSERT: section]</w:t>
            </w:r>
          </w:p>
        </w:tc>
        <w:tc>
          <w:tcPr/>
          <w:p>
            <w:pPr>
              <w:pStyle w:val="TableContents"/>
            </w:pPr>
            <w:r>
              <w:t>Appendix C C-2 §51.0.10</w:t>
            </w:r>
          </w:p>
        </w:tc>
        <w:tc>
          <w:tcPr/>
          <w:p>
            <w:pPr>
              <w:pStyle w:val="TableContents"/>
            </w:pPr>
            <w:r>
              <w:t>Requires a dedicated safe work procedure approved by a competent electrical engineer, with a specific permit and formal risk assessment, for work on structures above energised overhead power lines.</w:t>
            </w:r>
          </w:p>
        </w:tc>
        <w:tc>
          <w:tcPr/>
          <w:p>
            <w:pPr>
              <w:pStyle w:val="TableContents"/>
            </w:pPr>
            <w:r>
              <w:t>Full</w:t>
            </w:r>
          </w:p>
        </w:tc>
      </w:tr>
    </w:tbl>
    <w:p>
      <w:pPr>
        <w:pStyle w:val="Default"/>
      </w:pPr>
    </w:p>
    <w:p>
      <w:pPr>
        <w:pStyle w:val="Heading2Numbered"/>
      </w:pPr>
      <w:r>
        <w:t>14.2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