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Personal Protective Equipment</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Personal Protective Equipment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the minimum PPE requirements for all project personnel and the process for selecting, providing, inspecting, maintaining, and replacing PPE. PPE is the last line of defence in the hierarchy of controls and must only be used in combination with higher-order controls.</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personal protective equipment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states the purpose of this procedure, the PPE requirements it establishes, and the project lifecycle phases and personnel to which it applies.</w:t>
      </w:r>
    </w:p>
    <w:p>
      <w:pPr>
        <w:pStyle w:val="Heading2Numbered"/>
      </w:pPr>
      <w:r>
        <w:t>3.1  Purpose of This Document</w:t>
      </w:r>
    </w:p>
    <w:p>
      <w:pPr>
        <w:pStyle w:val="NormalNumberedtext"/>
      </w:pPr>
      <w:r>
        <w:t>This section states the purpose of this procedure and the requirements it establishes for all project personnel.</w:t>
      </w:r>
    </w:p>
    <w:p>
      <w:pPr>
        <w:pStyle w:val="NormalNumberedtext"/>
      </w:pPr>
      <w:r>
        <w:t>This procedure meets the following purpose requirements:</w:t>
      </w:r>
    </w:p>
    <w:p>
      <w:pPr>
        <w:pStyle w:val="NormalNumberedtext"/>
      </w:pPr>
      <w:r>
        <w:t>This procedure establishes the minimum PPE requirements for all personnel on the project, defines the PPE selection process by hazard type, and sets out inspection, maintenance, replacement, and training requirements. It applies across all project phases from Execution through to Handover and governs:</w:t>
      </w:r>
    </w:p>
    <w:p>
      <w:pPr>
        <w:pStyle w:val="NumberedBulletL1"/>
      </w:pPr>
      <w:r>
        <w:t>Rio Tinto staff and all contractor and subcontractor organisations working on the project.</w:t>
      </w:r>
    </w:p>
    <w:p>
      <w:pPr>
        <w:pStyle w:val="NumberedBulletL1"/>
      </w:pPr>
      <w:r>
        <w:t>All work locations, work areas, and designated zones within the project boundary.</w:t>
      </w:r>
    </w:p>
    <w:p>
      <w:pPr>
        <w:pStyle w:val="NumberedBulletL1"/>
      </w:pPr>
      <w:r>
        <w:t>All PPE types from site-wide minimum standards through to specialist PPE for high-risk activities.</w:t>
      </w:r>
    </w:p>
    <w:p>
      <w:pPr>
        <w:pStyle w:val="NormalNumberedtext"/>
      </w:pPr>
      <w:r>
        <w:t>PPE is the last resort in the hierarchy of controls and is applied after all higher-order controls have been considered and implemented to the extent practicable. The control hierarchy and the role of PPE within it are governed by the Risk Management Procedure, RTPR-HSE-PRO-0002.</w:t>
      </w:r>
    </w:p>
    <w:p>
      <w:pPr>
        <w:pStyle w:val="Heading2Numbered"/>
      </w:pPr>
      <w:r>
        <w:t>3.2  Scope of This Document</w:t>
      </w:r>
    </w:p>
    <w:p>
      <w:pPr>
        <w:pStyle w:val="NormalNumberedtext"/>
      </w:pPr>
      <w:r>
        <w:t>This section defines which PPE activities and personnel are governed by this document and how it connects to related project procedures.</w:t>
      </w:r>
    </w:p>
    <w:p>
      <w:pPr>
        <w:pStyle w:val="NormalNumberedtext"/>
      </w:pPr>
      <w:r>
        <w:t>This procedure applies the following scope requirements:</w:t>
      </w:r>
    </w:p>
    <w:p>
      <w:pPr>
        <w:pStyle w:val="NormalNumberedtext"/>
      </w:pPr>
      <w:r>
        <w:t>This procedure governs PPE requirements across all project work activities and work areas. The following activities are governed by dedicated procedures that specify additional PPE requirements, cross-referenced here and not repeated:</w:t>
      </w:r>
    </w:p>
    <w:p>
      <w:pPr>
        <w:pStyle w:val="NumberedBulletL1"/>
      </w:pPr>
      <w:r>
        <w:t>Fall protection equipment selection and use — refer RTPR-HSE-PRO-0008, Working at Height.</w:t>
      </w:r>
    </w:p>
    <w:p>
      <w:pPr>
        <w:pStyle w:val="NumberedBulletL1"/>
      </w:pPr>
      <w:r>
        <w:t>Hearing protection selection for noise-exposed work — refer RTPR-HSE-PRO-0013, Noise.</w:t>
      </w:r>
    </w:p>
    <w:p>
      <w:pPr>
        <w:pStyle w:val="NumberedBulletL1"/>
      </w:pPr>
      <w:r>
        <w:t>Arc flash PPE requirements and selection — refer RTPR-HSE-PRO-0025, Electrical Safety.</w:t>
      </w:r>
    </w:p>
    <w:p>
      <w:pPr>
        <w:pStyle w:val="NumberedBulletL1"/>
      </w:pPr>
      <w:r>
        <w:t>Chemical-resistant PPE for hazardous substance handling — refer RTPR-HSE-PRO-0012, Chemicals.</w:t>
      </w:r>
    </w:p>
    <w:p>
      <w:pPr>
        <w:pStyle w:val="Heading1Numbered"/>
      </w:pPr>
      <w:r>
        <w:t>4  Minimum PPE Requirements</w:t>
      </w:r>
    </w:p>
    <w:p>
      <w:pPr>
        <w:pStyle w:val="NormalNumberedtext"/>
      </w:pPr>
      <w:r>
        <w:t>This section defines the site-wide minimum PPE standard that applies to all personnel at all times within the project boundary, regardless of task or role.</w:t>
      </w:r>
    </w:p>
    <w:p>
      <w:pPr>
        <w:pStyle w:val="Heading2Numbered"/>
      </w:pPr>
      <w:r>
        <w:t>4.1  Site-Wide Minimum PPE Standard</w:t>
      </w:r>
    </w:p>
    <w:p>
      <w:pPr>
        <w:pStyle w:val="NormalNumberedtext"/>
      </w:pPr>
      <w:r>
        <w:t>This section defines the minimum PPE that all personnel must wear at all times within the project boundary.</w:t>
      </w:r>
    </w:p>
    <w:p>
      <w:pPr>
        <w:pStyle w:val="NormalNumberedtext"/>
      </w:pPr>
      <w:r>
        <w:t>All PPE used on the project must meet or exceed Applicable Laws and industry best practices. Where Rio Tinto standards are more stringent than local legislation, the Rio Tinto standard applies. PPE requirements are appropriate for the hazards identified in the work environment and are selected to provide adequate protection for the relevant exposure scenario, consistent with IFC EHS General Guidelines §2.7.</w:t>
      </w:r>
    </w:p>
    <w:p>
      <w:pPr>
        <w:pStyle w:val="NormalNumberedtext"/>
      </w:pPr>
      <w:r>
        <w:t>The site-wide minimum PPE standard applies to all personnel at all times within the project boundary. The minimum standard is:</w:t>
      </w:r>
    </w:p>
    <w:p>
      <w:pPr>
        <w:pStyle w:val="NormalNumberedtext"/>
      </w:pPr>
      <w:r>
        <w:t>Table 1: Site-Wide Minimum PPE Standard</w:t>
      </w:r>
    </w:p>
    <w:tbl>
      <w:tblPr>
        <w:tblStyle w:val="TableOption2"/>
        <w:tblW w:type="pct" w:w="5000"/>
      </w:tblPr>
      <w:tr>
        <w:trPr>
          <w:tblHeader/>
        </w:trPr>
        <w:tc>
          <w:tcPr>
            <w:shd w:val="clear" w:color="auto" w:fill="1F3864"/>
          </w:tcPr>
          <w:p>
            <w:pPr>
              <w:pStyle w:val="TableContents"/>
            </w:pPr>
            <w:r>
              <w:rPr>
                <w:b/>
                <w:bCs/>
                <w:color w:val="FFFFFF"/>
              </w:rPr>
              <w:t>PPE Category</w:t>
            </w:r>
          </w:p>
        </w:tc>
        <w:tc>
          <w:tcPr>
            <w:shd w:val="clear" w:color="auto" w:fill="1F3864"/>
          </w:tcPr>
          <w:p>
            <w:pPr>
              <w:pStyle w:val="TableContents"/>
            </w:pPr>
            <w:r>
              <w:rPr>
                <w:b/>
                <w:bCs/>
                <w:color w:val="FFFFFF"/>
              </w:rPr>
              <w:t>Minimum Requirement</w:t>
            </w:r>
          </w:p>
        </w:tc>
        <w:tc>
          <w:tcPr>
            <w:shd w:val="clear" w:color="auto" w:fill="1F3864"/>
          </w:tcPr>
          <w:p>
            <w:pPr>
              <w:pStyle w:val="TableContents"/>
            </w:pPr>
            <w:r>
              <w:rPr>
                <w:b/>
                <w:bCs/>
                <w:color w:val="FFFFFF"/>
              </w:rPr>
              <w:t>Applicable Standard or Rating</w:t>
            </w:r>
          </w:p>
        </w:tc>
        <w:tc>
          <w:tcPr>
            <w:shd w:val="clear" w:color="auto" w:fill="1F3864"/>
          </w:tcPr>
          <w:p>
            <w:pPr>
              <w:pStyle w:val="TableContents"/>
            </w:pPr>
            <w:r>
              <w:rPr>
                <w:b/>
                <w:bCs/>
                <w:color w:val="FFFFFF"/>
              </w:rPr>
              <w:t>Project-Specific Requirement</w:t>
            </w:r>
          </w:p>
        </w:tc>
      </w:tr>
      <w:tr>
        <w:tc>
          <w:tcPr/>
          <w:p>
            <w:pPr>
              <w:pStyle w:val="TableContents"/>
            </w:pPr>
            <w:r>
              <w:t>Head protection</w:t>
            </w:r>
          </w:p>
        </w:tc>
        <w:tc>
          <w:tcPr/>
          <w:p>
            <w:pPr>
              <w:pStyle w:val="TableContents"/>
            </w:pPr>
            <w:r>
              <w:t>Safety helmet worn at all times in work areas</w:t>
            </w:r>
          </w:p>
        </w:tc>
        <w:tc>
          <w:tcPr/>
          <w:p>
            <w:pPr>
              <w:pStyle w:val="TableContents"/>
            </w:pPr>
            <w:r>
              <w:t>AS/NZS 1801 or equivalent</w:t>
            </w:r>
          </w:p>
        </w:tc>
        <w:tc>
          <w:tcPr/>
          <w:p>
            <w:pPr>
              <w:pStyle w:val="TableContents"/>
            </w:pPr>
            <w:r>
              <w:rPr>
                <w:b/>
                <w:bCs/>
                <w:color w:val="0059D1"/>
              </w:rPr>
              <w:t>[INSERT: confirm helmet class and colour-coding requirements]</w:t>
            </w:r>
          </w:p>
        </w:tc>
      </w:tr>
      <w:tr>
        <w:tc>
          <w:tcPr/>
          <w:p>
            <w:pPr>
              <w:pStyle w:val="TableContents"/>
            </w:pPr>
            <w:r>
              <w:t>Eye protection</w:t>
            </w:r>
          </w:p>
        </w:tc>
        <w:tc>
          <w:tcPr/>
          <w:p>
            <w:pPr>
              <w:pStyle w:val="TableContents"/>
            </w:pPr>
            <w:r>
              <w:t>Safety glasses with side shields</w:t>
            </w:r>
          </w:p>
        </w:tc>
        <w:tc>
          <w:tcPr/>
          <w:p>
            <w:pPr>
              <w:pStyle w:val="TableContents"/>
            </w:pPr>
            <w:r>
              <w:t>AS/NZS 1337.1 or equivalent</w:t>
            </w:r>
          </w:p>
        </w:tc>
        <w:tc>
          <w:tcPr/>
          <w:p>
            <w:pPr>
              <w:pStyle w:val="TableContents"/>
            </w:pPr>
            <w:r>
              <w:rPr>
                <w:b/>
                <w:bCs/>
                <w:color w:val="0059D1"/>
              </w:rPr>
              <w:t>[INSERT: confirm lens tint requirements for outdoor work]</w:t>
            </w:r>
          </w:p>
        </w:tc>
      </w:tr>
      <w:tr>
        <w:tc>
          <w:tcPr/>
          <w:p>
            <w:pPr>
              <w:pStyle w:val="TableContents"/>
            </w:pPr>
            <w:r>
              <w:t>Foot protection</w:t>
            </w:r>
          </w:p>
        </w:tc>
        <w:tc>
          <w:tcPr/>
          <w:p>
            <w:pPr>
              <w:pStyle w:val="TableContents"/>
            </w:pPr>
            <w:r>
              <w:t>Safety boots with steel or composite toe cap and penetration-resistant midsole</w:t>
            </w:r>
          </w:p>
        </w:tc>
        <w:tc>
          <w:tcPr/>
          <w:p>
            <w:pPr>
              <w:pStyle w:val="TableContents"/>
            </w:pPr>
            <w:r>
              <w:t>AS/NZS 2210.3 or equivalent</w:t>
            </w:r>
          </w:p>
        </w:tc>
        <w:tc>
          <w:tcPr/>
          <w:p>
            <w:pPr>
              <w:pStyle w:val="TableContents"/>
            </w:pPr>
            <w:r>
              <w:rPr>
                <w:b/>
                <w:bCs/>
                <w:color w:val="0059D1"/>
              </w:rPr>
              <w:t>[INSERT: confirm minimum safety footwear rating for the project]</w:t>
            </w:r>
          </w:p>
        </w:tc>
      </w:tr>
      <w:tr>
        <w:tc>
          <w:tcPr/>
          <w:p>
            <w:pPr>
              <w:pStyle w:val="TableContents"/>
            </w:pPr>
            <w:r>
              <w:t>Hand protection</w:t>
            </w:r>
          </w:p>
        </w:tc>
        <w:tc>
          <w:tcPr/>
          <w:p>
            <w:pPr>
              <w:pStyle w:val="TableContents"/>
            </w:pPr>
            <w:r>
              <w:t>General-purpose work gloves appropriate to the task</w:t>
            </w:r>
          </w:p>
        </w:tc>
        <w:tc>
          <w:tcPr/>
          <w:p>
            <w:pPr>
              <w:pStyle w:val="TableContents"/>
            </w:pPr>
            <w:r>
              <w:t>AS/NZS 2161 or equivalent</w:t>
            </w:r>
          </w:p>
        </w:tc>
        <w:tc>
          <w:tcPr/>
          <w:p>
            <w:pPr>
              <w:pStyle w:val="TableContents"/>
            </w:pPr>
            <w:r>
              <w:rPr>
                <w:b/>
                <w:bCs/>
                <w:color w:val="0059D1"/>
              </w:rPr>
              <w:t>[INSERT: confirm minimum glove specification for general work]</w:t>
            </w:r>
          </w:p>
        </w:tc>
      </w:tr>
      <w:tr>
        <w:tc>
          <w:tcPr/>
          <w:p>
            <w:pPr>
              <w:pStyle w:val="TableContents"/>
            </w:pPr>
            <w:r>
              <w:t>Hearing protection</w:t>
            </w:r>
          </w:p>
        </w:tc>
        <w:tc>
          <w:tcPr/>
          <w:p>
            <w:pPr>
              <w:pStyle w:val="TableContents"/>
            </w:pPr>
            <w:r>
              <w:t>Required in all designated hearing protection areas</w:t>
            </w:r>
          </w:p>
        </w:tc>
        <w:tc>
          <w:tcPr/>
          <w:p>
            <w:pPr>
              <w:pStyle w:val="TableContents"/>
            </w:pPr>
            <w:r>
              <w:t>Refer RTPR-HSE-PRO-0013</w:t>
            </w:r>
          </w:p>
        </w:tc>
        <w:tc>
          <w:tcPr/>
          <w:p>
            <w:pPr>
              <w:pStyle w:val="TableContents"/>
            </w:pPr>
            <w:r>
              <w:rPr>
                <w:b/>
                <w:bCs/>
                <w:color w:val="0059D1"/>
              </w:rPr>
              <w:t>[INSERT: define designated hearing protection areas on this project]</w:t>
            </w:r>
          </w:p>
        </w:tc>
      </w:tr>
      <w:tr>
        <w:tc>
          <w:tcPr/>
          <w:p>
            <w:pPr>
              <w:pStyle w:val="TableContents"/>
            </w:pPr>
            <w:r>
              <w:t>Protective clothing</w:t>
            </w:r>
          </w:p>
        </w:tc>
        <w:tc>
          <w:tcPr/>
          <w:p>
            <w:pPr>
              <w:pStyle w:val="TableContents"/>
            </w:pPr>
            <w:r>
              <w:t>Long-sleeve shirt and long trousers as a minimum</w:t>
            </w:r>
          </w:p>
        </w:tc>
        <w:tc>
          <w:tcPr/>
          <w:p>
            <w:pPr>
              <w:pStyle w:val="TableContents"/>
            </w:pPr>
            <w:r>
              <w:t>AS/NZS 4602 or equivalent</w:t>
            </w:r>
          </w:p>
        </w:tc>
        <w:tc>
          <w:tcPr/>
          <w:p>
            <w:pPr>
              <w:pStyle w:val="TableContents"/>
            </w:pPr>
            <w:r>
              <w:rPr>
                <w:b/>
                <w:bCs/>
                <w:color w:val="0059D1"/>
              </w:rPr>
              <w:t>[INSERT: confirm hi-visibility class requirement for the project]</w:t>
            </w:r>
          </w:p>
        </w:tc>
      </w:tr>
    </w:tbl>
    <w:p>
      <w:pPr>
        <w:pStyle w:val="Default"/>
      </w:pPr>
    </w:p>
    <w:tbl>
      <w:tblPr>
        <w:tblStyle w:val="TableOption1"/>
        <w:tblW w:type="pct" w:w="5000"/>
      </w:tblPr>
      <w:tr>
        <w:tc>
          <w:tcPr>
            <w:shd w:val="clear" w:color="auto" w:fill="FFF2CC"/>
          </w:tcPr>
          <w:p>
            <w:pPr>
              <w:pStyle w:val="Instructions"/>
            </w:pPr>
            <w:r>
              <w:rPr>
                <w:b/>
                <w:bCs/>
                <w:color w:val="C55A11"/>
              </w:rPr>
              <w:t>PROJECT COMPLETION REQUIRED — Item 3: Confirm the mandatory PPE standard for all personnel on the project. Some projects apply an elevated minimum standard — for example, tinted safety glasses mandatory at all times outdoors, or Class 2 hi-visibility clothing mandatory in all work areas. Define the project standard in Table 1 before this procedure is issued.</w:t>
            </w:r>
          </w:p>
        </w:tc>
      </w:tr>
    </w:tbl>
    <w:p>
      <w:pPr>
        <w:pStyle w:val="Default"/>
      </w:pPr>
    </w:p>
    <w:p>
      <w:pPr>
        <w:pStyle w:val="NormalNumberedtext"/>
      </w:pPr>
      <w:r>
        <w:t>The project mandatory PPE standard is confirmed and documented in Table 1 before this procedure is issued. The</w:t>
      </w:r>
    </w:p>
    <w:p>
      <w:pPr>
        <w:pStyle w:val="NormalNumberedtext"/>
      </w:pPr>
      <w:r>
        <w:rPr>
          <w:b/>
          <w:bCs/>
          <w:color w:val="0059D1"/>
        </w:rPr>
        <w:t>[INSERT: project_ppe_standard_owner] — Role responsible for confirming and maintaining the site minimum PPE standard, e.g. HSESC Manager</w:t>
      </w:r>
    </w:p>
    <w:p>
      <w:pPr>
        <w:pStyle w:val="NormalNumberedtext"/>
      </w:pPr>
      <w:r>
        <w:t>is responsible for confirming the site minimum PPE standard before mobilisation and communicating it to all personnel during site induction.</w:t>
      </w:r>
    </w:p>
    <w:p>
      <w:pPr>
        <w:pStyle w:val="Heading2Numbered"/>
      </w:pPr>
      <w:r>
        <w:t>4.2  PPE Provision and Replacement</w:t>
      </w:r>
    </w:p>
    <w:p>
      <w:pPr>
        <w:pStyle w:val="NormalNumberedtext"/>
      </w:pPr>
      <w:r>
        <w:t>This section defines how PPE is issued, who funds replacement, and the maximum service life for critical items.</w:t>
      </w:r>
    </w:p>
    <w:tbl>
      <w:tblPr>
        <w:tblStyle w:val="TableOption1"/>
        <w:tblW w:type="pct" w:w="5000"/>
      </w:tblPr>
      <w:tr>
        <w:tc>
          <w:tcPr>
            <w:shd w:val="clear" w:color="auto" w:fill="FFF2CC"/>
          </w:tcPr>
          <w:p>
            <w:pPr>
              <w:pStyle w:val="Instructions"/>
            </w:pPr>
            <w:r>
              <w:rPr>
                <w:b/>
                <w:bCs/>
                <w:color w:val="C55A11"/>
              </w:rPr>
              <w:t>PROJECT COMPLETION REQUIRED — Item 2: Define the project PPE provision and replacement process before this procedure is issued. The process must address: how PPE is issued to personnel on arrival; who is responsible for funding replacement PPE (Rio Tinto, contractor, or individual); and the maximum wear period before mandatory replacement for critical items such as safety helmets, harnesses, and respiratory protective equipment.</w:t>
            </w:r>
          </w:p>
        </w:tc>
      </w:tr>
    </w:tbl>
    <w:p>
      <w:pPr>
        <w:pStyle w:val="Default"/>
      </w:pPr>
    </w:p>
    <w:p>
      <w:pPr>
        <w:pStyle w:val="NormalNumberedtext"/>
      </w:pPr>
      <w:r>
        <w:t>The PPE provision and replacement process for this project is:</w:t>
      </w:r>
    </w:p>
    <w:p>
      <w:pPr>
        <w:pStyle w:val="NormalNumberedtext"/>
      </w:pPr>
      <w:r>
        <w:t>Table 2: PPE Provision and Replacement Requirements</w:t>
      </w:r>
    </w:p>
    <w:tbl>
      <w:tblPr>
        <w:tblStyle w:val="TableOption2"/>
        <w:tblW w:type="pct" w:w="5000"/>
      </w:tblPr>
      <w:tr>
        <w:trPr>
          <w:tblHeader/>
        </w:trPr>
        <w:tc>
          <w:tcPr>
            <w:shd w:val="clear" w:color="auto" w:fill="1F3864"/>
          </w:tcPr>
          <w:p>
            <w:pPr>
              <w:pStyle w:val="TableContents"/>
            </w:pPr>
            <w:r>
              <w:rPr>
                <w:b/>
                <w:bCs/>
                <w:color w:val="FFFFFF"/>
              </w:rPr>
              <w:t>PPE Category</w:t>
            </w:r>
          </w:p>
        </w:tc>
        <w:tc>
          <w:tcPr>
            <w:shd w:val="clear" w:color="auto" w:fill="1F3864"/>
          </w:tcPr>
          <w:p>
            <w:pPr>
              <w:pStyle w:val="TableContents"/>
            </w:pPr>
            <w:r>
              <w:rPr>
                <w:b/>
                <w:bCs/>
                <w:color w:val="FFFFFF"/>
              </w:rPr>
              <w:t>Issued By</w:t>
            </w:r>
          </w:p>
        </w:tc>
        <w:tc>
          <w:tcPr>
            <w:shd w:val="clear" w:color="auto" w:fill="1F3864"/>
          </w:tcPr>
          <w:p>
            <w:pPr>
              <w:pStyle w:val="TableContents"/>
            </w:pPr>
            <w:r>
              <w:rPr>
                <w:b/>
                <w:bCs/>
                <w:color w:val="FFFFFF"/>
              </w:rPr>
              <w:t>Funded By</w:t>
            </w:r>
          </w:p>
        </w:tc>
        <w:tc>
          <w:tcPr>
            <w:shd w:val="clear" w:color="auto" w:fill="1F3864"/>
          </w:tcPr>
          <w:p>
            <w:pPr>
              <w:pStyle w:val="TableContents"/>
            </w:pPr>
            <w:r>
              <w:rPr>
                <w:b/>
                <w:bCs/>
                <w:color w:val="FFFFFF"/>
              </w:rPr>
              <w:t>Maximum Service Life or Replacement Trigger</w:t>
            </w:r>
          </w:p>
        </w:tc>
      </w:tr>
      <w:tr>
        <w:tc>
          <w:tcPr/>
          <w:p>
            <w:pPr>
              <w:pStyle w:val="TableContents"/>
            </w:pPr>
            <w:r>
              <w:t>Safety helmet</w:t>
            </w:r>
          </w:p>
        </w:tc>
        <w:tc>
          <w:tcPr/>
          <w:p>
            <w:pPr>
              <w:pStyle w:val="TableContents"/>
            </w:pPr>
            <w:r>
              <w:rPr>
                <w:b/>
                <w:bCs/>
                <w:color w:val="0059D1"/>
              </w:rPr>
              <w:t>[INSERT: issuing party]</w:t>
            </w:r>
          </w:p>
        </w:tc>
        <w:tc>
          <w:tcPr/>
          <w:p>
            <w:pPr>
              <w:pStyle w:val="TableContents"/>
            </w:pPr>
            <w:r>
              <w:rPr>
                <w:b/>
                <w:bCs/>
                <w:color w:val="0059D1"/>
              </w:rPr>
              <w:t>[INSERT: funding party]</w:t>
            </w:r>
          </w:p>
        </w:tc>
        <w:tc>
          <w:tcPr/>
          <w:p>
            <w:pPr>
              <w:pStyle w:val="TableContents"/>
            </w:pPr>
            <w:r>
              <w:rPr>
                <w:b/>
                <w:bCs/>
                <w:color w:val="0059D1"/>
              </w:rPr>
              <w:t>[INSERT: e.g. 3 years from manufacture date or on visible damage]</w:t>
            </w:r>
          </w:p>
        </w:tc>
      </w:tr>
      <w:tr>
        <w:tc>
          <w:tcPr/>
          <w:p>
            <w:pPr>
              <w:pStyle w:val="TableContents"/>
            </w:pPr>
            <w:r>
              <w:t>Safety glasses</w:t>
            </w:r>
          </w:p>
        </w:tc>
        <w:tc>
          <w:tcPr/>
          <w:p>
            <w:pPr>
              <w:pStyle w:val="TableContents"/>
            </w:pPr>
            <w:r>
              <w:rPr>
                <w:b/>
                <w:bCs/>
                <w:color w:val="0059D1"/>
              </w:rPr>
              <w:t>[INSERT: issuing party]</w:t>
            </w:r>
          </w:p>
        </w:tc>
        <w:tc>
          <w:tcPr/>
          <w:p>
            <w:pPr>
              <w:pStyle w:val="TableContents"/>
            </w:pPr>
            <w:r>
              <w:rPr>
                <w:b/>
                <w:bCs/>
                <w:color w:val="0059D1"/>
              </w:rPr>
              <w:t>[INSERT: funding party]</w:t>
            </w:r>
          </w:p>
        </w:tc>
        <w:tc>
          <w:tcPr/>
          <w:p>
            <w:pPr>
              <w:pStyle w:val="TableContents"/>
            </w:pPr>
            <w:r>
              <w:rPr>
                <w:b/>
                <w:bCs/>
                <w:color w:val="0059D1"/>
              </w:rPr>
              <w:t>[INSERT: e.g. on lens scratching that impairs vision or on damage]</w:t>
            </w:r>
          </w:p>
        </w:tc>
      </w:tr>
      <w:tr>
        <w:tc>
          <w:tcPr/>
          <w:p>
            <w:pPr>
              <w:pStyle w:val="TableContents"/>
            </w:pPr>
            <w:r>
              <w:t>Safety boots</w:t>
            </w:r>
          </w:p>
        </w:tc>
        <w:tc>
          <w:tcPr/>
          <w:p>
            <w:pPr>
              <w:pStyle w:val="TableContents"/>
            </w:pPr>
            <w:r>
              <w:rPr>
                <w:b/>
                <w:bCs/>
                <w:color w:val="0059D1"/>
              </w:rPr>
              <w:t>[INSERT: issuing party]</w:t>
            </w:r>
          </w:p>
        </w:tc>
        <w:tc>
          <w:tcPr/>
          <w:p>
            <w:pPr>
              <w:pStyle w:val="TableContents"/>
            </w:pPr>
            <w:r>
              <w:rPr>
                <w:b/>
                <w:bCs/>
                <w:color w:val="0059D1"/>
              </w:rPr>
              <w:t>[INSERT: funding party]</w:t>
            </w:r>
          </w:p>
        </w:tc>
        <w:tc>
          <w:tcPr/>
          <w:p>
            <w:pPr>
              <w:pStyle w:val="TableContents"/>
            </w:pPr>
            <w:r>
              <w:rPr>
                <w:b/>
                <w:bCs/>
                <w:color w:val="0059D1"/>
              </w:rPr>
              <w:t>[INSERT: e.g. annually or on damage to toe cap or sole]</w:t>
            </w:r>
          </w:p>
        </w:tc>
      </w:tr>
      <w:tr>
        <w:tc>
          <w:tcPr/>
          <w:p>
            <w:pPr>
              <w:pStyle w:val="TableContents"/>
            </w:pPr>
            <w:r>
              <w:t>Work gloves</w:t>
            </w:r>
          </w:p>
        </w:tc>
        <w:tc>
          <w:tcPr/>
          <w:p>
            <w:pPr>
              <w:pStyle w:val="TableContents"/>
            </w:pPr>
            <w:r>
              <w:rPr>
                <w:b/>
                <w:bCs/>
                <w:color w:val="0059D1"/>
              </w:rPr>
              <w:t>[INSERT: issuing party]</w:t>
            </w:r>
          </w:p>
        </w:tc>
        <w:tc>
          <w:tcPr/>
          <w:p>
            <w:pPr>
              <w:pStyle w:val="TableContents"/>
            </w:pPr>
            <w:r>
              <w:rPr>
                <w:b/>
                <w:bCs/>
                <w:color w:val="0059D1"/>
              </w:rPr>
              <w:t>[INSERT: funding party]</w:t>
            </w:r>
          </w:p>
        </w:tc>
        <w:tc>
          <w:tcPr/>
          <w:p>
            <w:pPr>
              <w:pStyle w:val="TableContents"/>
            </w:pPr>
            <w:r>
              <w:rPr>
                <w:b/>
                <w:bCs/>
                <w:color w:val="0059D1"/>
              </w:rPr>
              <w:t>[INSERT: e.g. weekly for general work or immediately on damage]</w:t>
            </w:r>
          </w:p>
        </w:tc>
      </w:tr>
      <w:tr>
        <w:tc>
          <w:tcPr/>
          <w:p>
            <w:pPr>
              <w:pStyle w:val="TableContents"/>
            </w:pPr>
            <w:r>
              <w:t>Hearing protection — disposable</w:t>
            </w:r>
          </w:p>
        </w:tc>
        <w:tc>
          <w:tcPr/>
          <w:p>
            <w:pPr>
              <w:pStyle w:val="TableContents"/>
            </w:pPr>
            <w:r>
              <w:rPr>
                <w:b/>
                <w:bCs/>
                <w:color w:val="0059D1"/>
              </w:rPr>
              <w:t>[INSERT: issuing party]</w:t>
            </w:r>
          </w:p>
        </w:tc>
        <w:tc>
          <w:tcPr/>
          <w:p>
            <w:pPr>
              <w:pStyle w:val="TableContents"/>
            </w:pPr>
            <w:r>
              <w:rPr>
                <w:b/>
                <w:bCs/>
                <w:color w:val="0059D1"/>
              </w:rPr>
              <w:t>[INSERT: funding party]</w:t>
            </w:r>
          </w:p>
        </w:tc>
        <w:tc>
          <w:tcPr/>
          <w:p>
            <w:pPr>
              <w:pStyle w:val="TableContents"/>
            </w:pPr>
            <w:r>
              <w:rPr>
                <w:b/>
                <w:bCs/>
                <w:color w:val="0059D1"/>
              </w:rPr>
              <w:t>[INSERT: e.g. single shift use only]</w:t>
            </w:r>
          </w:p>
        </w:tc>
      </w:tr>
      <w:tr>
        <w:tc>
          <w:tcPr/>
          <w:p>
            <w:pPr>
              <w:pStyle w:val="TableContents"/>
            </w:pPr>
            <w:r>
              <w:t>Hearing protection — reusable</w:t>
            </w:r>
          </w:p>
        </w:tc>
        <w:tc>
          <w:tcPr/>
          <w:p>
            <w:pPr>
              <w:pStyle w:val="TableContents"/>
            </w:pPr>
            <w:r>
              <w:rPr>
                <w:b/>
                <w:bCs/>
                <w:color w:val="0059D1"/>
              </w:rPr>
              <w:t>[INSERT: issuing party]</w:t>
            </w:r>
          </w:p>
        </w:tc>
        <w:tc>
          <w:tcPr/>
          <w:p>
            <w:pPr>
              <w:pStyle w:val="TableContents"/>
            </w:pPr>
            <w:r>
              <w:rPr>
                <w:b/>
                <w:bCs/>
                <w:color w:val="0059D1"/>
              </w:rPr>
              <w:t>[INSERT: funding party]</w:t>
            </w:r>
          </w:p>
        </w:tc>
        <w:tc>
          <w:tcPr/>
          <w:p>
            <w:pPr>
              <w:pStyle w:val="TableContents"/>
            </w:pPr>
            <w:r>
              <w:rPr>
                <w:b/>
                <w:bCs/>
                <w:color w:val="0059D1"/>
              </w:rPr>
              <w:t>[INSERT: e.g. on visible degradation or loss of seal]</w:t>
            </w:r>
          </w:p>
        </w:tc>
      </w:tr>
      <w:tr>
        <w:tc>
          <w:tcPr/>
          <w:p>
            <w:pPr>
              <w:pStyle w:val="TableContents"/>
            </w:pPr>
            <w:r>
              <w:t>Full body harness</w:t>
            </w:r>
          </w:p>
        </w:tc>
        <w:tc>
          <w:tcPr/>
          <w:p>
            <w:pPr>
              <w:pStyle w:val="TableContents"/>
            </w:pPr>
            <w:r>
              <w:rPr>
                <w:b/>
                <w:bCs/>
                <w:color w:val="0059D1"/>
              </w:rPr>
              <w:t>[INSERT: issuing party]</w:t>
            </w:r>
          </w:p>
        </w:tc>
        <w:tc>
          <w:tcPr/>
          <w:p>
            <w:pPr>
              <w:pStyle w:val="TableContents"/>
            </w:pPr>
            <w:r>
              <w:rPr>
                <w:b/>
                <w:bCs/>
                <w:color w:val="0059D1"/>
              </w:rPr>
              <w:t>[INSERT: funding party]</w:t>
            </w:r>
          </w:p>
        </w:tc>
        <w:tc>
          <w:tcPr/>
          <w:p>
            <w:pPr>
              <w:pStyle w:val="TableContents"/>
            </w:pPr>
            <w:r>
              <w:rPr>
                <w:b/>
                <w:bCs/>
                <w:color w:val="0059D1"/>
              </w:rPr>
              <w:t>[INSERT: e.g. 10 years from manufacture or immediately after arrest event]</w:t>
            </w:r>
          </w:p>
        </w:tc>
      </w:tr>
      <w:tr>
        <w:tc>
          <w:tcPr/>
          <w:p>
            <w:pPr>
              <w:pStyle w:val="TableContents"/>
            </w:pPr>
            <w:r>
              <w:t>Respiratory protective equipment</w:t>
            </w:r>
          </w:p>
        </w:tc>
        <w:tc>
          <w:tcPr/>
          <w:p>
            <w:pPr>
              <w:pStyle w:val="TableContents"/>
            </w:pPr>
            <w:r>
              <w:rPr>
                <w:b/>
                <w:bCs/>
                <w:color w:val="0059D1"/>
              </w:rPr>
              <w:t>[INSERT: issuing party]</w:t>
            </w:r>
          </w:p>
        </w:tc>
        <w:tc>
          <w:tcPr/>
          <w:p>
            <w:pPr>
              <w:pStyle w:val="TableContents"/>
            </w:pPr>
            <w:r>
              <w:rPr>
                <w:b/>
                <w:bCs/>
                <w:color w:val="0059D1"/>
              </w:rPr>
              <w:t>[INSERT: funding party]</w:t>
            </w:r>
          </w:p>
        </w:tc>
        <w:tc>
          <w:tcPr/>
          <w:p>
            <w:pPr>
              <w:pStyle w:val="TableContents"/>
            </w:pPr>
            <w:r>
              <w:rPr>
                <w:b/>
                <w:bCs/>
                <w:color w:val="0059D1"/>
              </w:rPr>
              <w:t>[INSERT: e.g. per manufacturer service interval or on fit test failure]</w:t>
            </w:r>
          </w:p>
        </w:tc>
      </w:tr>
      <w:tr>
        <w:tc>
          <w:tcPr/>
          <w:p>
            <w:pPr>
              <w:pStyle w:val="TableContents"/>
            </w:pPr>
            <w:r>
              <w:rPr>
                <w:b/>
                <w:bCs/>
                <w:color w:val="0059D1"/>
              </w:rPr>
              <w:t>[INSERT: additional PPE item]</w:t>
            </w:r>
          </w:p>
        </w:tc>
        <w:tc>
          <w:tcPr/>
          <w:p>
            <w:pPr>
              <w:pStyle w:val="TableContents"/>
            </w:pPr>
            <w:r>
              <w:rPr>
                <w:b/>
                <w:bCs/>
                <w:color w:val="0059D1"/>
              </w:rPr>
              <w:t>[INSERT: issuing party]</w:t>
            </w:r>
          </w:p>
        </w:tc>
        <w:tc>
          <w:tcPr/>
          <w:p>
            <w:pPr>
              <w:pStyle w:val="TableContents"/>
            </w:pPr>
            <w:r>
              <w:rPr>
                <w:b/>
                <w:bCs/>
                <w:color w:val="0059D1"/>
              </w:rPr>
              <w:t>[INSERT: funding party]</w:t>
            </w:r>
          </w:p>
        </w:tc>
        <w:tc>
          <w:tcPr/>
          <w:p>
            <w:pPr>
              <w:pStyle w:val="TableContents"/>
            </w:pPr>
            <w:r>
              <w:rPr>
                <w:b/>
                <w:bCs/>
                <w:color w:val="0059D1"/>
              </w:rPr>
              <w:t>[INSERT: replacement trigger]</w:t>
            </w:r>
          </w:p>
        </w:tc>
      </w:tr>
    </w:tbl>
    <w:p>
      <w:pPr>
        <w:pStyle w:val="Default"/>
      </w:pPr>
    </w:p>
    <w:p>
      <w:pPr>
        <w:pStyle w:val="Heading1Numbered"/>
      </w:pPr>
      <w:r>
        <w:t>5  PPE Selection and High-Risk Activities</w:t>
      </w:r>
    </w:p>
    <w:p>
      <w:pPr>
        <w:pStyle w:val="NormalNumberedtext"/>
      </w:pPr>
      <w:r>
        <w:t>This section defines the PPE selection process by hazard type, including the project-specific selection guide and specialist PPE requirements for high-risk activities.</w:t>
      </w:r>
    </w:p>
    <w:p>
      <w:pPr>
        <w:pStyle w:val="Heading2Numbered"/>
      </w:pPr>
      <w:r>
        <w:t>5.1  Project-Specific PPE Selection Guide</w:t>
      </w:r>
    </w:p>
    <w:p>
      <w:pPr>
        <w:pStyle w:val="NormalNumberedtext"/>
      </w:pPr>
      <w:r>
        <w:t>This section defines the project-specific PPE selection guide that serves as the default standard for all project personnel.</w:t>
      </w:r>
    </w:p>
    <w:p>
      <w:pPr>
        <w:pStyle w:val="NormalNumberedtext"/>
      </w:pPr>
      <w:r>
        <w:t>The project must define and maintain a site-specific PPE selection guide for common hazards across the project. The guide specifies the minimum protection class required for each identified hazard type and serves as the default standard for all project personnel when no task-specific assessment has been completed.</w:t>
      </w:r>
    </w:p>
    <w:tbl>
      <w:tblPr>
        <w:tblStyle w:val="TableOption1"/>
        <w:tblW w:type="pct" w:w="5000"/>
      </w:tblPr>
      <w:tr>
        <w:tc>
          <w:tcPr>
            <w:shd w:val="clear" w:color="auto" w:fill="FFF2CC"/>
          </w:tcPr>
          <w:p>
            <w:pPr>
              <w:pStyle w:val="Instructions"/>
            </w:pPr>
            <w:r>
              <w:rPr>
                <w:b/>
                <w:bCs/>
                <w:color w:val="C55A11"/>
              </w:rPr>
              <w:t>PROJECT COMPLETION REQUIRED — Item 1: Develop the project-specific PPE selection guide as Appendix A of this procedure. The guide must list every identified hazard type on this project and the minimum required PPE specification — for example, minimum cut resistance class for gloves, minimum safety footwear rating for the work surface or task type, and arc flash PPE category based on incident energy calculations. This is a project deliverable and must be completed before this procedure is issued.</w:t>
            </w:r>
          </w:p>
        </w:tc>
      </w:tr>
    </w:tbl>
    <w:p>
      <w:pPr>
        <w:pStyle w:val="Default"/>
      </w:pPr>
    </w:p>
    <w:p>
      <w:pPr>
        <w:pStyle w:val="NormalNumberedtext"/>
      </w:pPr>
      <w:r>
        <w:t>The PPE selection guide is documented in Appendix A of this procedure. The</w:t>
      </w:r>
    </w:p>
    <w:p>
      <w:pPr>
        <w:pStyle w:val="NormalNumberedtext"/>
      </w:pPr>
      <w:r>
        <w:rPr>
          <w:b/>
          <w:bCs/>
          <w:color w:val="0059D1"/>
        </w:rPr>
        <w:t>[INSERT: ppe_selection_guide_owner] — Role responsible for developing and maintaining Appendix A, e.g. HSESC Manager</w:t>
      </w:r>
    </w:p>
    <w:p>
      <w:pPr>
        <w:pStyle w:val="NormalNumberedtext"/>
      </w:pPr>
      <w:r>
        <w:t>is responsible for developing, maintaining, and reviewing Appendix A when a new hazard type is identified on the project or when a change in work scope introduces new exposure scenarios.</w:t>
      </w:r>
    </w:p>
    <w:p>
      <w:pPr>
        <w:pStyle w:val="NormalNumberedtext"/>
      </w:pPr>
      <w:r>
        <w:t>The PPE selection guide in Appendix A is reviewed whenever a Management of Change process introduces new activities, new substances, or new energy sources to the project. Revisions to the guide are communicated to all relevant work groups before the relevant activity commences.</w:t>
      </w:r>
    </w:p>
    <w:p>
      <w:pPr>
        <w:pStyle w:val="Heading2Numbered"/>
      </w:pPr>
      <w:r>
        <w:t>5.2  Specialist PPE for High-Risk Activities</w:t>
      </w:r>
    </w:p>
    <w:p>
      <w:pPr>
        <w:pStyle w:val="NormalNumberedtext"/>
      </w:pPr>
      <w:r>
        <w:t>This section defines specialist PPE requirements for high-risk activities and the process for identifying and documenting them in task planning.</w:t>
      </w:r>
    </w:p>
    <w:p>
      <w:pPr>
        <w:pStyle w:val="NormalNumberedtext"/>
      </w:pPr>
      <w:r>
        <w:t>Specialist PPE requirements for high-risk activities are defined based on the specific hazard and the required level of protection. The work supervisor confirms specialist PPE is identified during job-specific planning and documented in the relevant Job Hazard Analysis or safe work procedure before the activity commences.</w:t>
      </w:r>
    </w:p>
    <w:p>
      <w:pPr>
        <w:pStyle w:val="NormalNumberedtext"/>
      </w:pPr>
      <w:r>
        <w:t>The following specialist PPE categories apply to high-risk activities on this project:</w:t>
      </w:r>
    </w:p>
    <w:p>
      <w:pPr>
        <w:pStyle w:val="NormalNumberedtext"/>
      </w:pPr>
      <w:r>
        <w:t>Table 3: Specialist PPE Requirements for High-Risk Activities</w:t>
      </w:r>
    </w:p>
    <w:tbl>
      <w:tblPr>
        <w:tblStyle w:val="TableOption2"/>
        <w:tblW w:type="pct" w:w="5000"/>
      </w:tblPr>
      <w:tr>
        <w:trPr>
          <w:tblHeader/>
        </w:trPr>
        <w:tc>
          <w:tcPr>
            <w:shd w:val="clear" w:color="auto" w:fill="1F3864"/>
          </w:tcPr>
          <w:p>
            <w:pPr>
              <w:pStyle w:val="TableContents"/>
            </w:pPr>
            <w:r>
              <w:rPr>
                <w:b/>
                <w:bCs/>
                <w:color w:val="FFFFFF"/>
              </w:rPr>
              <w:t>High-Risk Activity</w:t>
            </w:r>
          </w:p>
        </w:tc>
        <w:tc>
          <w:tcPr>
            <w:shd w:val="clear" w:color="auto" w:fill="1F3864"/>
          </w:tcPr>
          <w:p>
            <w:pPr>
              <w:pStyle w:val="TableContents"/>
            </w:pPr>
            <w:r>
              <w:rPr>
                <w:b/>
                <w:bCs/>
                <w:color w:val="FFFFFF"/>
              </w:rPr>
              <w:t>Specialist PPE Required</w:t>
            </w:r>
          </w:p>
        </w:tc>
        <w:tc>
          <w:tcPr>
            <w:shd w:val="clear" w:color="auto" w:fill="1F3864"/>
          </w:tcPr>
          <w:p>
            <w:pPr>
              <w:pStyle w:val="TableContents"/>
            </w:pPr>
            <w:r>
              <w:rPr>
                <w:b/>
                <w:bCs/>
                <w:color w:val="FFFFFF"/>
              </w:rPr>
              <w:t>Selection Basis</w:t>
            </w:r>
          </w:p>
        </w:tc>
        <w:tc>
          <w:tcPr>
            <w:shd w:val="clear" w:color="auto" w:fill="1F3864"/>
          </w:tcPr>
          <w:p>
            <w:pPr>
              <w:pStyle w:val="TableContents"/>
            </w:pPr>
            <w:r>
              <w:rPr>
                <w:b/>
                <w:bCs/>
                <w:color w:val="FFFFFF"/>
              </w:rPr>
              <w:t>Reference Procedure</w:t>
            </w:r>
          </w:p>
        </w:tc>
      </w:tr>
      <w:tr>
        <w:tc>
          <w:tcPr/>
          <w:p>
            <w:pPr>
              <w:pStyle w:val="TableContents"/>
            </w:pPr>
            <w:r>
              <w:t>Electrical work — energised systems</w:t>
            </w:r>
          </w:p>
        </w:tc>
        <w:tc>
          <w:tcPr/>
          <w:p>
            <w:pPr>
              <w:pStyle w:val="TableContents"/>
            </w:pPr>
            <w:r>
              <w:t>Arc flash rated PPE at the required category level</w:t>
            </w:r>
          </w:p>
        </w:tc>
        <w:tc>
          <w:tcPr/>
          <w:p>
            <w:pPr>
              <w:pStyle w:val="TableContents"/>
            </w:pPr>
            <w:r>
              <w:t>Incident energy calculations per applicable standard</w:t>
            </w:r>
          </w:p>
        </w:tc>
        <w:tc>
          <w:tcPr/>
          <w:p>
            <w:pPr>
              <w:pStyle w:val="TableContents"/>
            </w:pPr>
            <w:r>
              <w:t>RTPR-HSE-PRO-0025 — Electrical Safety</w:t>
            </w:r>
          </w:p>
        </w:tc>
      </w:tr>
      <w:tr>
        <w:tc>
          <w:tcPr/>
          <w:p>
            <w:pPr>
              <w:pStyle w:val="TableContents"/>
            </w:pPr>
            <w:r>
              <w:t>Working at height</w:t>
            </w:r>
          </w:p>
        </w:tc>
        <w:tc>
          <w:tcPr/>
          <w:p>
            <w:pPr>
              <w:pStyle w:val="TableContents"/>
            </w:pPr>
            <w:r>
              <w:t>Full body harness, lanyard, and anchorage system selected to minimise fall distance</w:t>
            </w:r>
          </w:p>
        </w:tc>
        <w:tc>
          <w:tcPr/>
          <w:p>
            <w:pPr>
              <w:pStyle w:val="TableContents"/>
            </w:pPr>
            <w:r>
              <w:t>Fall distance calculation and anchor point assessment</w:t>
            </w:r>
          </w:p>
        </w:tc>
        <w:tc>
          <w:tcPr/>
          <w:p>
            <w:pPr>
              <w:pStyle w:val="TableContents"/>
            </w:pPr>
            <w:r>
              <w:t>RTPR-HSE-PRO-0008 — Working at Height</w:t>
            </w:r>
          </w:p>
        </w:tc>
      </w:tr>
      <w:tr>
        <w:tc>
          <w:tcPr/>
          <w:p>
            <w:pPr>
              <w:pStyle w:val="TableContents"/>
            </w:pPr>
            <w:r>
              <w:t>Hazardous substance handling</w:t>
            </w:r>
          </w:p>
        </w:tc>
        <w:tc>
          <w:tcPr/>
          <w:p>
            <w:pPr>
              <w:pStyle w:val="TableContents"/>
            </w:pPr>
            <w:r>
              <w:t>Chemical-resistant gloves, apron, face shield, and RPE selected for the specific substance</w:t>
            </w:r>
          </w:p>
        </w:tc>
        <w:tc>
          <w:tcPr/>
          <w:p>
            <w:pPr>
              <w:pStyle w:val="TableContents"/>
            </w:pPr>
            <w:r>
              <w:t>Safety Data Sheet and exposure assessment</w:t>
            </w:r>
          </w:p>
        </w:tc>
        <w:tc>
          <w:tcPr/>
          <w:p>
            <w:pPr>
              <w:pStyle w:val="TableContents"/>
            </w:pPr>
            <w:r>
              <w:t>RTPR-HSE-PRO-0012 — Chemicals</w:t>
            </w:r>
          </w:p>
        </w:tc>
      </w:tr>
      <w:tr>
        <w:tc>
          <w:tcPr/>
          <w:p>
            <w:pPr>
              <w:pStyle w:val="TableContents"/>
            </w:pPr>
            <w:r>
              <w:t>Noise-exposed work in designated areas</w:t>
            </w:r>
          </w:p>
        </w:tc>
        <w:tc>
          <w:tcPr/>
          <w:p>
            <w:pPr>
              <w:pStyle w:val="TableContents"/>
            </w:pPr>
            <w:r>
              <w:t>Hearing protection selected to achieve adequate attenuation for the measured exposure level</w:t>
            </w:r>
          </w:p>
        </w:tc>
        <w:tc>
          <w:tcPr/>
          <w:p>
            <w:pPr>
              <w:pStyle w:val="TableContents"/>
            </w:pPr>
            <w:r>
              <w:t>Noise exposure assessment and octave band analysis</w:t>
            </w:r>
          </w:p>
        </w:tc>
        <w:tc>
          <w:tcPr/>
          <w:p>
            <w:pPr>
              <w:pStyle w:val="TableContents"/>
            </w:pPr>
            <w:r>
              <w:t>RTPR-HSE-PRO-0013 — Noise</w:t>
            </w:r>
          </w:p>
        </w:tc>
      </w:tr>
      <w:tr>
        <w:tc>
          <w:tcPr/>
          <w:p>
            <w:pPr>
              <w:pStyle w:val="TableContents"/>
            </w:pPr>
            <w:r>
              <w:t>Work in atmospheres with respiratory hazards</w:t>
            </w:r>
          </w:p>
        </w:tc>
        <w:tc>
          <w:tcPr/>
          <w:p>
            <w:pPr>
              <w:pStyle w:val="TableContents"/>
            </w:pPr>
            <w:r>
              <w:t>RPE selected based on contaminant type, concentration, and exposure duration</w:t>
            </w:r>
          </w:p>
        </w:tc>
        <w:tc>
          <w:tcPr/>
          <w:p>
            <w:pPr>
              <w:pStyle w:val="TableContents"/>
            </w:pPr>
            <w:r>
              <w:t>Air monitoring results and occupational exposure limits</w:t>
            </w:r>
          </w:p>
        </w:tc>
        <w:tc>
          <w:tcPr/>
          <w:p>
            <w:pPr>
              <w:pStyle w:val="TableContents"/>
            </w:pPr>
            <w:r>
              <w:rPr>
                <w:b/>
                <w:bCs/>
                <w:color w:val="0059D1"/>
              </w:rPr>
              <w:t>[INSERT: refer relevant procedure or SDS]</w:t>
            </w:r>
          </w:p>
        </w:tc>
      </w:tr>
      <w:tr>
        <w:tc>
          <w:tcPr/>
          <w:p>
            <w:pPr>
              <w:pStyle w:val="TableContents"/>
            </w:pPr>
            <w:r>
              <w:rPr>
                <w:b/>
                <w:bCs/>
                <w:color w:val="0059D1"/>
              </w:rPr>
              <w:t>[INSERT: high-risk activity]</w:t>
            </w:r>
          </w:p>
        </w:tc>
        <w:tc>
          <w:tcPr/>
          <w:p>
            <w:pPr>
              <w:pStyle w:val="TableContents"/>
            </w:pPr>
            <w:r>
              <w:rPr>
                <w:b/>
                <w:bCs/>
                <w:color w:val="0059D1"/>
              </w:rPr>
              <w:t>[INSERT: specialist PPE required]</w:t>
            </w:r>
          </w:p>
        </w:tc>
        <w:tc>
          <w:tcPr/>
          <w:p>
            <w:pPr>
              <w:pStyle w:val="TableContents"/>
            </w:pPr>
            <w:r>
              <w:rPr>
                <w:b/>
                <w:bCs/>
                <w:color w:val="0059D1"/>
              </w:rPr>
              <w:t>[INSERT: selection basis]</w:t>
            </w:r>
          </w:p>
        </w:tc>
        <w:tc>
          <w:tcPr/>
          <w:p>
            <w:pPr>
              <w:pStyle w:val="TableContents"/>
            </w:pPr>
            <w:r>
              <w:rPr>
                <w:b/>
                <w:bCs/>
                <w:color w:val="0059D1"/>
              </w:rPr>
              <w:t>[INSERT: reference procedure or document]</w:t>
            </w:r>
          </w:p>
        </w:tc>
      </w:tr>
    </w:tbl>
    <w:p>
      <w:pPr>
        <w:pStyle w:val="Default"/>
      </w:pPr>
    </w:p>
    <w:p>
      <w:pPr>
        <w:pStyle w:val="NormalNumberedtext"/>
      </w:pPr>
      <w:r>
        <w:t>PPE requirements for high-risk tasks are identified during the JHA process and documented in the JHA and the relevant work permit. Task-specific PPE must address the hazards identified in that specific work environment and must not be substituted with lower-specification items without a revised task-level risk assessment. The project Permit to Work system is governed by the Permit to Work Procedure, RTPR-HSE-PRO-0021.</w:t>
      </w:r>
    </w:p>
    <w:p>
      <w:pPr>
        <w:pStyle w:val="Heading1Numbered"/>
      </w:pPr>
      <w:r>
        <w:t>6  Training, Inspection and Maintenance</w:t>
      </w:r>
    </w:p>
    <w:p>
      <w:pPr>
        <w:pStyle w:val="NormalNumberedtext"/>
      </w:pPr>
      <w:r>
        <w:t>This section defines training requirements for PPE use and the inspection, maintenance, storage, and replacement requirements that apply to all PPE on the project.</w:t>
      </w:r>
    </w:p>
    <w:p>
      <w:pPr>
        <w:pStyle w:val="Heading2Numbered"/>
      </w:pPr>
      <w:r>
        <w:t>6.1  PPE Training Requirements</w:t>
      </w:r>
    </w:p>
    <w:p>
      <w:pPr>
        <w:pStyle w:val="NormalNumberedtext"/>
      </w:pPr>
      <w:r>
        <w:t>This section defines when PPE training is required, what it must cover, and how completion is recorded.</w:t>
      </w:r>
    </w:p>
    <w:p>
      <w:pPr>
        <w:pStyle w:val="NormalNumberedtext"/>
      </w:pPr>
      <w:r>
        <w:t>All personnel must be trained in the correct use, care, and limitations of their required PPE before using that PPE on the project. Training must be completed before the personnel member commences work in any area or on any task that requires the relevant PPE.</w:t>
      </w:r>
    </w:p>
    <w:p>
      <w:pPr>
        <w:pStyle w:val="NormalNumberedtext"/>
      </w:pPr>
      <w:r>
        <w:t>PPE training covers the following as a minimum:</w:t>
      </w:r>
    </w:p>
    <w:p>
      <w:pPr>
        <w:pStyle w:val="NormalNumberedtext"/>
      </w:pPr>
      <w:r>
        <w:t>PPE training addresses the following for each PPE category relevant to the personnel member's role and tasks:</w:t>
      </w:r>
    </w:p>
    <w:p>
      <w:pPr>
        <w:pStyle w:val="NumberedBulletL1"/>
      </w:pPr>
      <w:r>
        <w:t>The hazards against which the PPE provides protection and the limitations of that protection.</w:t>
      </w:r>
    </w:p>
    <w:p>
      <w:pPr>
        <w:pStyle w:val="NumberedBulletL1"/>
      </w:pPr>
      <w:r>
        <w:t>The correct method for fitting, adjusting, and wearing the PPE, including pre-use fit checks where required.</w:t>
      </w:r>
    </w:p>
    <w:p>
      <w:pPr>
        <w:pStyle w:val="NumberedBulletL1"/>
      </w:pPr>
      <w:r>
        <w:t>The inspection procedure for identifying damage or deterioration before each use.</w:t>
      </w:r>
    </w:p>
    <w:p>
      <w:pPr>
        <w:pStyle w:val="NumberedBulletL1"/>
      </w:pPr>
      <w:r>
        <w:t>The correct storage and cleaning method to prevent deterioration between uses.</w:t>
      </w:r>
    </w:p>
    <w:p>
      <w:pPr>
        <w:pStyle w:val="NumberedBulletL1"/>
      </w:pPr>
      <w:r>
        <w:t>The criteria that require the PPE to be removed from service and replaced.</w:t>
      </w:r>
    </w:p>
    <w:p>
      <w:pPr>
        <w:pStyle w:val="NumberedBulletL1"/>
      </w:pPr>
      <w:r>
        <w:rPr>
          <w:color w:val="C55A11"/>
        </w:rPr>
        <w:t>For respiratory protective equipment — the quantitative or qualitative fit test process and the conditions that require a fit test to be repeated, such as facial hair changes or weight change.</w:t>
      </w:r>
    </w:p>
    <w:p>
      <w:pPr>
        <w:pStyle w:val="NormalNumberedtext"/>
      </w:pPr>
      <w:r>
        <w:t>PPE training is documented in the project training register, RTPR-HSE-REG-0003, consistent with the requirements of the Training Procedure, RTPR-HSE-PRO-0004. The</w:t>
      </w:r>
    </w:p>
    <w:p>
      <w:pPr>
        <w:pStyle w:val="NormalNumberedtext"/>
      </w:pPr>
      <w:r>
        <w:rPr>
          <w:b/>
          <w:bCs/>
          <w:color w:val="0059D1"/>
        </w:rPr>
        <w:t>[INSERT: ppe_training_owner] — Role responsible for confirming PPE training completion is recorded, e.g. HSESC Manager or Training Coordinator</w:t>
      </w:r>
    </w:p>
    <w:p>
      <w:pPr>
        <w:pStyle w:val="NormalNumberedtext"/>
      </w:pPr>
      <w:r>
        <w:t>confirms that training records are current and accessible before any personnel member commences work requiring the relevant PPE.</w:t>
      </w:r>
    </w:p>
    <w:p>
      <w:pPr>
        <w:pStyle w:val="Heading2Numbered"/>
      </w:pPr>
      <w:r>
        <w:t>6.2  PPE Inspection Requirements</w:t>
      </w:r>
    </w:p>
    <w:p>
      <w:pPr>
        <w:pStyle w:val="NormalNumberedtext"/>
      </w:pPr>
      <w:r>
        <w:t>This section defines pre-use inspection requirements and the criteria for removing PPE from service.</w:t>
      </w:r>
    </w:p>
    <w:p>
      <w:pPr>
        <w:pStyle w:val="NormalNumberedtext"/>
      </w:pPr>
      <w:r>
        <w:t>All personnel inspect their PPE before each use. Any PPE found to be damaged, defective, or deteriorated beyond its serviceable condition must be immediately removed from service and replaced. Damaged or defective PPE must not be repaired and returned to service unless the repair is explicitly permitted and documented by the manufacturer.</w:t>
      </w:r>
    </w:p>
    <w:p>
      <w:pPr>
        <w:pStyle w:val="NormalNumberedtext"/>
      </w:pPr>
      <w:r>
        <w:t>The work supervisor confirms that all PPE in use within the work group is in serviceable condition at the start of each shift. The following criteria require PPE to be removed from service immediately:</w:t>
      </w:r>
    </w:p>
    <w:p>
      <w:pPr>
        <w:pStyle w:val="NormalNumberedtext"/>
      </w:pPr>
      <w:r>
        <w:t>Table 4: PPE Removal-From-Service Criteria</w:t>
      </w:r>
    </w:p>
    <w:tbl>
      <w:tblPr>
        <w:tblStyle w:val="TableOption2"/>
        <w:tblW w:type="pct" w:w="5000"/>
      </w:tblPr>
      <w:tr>
        <w:trPr>
          <w:tblHeader/>
        </w:trPr>
        <w:tc>
          <w:tcPr>
            <w:shd w:val="clear" w:color="auto" w:fill="1F3864"/>
          </w:tcPr>
          <w:p>
            <w:pPr>
              <w:pStyle w:val="TableContents"/>
            </w:pPr>
            <w:r>
              <w:rPr>
                <w:b/>
                <w:bCs/>
                <w:color w:val="FFFFFF"/>
              </w:rPr>
              <w:t>PPE Category</w:t>
            </w:r>
          </w:p>
        </w:tc>
        <w:tc>
          <w:tcPr>
            <w:shd w:val="clear" w:color="auto" w:fill="1F3864"/>
          </w:tcPr>
          <w:p>
            <w:pPr>
              <w:pStyle w:val="TableContents"/>
            </w:pPr>
            <w:r>
              <w:rPr>
                <w:b/>
                <w:bCs/>
                <w:color w:val="FFFFFF"/>
              </w:rPr>
              <w:t>Remove From Service If</w:t>
            </w:r>
          </w:p>
        </w:tc>
      </w:tr>
      <w:tr>
        <w:tc>
          <w:tcPr/>
          <w:p>
            <w:pPr>
              <w:pStyle w:val="TableContents"/>
            </w:pPr>
            <w:r>
              <w:t>Safety helmet</w:t>
            </w:r>
          </w:p>
        </w:tc>
        <w:tc>
          <w:tcPr/>
          <w:p>
            <w:pPr>
              <w:pStyle w:val="TableContents"/>
            </w:pPr>
            <w:r>
              <w:t>Visible cracks, deformation, penetration, or exposure to chemical or impact event; manufacture date exceeds service life</w:t>
            </w:r>
          </w:p>
        </w:tc>
      </w:tr>
      <w:tr>
        <w:tc>
          <w:tcPr/>
          <w:p>
            <w:pPr>
              <w:pStyle w:val="TableContents"/>
            </w:pPr>
            <w:r>
              <w:t>Safety glasses</w:t>
            </w:r>
          </w:p>
        </w:tc>
        <w:tc>
          <w:tcPr/>
          <w:p>
            <w:pPr>
              <w:pStyle w:val="TableContents"/>
            </w:pPr>
            <w:r>
              <w:t>Lens scratching that impairs vision clarity; frame distortion; missing side shields</w:t>
            </w:r>
          </w:p>
        </w:tc>
      </w:tr>
      <w:tr>
        <w:tc>
          <w:tcPr/>
          <w:p>
            <w:pPr>
              <w:pStyle w:val="TableContents"/>
            </w:pPr>
            <w:r>
              <w:t>Safety boots</w:t>
            </w:r>
          </w:p>
        </w:tc>
        <w:tc>
          <w:tcPr/>
          <w:p>
            <w:pPr>
              <w:pStyle w:val="TableContents"/>
            </w:pPr>
            <w:r>
              <w:t>Damage to toe cap, sole separation, or penetration through the upper or midsole</w:t>
            </w:r>
          </w:p>
        </w:tc>
      </w:tr>
      <w:tr>
        <w:tc>
          <w:tcPr/>
          <w:p>
            <w:pPr>
              <w:pStyle w:val="TableContents"/>
            </w:pPr>
            <w:r>
              <w:t>Work gloves</w:t>
            </w:r>
          </w:p>
        </w:tc>
        <w:tc>
          <w:tcPr/>
          <w:p>
            <w:pPr>
              <w:pStyle w:val="TableContents"/>
            </w:pPr>
            <w:r>
              <w:t>Cuts, tears, or punctures through the glove material; chemical contamination that cannot be removed</w:t>
            </w:r>
          </w:p>
        </w:tc>
      </w:tr>
      <w:tr>
        <w:tc>
          <w:tcPr/>
          <w:p>
            <w:pPr>
              <w:pStyle w:val="TableContents"/>
            </w:pPr>
            <w:r>
              <w:t>Full body harness</w:t>
            </w:r>
          </w:p>
        </w:tc>
        <w:tc>
          <w:tcPr/>
          <w:p>
            <w:pPr>
              <w:pStyle w:val="TableContents"/>
            </w:pPr>
            <w:r>
              <w:t>Any arrest event has occurred; webbing cuts, abrasion, or chemical damage; buckle or connector malfunction; manufacture date exceeds service life</w:t>
            </w:r>
          </w:p>
        </w:tc>
      </w:tr>
      <w:tr>
        <w:tc>
          <w:tcPr/>
          <w:p>
            <w:pPr>
              <w:pStyle w:val="TableContents"/>
            </w:pPr>
            <w:r>
              <w:t>Disposable RPE</w:t>
            </w:r>
          </w:p>
        </w:tc>
        <w:tc>
          <w:tcPr/>
          <w:p>
            <w:pPr>
              <w:pStyle w:val="TableContents"/>
            </w:pPr>
            <w:r>
              <w:t>Single shift use only; seal check failure before use; visible damage to filter material or nose piece</w:t>
            </w:r>
          </w:p>
        </w:tc>
      </w:tr>
      <w:tr>
        <w:tc>
          <w:tcPr/>
          <w:p>
            <w:pPr>
              <w:pStyle w:val="TableContents"/>
            </w:pPr>
            <w:r>
              <w:t>Reusable RPE</w:t>
            </w:r>
          </w:p>
        </w:tc>
        <w:tc>
          <w:tcPr/>
          <w:p>
            <w:pPr>
              <w:pStyle w:val="TableContents"/>
            </w:pPr>
            <w:r>
              <w:t>Degraded face seal; failed quantitative or qualitative fit test; damaged valve or cartridge housing; cartridge service life expired</w:t>
            </w:r>
          </w:p>
        </w:tc>
      </w:tr>
      <w:tr>
        <w:tc>
          <w:tcPr/>
          <w:p>
            <w:pPr>
              <w:pStyle w:val="TableContents"/>
            </w:pPr>
            <w:r>
              <w:t>Hearing protection — reusable</w:t>
            </w:r>
          </w:p>
        </w:tc>
        <w:tc>
          <w:tcPr/>
          <w:p>
            <w:pPr>
              <w:pStyle w:val="TableContents"/>
            </w:pPr>
            <w:r>
              <w:t>Visible damage to ear cups, seal, or headband; loss of acoustic seal when fitted</w:t>
            </w:r>
          </w:p>
        </w:tc>
      </w:tr>
      <w:tr>
        <w:tc>
          <w:tcPr/>
          <w:p>
            <w:pPr>
              <w:pStyle w:val="TableContents"/>
            </w:pPr>
            <w:r>
              <w:rPr>
                <w:b/>
                <w:bCs/>
                <w:color w:val="0059D1"/>
              </w:rPr>
              <w:t>[INSERT: additional PPE category]</w:t>
            </w:r>
          </w:p>
        </w:tc>
        <w:tc>
          <w:tcPr/>
          <w:p>
            <w:pPr>
              <w:pStyle w:val="TableContents"/>
            </w:pPr>
            <w:r>
              <w:rPr>
                <w:b/>
                <w:bCs/>
                <w:color w:val="0059D1"/>
              </w:rPr>
              <w:t>[INSERT: removal-from-service criteria]</w:t>
            </w:r>
          </w:p>
        </w:tc>
      </w:tr>
    </w:tbl>
    <w:p>
      <w:pPr>
        <w:pStyle w:val="Default"/>
      </w:pPr>
    </w:p>
    <w:p>
      <w:pPr>
        <w:pStyle w:val="NormalNumberedtext"/>
      </w:pPr>
      <w:r>
        <w:t>Replacement records are maintained for all PPE removed from service. The</w:t>
      </w:r>
    </w:p>
    <w:p>
      <w:pPr>
        <w:pStyle w:val="NormalNumberedtext"/>
      </w:pPr>
      <w:r>
        <w:rPr>
          <w:b/>
          <w:bCs/>
          <w:color w:val="0059D1"/>
        </w:rPr>
        <w:t>[INSERT: ppe_replacement_record_owner] — Role responsible for maintaining PPE replacement records, e.g. HSESC Manager or site supervisor</w:t>
      </w:r>
    </w:p>
    <w:p>
      <w:pPr>
        <w:pStyle w:val="NormalNumberedtext"/>
      </w:pPr>
      <w:r>
        <w:t>maintains replacement records in</w:t>
      </w:r>
    </w:p>
    <w:p>
      <w:pPr>
        <w:pStyle w:val="NormalNumberedtext"/>
      </w:pPr>
      <w:r>
        <w:rPr>
          <w:b/>
          <w:bCs/>
          <w:color w:val="0059D1"/>
        </w:rPr>
        <w:t>[INSERT: ppe_replacement_record_location] — Location where PPE replacement records are stored, e.g. document management system name and folder path</w:t>
      </w:r>
    </w:p>
    <w:p>
      <w:pPr>
        <w:pStyle w:val="NormalNumberedtext"/>
      </w:pPr>
      <w:r>
        <w:t>and confirms all replaced PPE is disposed of in a manner that prevents its return to service.</w:t>
      </w:r>
    </w:p>
    <w:p>
      <w:pPr>
        <w:pStyle w:val="Heading2Numbered"/>
      </w:pPr>
      <w:r>
        <w:t>6.3  PPE Storage and Maintenance</w:t>
      </w:r>
    </w:p>
    <w:p>
      <w:pPr>
        <w:pStyle w:val="NormalNumberedtext"/>
      </w:pPr>
      <w:r>
        <w:t>This section defines storage requirements and periodic maintenance obligations for all PPE categories used on the project.</w:t>
      </w:r>
    </w:p>
    <w:p>
      <w:pPr>
        <w:pStyle w:val="NormalNumberedtext"/>
      </w:pPr>
      <w:r>
        <w:t>All PPE is stored appropriately to prevent deterioration or damage between uses. Storage arrangements are consistent with the manufacturer's instructions for each PPE category and protect PPE from ultraviolet exposure, chemical contamination, extreme temperature, and mechanical damage.</w:t>
      </w:r>
    </w:p>
    <w:p>
      <w:pPr>
        <w:pStyle w:val="NormalNumberedtext"/>
      </w:pPr>
      <w:r>
        <w:t>The minimum storage requirements for PPE on this project are:</w:t>
      </w:r>
    </w:p>
    <w:p>
      <w:pPr>
        <w:pStyle w:val="NumberedBulletL1"/>
      </w:pPr>
      <w:r>
        <w:t>Safety helmets are stored away from direct sunlight and chemical vapours when not in use and are not stored in vehicle rear windows or areas subject to high heat.</w:t>
      </w:r>
    </w:p>
    <w:p>
      <w:pPr>
        <w:pStyle w:val="NumberedBulletL1"/>
      </w:pPr>
      <w:r>
        <w:t>Respiratory protective equipment is stored in sealed cases or bags to prevent contamination of filter media and face seals between uses.</w:t>
      </w:r>
    </w:p>
    <w:p>
      <w:pPr>
        <w:pStyle w:val="NumberedBulletL1"/>
      </w:pPr>
      <w:r>
        <w:t>Full body harnesses are stored hung or laid flat in a clean, dry, UV-protected location and are not stored in contact with chemicals, oils, or sharp edges.</w:t>
      </w:r>
    </w:p>
    <w:p>
      <w:pPr>
        <w:pStyle w:val="NumberedBulletL1"/>
      </w:pPr>
      <w:r>
        <w:rPr>
          <w:color w:val="C55A11"/>
        </w:rPr>
        <w:t>Disposable PPE items — including disposable respirators and single-use gloves — are stored in their original sealed packaging until the point of use and are not pre-opened or carried loosely in pockets or toolboxes.</w:t>
      </w:r>
    </w:p>
    <w:p>
      <w:pPr>
        <w:pStyle w:val="NumberedBulletL1"/>
      </w:pPr>
      <w:r>
        <w:rPr>
          <w:color w:val="C55A11"/>
        </w:rPr>
        <w:t>A dedicated PPE storage area is designated at the site laydown or crib facility, with labelled storage for each PPE category and clear separation of serviceable and removed-from-service items.</w:t>
      </w:r>
    </w:p>
    <w:p>
      <w:pPr>
        <w:pStyle w:val="NormalNumberedtext"/>
      </w:pPr>
      <w:r>
        <w:t>Inspection records for PPE subject to periodic formal inspection — including full body harnesses, fall arrest devices, and reusable RPE — are maintained in</w:t>
      </w:r>
    </w:p>
    <w:p>
      <w:pPr>
        <w:pStyle w:val="NormalNumberedtext"/>
      </w:pPr>
      <w:r>
        <w:rPr>
          <w:b/>
          <w:bCs/>
          <w:color w:val="0059D1"/>
        </w:rPr>
        <w:t>[INSERT: ppe_inspection_record_location] — Location where periodic PPE inspection records are stored, e.g. document management system name and folder path</w:t>
      </w:r>
    </w:p>
    <w:p>
      <w:pPr>
        <w:pStyle w:val="NormalNumberedtext"/>
      </w:pPr>
      <w:r>
        <w:t>Periodic formal inspections are conducted at the frequency defined in Table 5 or at the manufacturer's recommended interval, whichever is more frequent.</w:t>
      </w:r>
    </w:p>
    <w:p>
      <w:pPr>
        <w:pStyle w:val="NormalNumberedtext"/>
      </w:pPr>
      <w:r>
        <w:t>Table 5: Periodic PPE Inspection Schedule</w:t>
      </w:r>
    </w:p>
    <w:tbl>
      <w:tblPr>
        <w:tblStyle w:val="TableOption2"/>
        <w:tblW w:type="pct" w:w="5000"/>
      </w:tblPr>
      <w:tr>
        <w:trPr>
          <w:tblHeader/>
        </w:trPr>
        <w:tc>
          <w:tcPr>
            <w:shd w:val="clear" w:color="auto" w:fill="1F3864"/>
          </w:tcPr>
          <w:p>
            <w:pPr>
              <w:pStyle w:val="TableContents"/>
            </w:pPr>
            <w:r>
              <w:rPr>
                <w:b/>
                <w:bCs/>
                <w:color w:val="FFFFFF"/>
              </w:rPr>
              <w:t>PPE Category</w:t>
            </w:r>
          </w:p>
        </w:tc>
        <w:tc>
          <w:tcPr>
            <w:shd w:val="clear" w:color="auto" w:fill="1F3864"/>
          </w:tcPr>
          <w:p>
            <w:pPr>
              <w:pStyle w:val="TableContents"/>
            </w:pPr>
            <w:r>
              <w:rPr>
                <w:b/>
                <w:bCs/>
                <w:color w:val="FFFFFF"/>
              </w:rPr>
              <w:t>Inspection Frequency</w:t>
            </w:r>
          </w:p>
        </w:tc>
        <w:tc>
          <w:tcPr>
            <w:shd w:val="clear" w:color="auto" w:fill="1F3864"/>
          </w:tcPr>
          <w:p>
            <w:pPr>
              <w:pStyle w:val="TableContents"/>
            </w:pPr>
            <w:r>
              <w:rPr>
                <w:b/>
                <w:bCs/>
                <w:color w:val="FFFFFF"/>
              </w:rPr>
              <w:t>Inspection Method</w:t>
            </w:r>
          </w:p>
        </w:tc>
        <w:tc>
          <w:tcPr>
            <w:shd w:val="clear" w:color="auto" w:fill="1F3864"/>
          </w:tcPr>
          <w:p>
            <w:pPr>
              <w:pStyle w:val="TableContents"/>
            </w:pPr>
            <w:r>
              <w:rPr>
                <w:b/>
                <w:bCs/>
                <w:color w:val="FFFFFF"/>
              </w:rPr>
              <w:t>Record Location</w:t>
            </w:r>
          </w:p>
        </w:tc>
      </w:tr>
      <w:tr>
        <w:tc>
          <w:tcPr/>
          <w:p>
            <w:pPr>
              <w:pStyle w:val="TableContents"/>
            </w:pPr>
            <w:r>
              <w:t>Full body harness and lanyards</w:t>
            </w:r>
          </w:p>
        </w:tc>
        <w:tc>
          <w:tcPr/>
          <w:p>
            <w:pPr>
              <w:pStyle w:val="TableContents"/>
            </w:pPr>
            <w:r>
              <w:t>Before each use by the wearer; formal inspection every 6 months by a competent person</w:t>
            </w:r>
          </w:p>
        </w:tc>
        <w:tc>
          <w:tcPr/>
          <w:p>
            <w:pPr>
              <w:pStyle w:val="TableContents"/>
            </w:pPr>
            <w:r>
              <w:t>Visual and tactile inspection per manufacturer checklist</w:t>
            </w:r>
          </w:p>
        </w:tc>
        <w:tc>
          <w:tcPr/>
          <w:p>
            <w:pPr>
              <w:pStyle w:val="TableContents"/>
            </w:pPr>
            <w:r>
              <w:rPr>
                <w:b/>
                <w:bCs/>
                <w:color w:val="0059D1"/>
              </w:rPr>
              <w:t>[INSERT: record location]</w:t>
            </w:r>
          </w:p>
        </w:tc>
      </w:tr>
      <w:tr>
        <w:tc>
          <w:tcPr/>
          <w:p>
            <w:pPr>
              <w:pStyle w:val="TableContents"/>
            </w:pPr>
            <w:r>
              <w:t>Reusable RPE — face piece and valves</w:t>
            </w:r>
          </w:p>
        </w:tc>
        <w:tc>
          <w:tcPr/>
          <w:p>
            <w:pPr>
              <w:pStyle w:val="TableContents"/>
            </w:pPr>
            <w:r>
              <w:t>Before each use by the wearer; formal inspection per manufacturer service interval</w:t>
            </w:r>
          </w:p>
        </w:tc>
        <w:tc>
          <w:tcPr/>
          <w:p>
            <w:pPr>
              <w:pStyle w:val="TableContents"/>
            </w:pPr>
            <w:r>
              <w:t>Visual inspection and seal check per manufacturer guidance</w:t>
            </w:r>
          </w:p>
        </w:tc>
        <w:tc>
          <w:tcPr/>
          <w:p>
            <w:pPr>
              <w:pStyle w:val="TableContents"/>
            </w:pPr>
            <w:r>
              <w:rPr>
                <w:b/>
                <w:bCs/>
                <w:color w:val="0059D1"/>
              </w:rPr>
              <w:t>[INSERT: record location]</w:t>
            </w:r>
          </w:p>
        </w:tc>
      </w:tr>
      <w:tr>
        <w:tc>
          <w:tcPr/>
          <w:p>
            <w:pPr>
              <w:pStyle w:val="TableContents"/>
            </w:pPr>
            <w:r>
              <w:t>Reusable hearing protection</w:t>
            </w:r>
          </w:p>
        </w:tc>
        <w:tc>
          <w:tcPr/>
          <w:p>
            <w:pPr>
              <w:pStyle w:val="TableContents"/>
            </w:pPr>
            <w:r>
              <w:t>Before each use by the wearer</w:t>
            </w:r>
          </w:p>
        </w:tc>
        <w:tc>
          <w:tcPr/>
          <w:p>
            <w:pPr>
              <w:pStyle w:val="TableContents"/>
            </w:pPr>
            <w:r>
              <w:t>Visual inspection for damage to cup, seal, and headband</w:t>
            </w:r>
          </w:p>
        </w:tc>
        <w:tc>
          <w:tcPr/>
          <w:p>
            <w:pPr>
              <w:pStyle w:val="TableContents"/>
            </w:pPr>
            <w:r>
              <w:rPr>
                <w:b/>
                <w:bCs/>
                <w:color w:val="0059D1"/>
              </w:rPr>
              <w:t>[INSERT: record location]</w:t>
            </w:r>
          </w:p>
        </w:tc>
      </w:tr>
      <w:tr>
        <w:tc>
          <w:tcPr/>
          <w:p>
            <w:pPr>
              <w:pStyle w:val="TableContents"/>
            </w:pPr>
            <w:r>
              <w:rPr>
                <w:b/>
                <w:bCs/>
                <w:color w:val="0059D1"/>
              </w:rPr>
              <w:t>[INSERT: additional PPE requiring periodic inspection]</w:t>
            </w:r>
          </w:p>
        </w:tc>
        <w:tc>
          <w:tcPr/>
          <w:p>
            <w:pPr>
              <w:pStyle w:val="TableContents"/>
            </w:pPr>
            <w:r>
              <w:rPr>
                <w:b/>
                <w:bCs/>
                <w:color w:val="0059D1"/>
              </w:rPr>
              <w:t>[INSERT: inspection frequency]</w:t>
            </w:r>
          </w:p>
        </w:tc>
        <w:tc>
          <w:tcPr/>
          <w:p>
            <w:pPr>
              <w:pStyle w:val="TableContents"/>
            </w:pPr>
            <w:r>
              <w:rPr>
                <w:b/>
                <w:bCs/>
                <w:color w:val="0059D1"/>
              </w:rPr>
              <w:t>[INSERT: inspection method]</w:t>
            </w:r>
          </w:p>
        </w:tc>
        <w:tc>
          <w:tcPr/>
          <w:p>
            <w:pPr>
              <w:pStyle w:val="TableContents"/>
            </w:pPr>
            <w:r>
              <w:rPr>
                <w:b/>
                <w:bCs/>
                <w:color w:val="0059D1"/>
              </w:rPr>
              <w:t>[INSERT: record location]</w:t>
            </w:r>
          </w:p>
        </w:tc>
      </w:tr>
    </w:tbl>
    <w:p>
      <w:pPr>
        <w:pStyle w:val="Default"/>
      </w:pPr>
    </w:p>
    <w:p>
      <w:pPr>
        <w:pStyle w:val="Heading2Numbered"/>
      </w:pPr>
      <w:r>
        <w:t>6.4  Compliance with Applicable Standards</w:t>
      </w:r>
    </w:p>
    <w:p>
      <w:pPr>
        <w:pStyle w:val="NormalNumberedtext"/>
      </w:pPr>
      <w:r>
        <w:t>This section confirms the standard-setting hierarchy for PPE on the project and the process for resolving conflicts between jurisdictional requirements and Rio Tinto standards.</w:t>
      </w:r>
    </w:p>
    <w:p>
      <w:pPr>
        <w:pStyle w:val="NormalNumberedtext"/>
      </w:pPr>
      <w:r>
        <w:t>All PPE used on the project meets or exceeds Applicable Laws. Where Rio Tinto standards are more stringent than local legislation or jurisdictional requirements, the Rio Tinto standard applies. The</w:t>
      </w:r>
    </w:p>
    <w:p>
      <w:pPr>
        <w:pStyle w:val="NormalNumberedtext"/>
      </w:pPr>
      <w:r>
        <w:rPr>
          <w:b/>
          <w:bCs/>
          <w:color w:val="0059D1"/>
        </w:rPr>
        <w:t>[INSERT: ppe_compliance_owner] — Role responsible for confirming PPE meets applicable standards, e.g. HSESC Manager</w:t>
      </w:r>
    </w:p>
    <w:p>
      <w:pPr>
        <w:pStyle w:val="NormalNumberedtext"/>
      </w:pPr>
      <w:r>
        <w:t>confirms compliance with Applicable Laws during the procurement and acceptance process for all PPE categories before they are approved for use on the project.</w:t>
      </w:r>
    </w:p>
    <w:p>
      <w:pPr>
        <w:pStyle w:val="NormalNumberedtext"/>
      </w:pPr>
      <w:r>
        <w:t>The applicable standards and certification marks accepted for each PPE category on this project are defined in Appendix A. PPE that does not carry the required certification mark or that cannot be verified against a recognised testing standard is not accepted for use on the project.</w:t>
      </w:r>
    </w:p>
    <w:p>
      <w:pPr>
        <w:pStyle w:val="NormalNumberedtext"/>
      </w:pPr>
      <w:r>
        <w:t>Report all incidents and near misses involving PPE failure or inadequacy per project requirements, refer RTPR-HSE-PRO-0009.</w:t>
      </w:r>
    </w:p>
    <w:p>
      <w:pPr>
        <w:pStyle w:val="Heading1Numbered"/>
      </w:pPr>
      <w:r>
        <w:t>7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PPE</w:t>
            </w:r>
          </w:p>
        </w:tc>
        <w:tc>
          <w:tcPr/>
          <w:p>
            <w:pPr>
              <w:pStyle w:val="TableContents"/>
            </w:pPr>
            <w:r>
              <w:t>Personal Protective Equipment — any device or appliance designed to be worn or held by an individual for protection against one or more health and safety hazards.</w:t>
            </w:r>
          </w:p>
        </w:tc>
      </w:tr>
      <w:tr>
        <w:tc>
          <w:tcPr/>
          <w:p>
            <w:pPr>
              <w:pStyle w:val="TableContents"/>
            </w:pPr>
            <w:r>
              <w:t>HSESC</w:t>
            </w:r>
          </w:p>
        </w:tc>
        <w:tc>
          <w:tcPr/>
          <w:p>
            <w:pPr>
              <w:pStyle w:val="TableContents"/>
            </w:pPr>
            <w:r>
              <w:t>Health, Safety, Environment and Sustainability Committee — the governing body responsible for overseeing HSES performance and compliance on Rio Tinto owner-led projects.</w:t>
            </w:r>
          </w:p>
        </w:tc>
      </w:tr>
      <w:tr>
        <w:tc>
          <w:tcPr/>
          <w:p>
            <w:pPr>
              <w:pStyle w:val="TableContents"/>
            </w:pPr>
            <w:r>
              <w:t>HSES</w:t>
            </w:r>
          </w:p>
        </w:tc>
        <w:tc>
          <w:tcPr/>
          <w:p>
            <w:pPr>
              <w:pStyle w:val="TableContents"/>
            </w:pPr>
            <w:r>
              <w:t>Health, Safety, Environment and Sustainability — the integrated discipline encompassing occupational health, safety, environmental protection, and sustainability management.</w:t>
            </w:r>
          </w:p>
        </w:tc>
      </w:tr>
      <w:tr>
        <w:tc>
          <w:tcPr/>
          <w:p>
            <w:pPr>
              <w:pStyle w:val="TableContents"/>
            </w:pPr>
            <w:r>
              <w:t>RT</w:t>
            </w:r>
          </w:p>
        </w:tc>
        <w:tc>
          <w:tcPr/>
          <w:p>
            <w:pPr>
              <w:pStyle w:val="TableContents"/>
            </w:pPr>
            <w:r>
              <w:t>Rio Tinto — the project owner and parent organisation responsible for setting minimum HSES standards applicable to all owner-led project activities.</w:t>
            </w:r>
          </w:p>
        </w:tc>
      </w:tr>
      <w:tr>
        <w:tc>
          <w:tcPr/>
          <w:p>
            <w:pPr>
              <w:pStyle w:val="TableContents"/>
            </w:pPr>
            <w:r>
              <w:t>RTPR</w:t>
            </w:r>
          </w:p>
        </w:tc>
        <w:tc>
          <w:tcPr/>
          <w:p>
            <w:pPr>
              <w:pStyle w:val="TableContents"/>
            </w:pPr>
            <w:r>
              <w:t>Rio Tinto Project Requirements — the project-specific prefix designating procedures, registers, forms, and plans developed under the Rio Tinto owner-led project management system.</w:t>
            </w:r>
          </w:p>
        </w:tc>
      </w:tr>
      <w:tr>
        <w:tc>
          <w:tcPr/>
          <w:p>
            <w:pPr>
              <w:pStyle w:val="TableContents"/>
            </w:pPr>
            <w:r>
              <w:t>PRO</w:t>
            </w:r>
          </w:p>
        </w:tc>
        <w:tc>
          <w:tcPr/>
          <w:p>
            <w:pPr>
              <w:pStyle w:val="TableContents"/>
            </w:pPr>
            <w:r>
              <w:t>Procedure — a controlled document describing the mandatory steps, responsibilities, and requirements for carrying out a defined activity within the project management system.</w:t>
            </w:r>
          </w:p>
        </w:tc>
      </w:tr>
      <w:tr>
        <w:tc>
          <w:tcPr/>
          <w:p>
            <w:pPr>
              <w:pStyle w:val="TableContents"/>
            </w:pPr>
            <w:r>
              <w:t>REG</w:t>
            </w:r>
          </w:p>
        </w:tc>
        <w:tc>
          <w:tcPr/>
          <w:p>
            <w:pPr>
              <w:pStyle w:val="TableContents"/>
            </w:pPr>
            <w:r>
              <w:t>Register — a controlled document used to record, track, and maintain evidence of specific activities, assessments, or compliance items within the project management system.</w:t>
            </w:r>
          </w:p>
        </w:tc>
      </w:tr>
      <w:tr>
        <w:tc>
          <w:tcPr/>
          <w:p>
            <w:pPr>
              <w:pStyle w:val="TableContents"/>
            </w:pPr>
            <w:r>
              <w:t>JSA</w:t>
            </w:r>
          </w:p>
        </w:tc>
        <w:tc>
          <w:tcPr/>
          <w:p>
            <w:pPr>
              <w:pStyle w:val="TableContents"/>
            </w:pPr>
            <w:r>
              <w:t>Job Safety Analysis — a systematic technique that identifies hazards associated with each step of a task and determines appropriate controls, including PPE requirements, before work commences.</w:t>
            </w:r>
          </w:p>
        </w:tc>
      </w:tr>
      <w:tr>
        <w:tc>
          <w:tcPr/>
          <w:p>
            <w:pPr>
              <w:pStyle w:val="TableContents"/>
            </w:pPr>
            <w:r>
              <w:t>SWP</w:t>
            </w:r>
          </w:p>
        </w:tc>
        <w:tc>
          <w:tcPr/>
          <w:p>
            <w:pPr>
              <w:pStyle w:val="TableContents"/>
            </w:pPr>
            <w:r>
              <w:t>Safe Work Procedure — a documented, step-by-step set of instructions describing how to perform a task safely, incorporating identified hazard controls and required PPE.</w:t>
            </w:r>
          </w:p>
        </w:tc>
      </w:tr>
      <w:tr>
        <w:tc>
          <w:tcPr/>
          <w:p>
            <w:pPr>
              <w:pStyle w:val="TableContents"/>
            </w:pPr>
            <w:r>
              <w:t>SWMS</w:t>
            </w:r>
          </w:p>
        </w:tc>
        <w:tc>
          <w:tcPr/>
          <w:p>
            <w:pPr>
              <w:pStyle w:val="TableContents"/>
            </w:pPr>
            <w:r>
              <w:t>Safe Work Method Statement — a document required for high-risk construction work that identifies the work to be carried out, associated hazards, and the controls, including PPE, to be implemented.</w:t>
            </w:r>
          </w:p>
        </w:tc>
      </w:tr>
      <w:tr>
        <w:tc>
          <w:tcPr/>
          <w:p>
            <w:pPr>
              <w:pStyle w:val="TableContents"/>
            </w:pPr>
            <w:r>
              <w:t>HRA</w:t>
            </w:r>
          </w:p>
        </w:tc>
        <w:tc>
          <w:tcPr/>
          <w:p>
            <w:pPr>
              <w:pStyle w:val="TableContents"/>
            </w:pPr>
            <w:r>
              <w:t>High-Risk Activity — any task or operation identified through risk assessment as having the potential to cause serious injury or illness, requiring enhanced PPE selection and additional controls.</w:t>
            </w:r>
          </w:p>
        </w:tc>
      </w:tr>
      <w:tr>
        <w:tc>
          <w:tcPr/>
          <w:p>
            <w:pPr>
              <w:pStyle w:val="TableContents"/>
            </w:pPr>
            <w:r>
              <w:t>SDS</w:t>
            </w:r>
          </w:p>
        </w:tc>
        <w:tc>
          <w:tcPr/>
          <w:p>
            <w:pPr>
              <w:pStyle w:val="TableContents"/>
            </w:pPr>
            <w:r>
              <w:t>Safety Data Sheet — a document provided by a chemical manufacturer or supplier that contains information on the properties, hazards, safe handling, storage, and required PPE for a hazardous chemical.</w:t>
            </w:r>
          </w:p>
        </w:tc>
      </w:tr>
      <w:tr>
        <w:tc>
          <w:tcPr/>
          <w:p>
            <w:pPr>
              <w:pStyle w:val="TableContents"/>
            </w:pPr>
            <w:r>
              <w:t>RPE</w:t>
            </w:r>
          </w:p>
        </w:tc>
        <w:tc>
          <w:tcPr/>
          <w:p>
            <w:pPr>
              <w:pStyle w:val="TableContents"/>
            </w:pPr>
            <w:r>
              <w:t>Respiratory Protective Equipment — a category of PPE designed to protect the wearer from inhaling hazardous substances, including dusts, fumes, vapours, gases, and biological agents.</w:t>
            </w:r>
          </w:p>
        </w:tc>
      </w:tr>
      <w:tr>
        <w:tc>
          <w:tcPr/>
          <w:p>
            <w:pPr>
              <w:pStyle w:val="TableContents"/>
            </w:pPr>
            <w:r>
              <w:t>APF</w:t>
            </w:r>
          </w:p>
        </w:tc>
        <w:tc>
          <w:tcPr/>
          <w:p>
            <w:pPr>
              <w:pStyle w:val="TableContents"/>
            </w:pPr>
            <w:r>
              <w:t>Assigned Protection Factor — a measure of the minimum anticipated level of respiratory protection provided by a correctly fitted and functioning respirator to a trained and properly equipped wearer.</w:t>
            </w:r>
          </w:p>
        </w:tc>
      </w:tr>
      <w:tr>
        <w:tc>
          <w:tcPr/>
          <w:p>
            <w:pPr>
              <w:pStyle w:val="TableContents"/>
            </w:pPr>
            <w:r>
              <w:t>dB</w:t>
            </w:r>
          </w:p>
        </w:tc>
        <w:tc>
          <w:tcPr/>
          <w:p>
            <w:pPr>
              <w:pStyle w:val="TableContents"/>
            </w:pPr>
            <w:r>
              <w:t>Decibel — the unit of measurement used to express sound pressure levels; used in noise assessments to determine hearing protection requirements under RTPR-HSE-PRO-0013.</w:t>
            </w:r>
          </w:p>
        </w:tc>
      </w:tr>
      <w:tr>
        <w:tc>
          <w:tcPr/>
          <w:p>
            <w:pPr>
              <w:pStyle w:val="TableContents"/>
            </w:pPr>
            <w:r>
              <w:t>TWA</w:t>
            </w:r>
          </w:p>
        </w:tc>
        <w:tc>
          <w:tcPr/>
          <w:p>
            <w:pPr>
              <w:pStyle w:val="TableContents"/>
            </w:pPr>
            <w:r>
              <w:t>Time-Weighted Average — the average exposure level over a defined period, typically an eight-hour work shift, used to assess noise and chemical exposure against occupational exposure limits.</w:t>
            </w:r>
          </w:p>
        </w:tc>
      </w:tr>
      <w:tr>
        <w:tc>
          <w:tcPr/>
          <w:p>
            <w:pPr>
              <w:pStyle w:val="TableContents"/>
            </w:pPr>
            <w:r>
              <w:t>OEL</w:t>
            </w:r>
          </w:p>
        </w:tc>
        <w:tc>
          <w:tcPr/>
          <w:p>
            <w:pPr>
              <w:pStyle w:val="TableContents"/>
            </w:pPr>
            <w:r>
              <w:t>Occupational Exposure Limit — the maximum concentration of a hazardous substance in the workplace air to which workers may be exposed, used to determine the need for respiratory or chemical-resistant PPE.</w:t>
            </w:r>
          </w:p>
        </w:tc>
      </w:tr>
      <w:tr>
        <w:tc>
          <w:tcPr/>
          <w:p>
            <w:pPr>
              <w:pStyle w:val="TableContents"/>
            </w:pPr>
            <w:r>
              <w:t>AS</w:t>
            </w:r>
          </w:p>
        </w:tc>
        <w:tc>
          <w:tcPr/>
          <w:p>
            <w:pPr>
              <w:pStyle w:val="TableContents"/>
            </w:pPr>
            <w:r>
              <w:t>Australian Standard — a standard published by Standards Australia specifying minimum performance, testing, and certification requirements for PPE and related equipment used in Australian workplaces.</w:t>
            </w:r>
          </w:p>
        </w:tc>
      </w:tr>
      <w:tr>
        <w:tc>
          <w:tcPr/>
          <w:p>
            <w:pPr>
              <w:pStyle w:val="TableContents"/>
            </w:pPr>
            <w:r>
              <w:t>AS/NZS</w:t>
            </w:r>
          </w:p>
        </w:tc>
        <w:tc>
          <w:tcPr/>
          <w:p>
            <w:pPr>
              <w:pStyle w:val="TableContents"/>
            </w:pPr>
            <w:r>
              <w:t>Australian and New Zealand Standard — a jointly published standard by Standards Australia and Standards New Zealand specifying minimum performance and certification requirements applicable in both jurisdictions.</w:t>
            </w:r>
          </w:p>
        </w:tc>
      </w:tr>
      <w:tr>
        <w:tc>
          <w:tcPr/>
          <w:p>
            <w:pPr>
              <w:pStyle w:val="TableContents"/>
            </w:pPr>
            <w:r>
              <w:t>WHS</w:t>
            </w:r>
          </w:p>
        </w:tc>
        <w:tc>
          <w:tcPr/>
          <w:p>
            <w:pPr>
              <w:pStyle w:val="TableContents"/>
            </w:pPr>
            <w:r>
              <w:t>Work Health and Safety — the legislative and regulatory framework governing the management of health and safety risks in Australian workplaces, including obligations related to the provision and use of PPE.</w:t>
            </w:r>
          </w:p>
        </w:tc>
      </w:tr>
      <w:tr>
        <w:tc>
          <w:tcPr/>
          <w:p>
            <w:pPr>
              <w:pStyle w:val="TableContents"/>
            </w:pPr>
            <w:r>
              <w:t>PCBU</w:t>
            </w:r>
          </w:p>
        </w:tc>
        <w:tc>
          <w:tcPr/>
          <w:p>
            <w:pPr>
              <w:pStyle w:val="TableContents"/>
            </w:pPr>
            <w:r>
              <w:t>Person Conducting a Business or Undertaking — a legal term under WHS legislation referring to the entity with the primary duty of care to ensure, so far as is reasonably practicable, the health and safety of workers, including the provision of adequate PPE.</w:t>
            </w:r>
          </w:p>
        </w:tc>
      </w:tr>
      <w:tr>
        <w:tc>
          <w:tcPr/>
          <w:p>
            <w:pPr>
              <w:pStyle w:val="TableContents"/>
            </w:pPr>
            <w:r>
              <w:t>ALARP</w:t>
            </w:r>
          </w:p>
        </w:tc>
        <w:tc>
          <w:tcPr/>
          <w:p>
            <w:pPr>
              <w:pStyle w:val="TableContents"/>
            </w:pPr>
            <w:r>
              <w:t>As Low As Reasonably Practicable — the principle requiring that residual risk, after the application of higher-order controls, be reduced to a level that is as low as reasonably practicable before PPE is relied upon as a final layer of protection.</w:t>
            </w:r>
          </w:p>
        </w:tc>
      </w:tr>
      <w:tr>
        <w:tc>
          <w:tcPr/>
          <w:p>
            <w:pPr>
              <w:pStyle w:val="TableContents"/>
            </w:pPr>
            <w:r>
              <w:t>HiPo</w:t>
            </w:r>
          </w:p>
        </w:tc>
        <w:tc>
          <w:tcPr/>
          <w:p>
            <w:pPr>
              <w:pStyle w:val="TableContents"/>
            </w:pPr>
            <w:r>
              <w:t>High Potential — a classification applied to incidents or hazards that have the potential to result in a fatality or permanent disabling injury, triggering mandatory investigation and enhanced PPE and control requirements.</w:t>
            </w:r>
          </w:p>
        </w:tc>
      </w:tr>
      <w:tr>
        <w:tc>
          <w:tcPr/>
          <w:p>
            <w:pPr>
              <w:pStyle w:val="TableContents"/>
            </w:pPr>
            <w:r>
              <w:t>arc flash</w:t>
            </w:r>
          </w:p>
        </w:tc>
        <w:tc>
          <w:tcPr/>
          <w:p>
            <w:pPr>
              <w:pStyle w:val="TableContents"/>
            </w:pPr>
            <w:r>
              <w:t>A release of energy caused by an electric arc, producing intense heat, pressure waves, and molten metal capable of causing severe burns; requires arc-rated PPE as specified in RTPR-HSE-PRO-0025.</w:t>
            </w:r>
          </w:p>
        </w:tc>
      </w:tr>
      <w:tr>
        <w:tc>
          <w:tcPr/>
          <w:p>
            <w:pPr>
              <w:pStyle w:val="TableContents"/>
            </w:pPr>
            <w:r>
              <w:t>cal/cm²</w:t>
            </w:r>
          </w:p>
        </w:tc>
        <w:tc>
          <w:tcPr/>
          <w:p>
            <w:pPr>
              <w:pStyle w:val="TableContents"/>
            </w:pPr>
            <w:r>
              <w:t>Calories per square centimetre — the unit used to express the incident energy of an arc flash event, used to determine the arc flash PPE category and minimum arc rating required for electrical work.</w:t>
            </w:r>
          </w:p>
        </w:tc>
      </w:tr>
      <w:tr>
        <w:tc>
          <w:tcPr/>
          <w:p>
            <w:pPr>
              <w:pStyle w:val="TableContents"/>
            </w:pPr>
            <w:r>
              <w:t>ATPV</w:t>
            </w:r>
          </w:p>
        </w:tc>
        <w:tc>
          <w:tcPr/>
          <w:p>
            <w:pPr>
              <w:pStyle w:val="TableContents"/>
            </w:pPr>
            <w:r>
              <w:t>Arc Thermal Performance Value — a rating assigned to arc-rated PPE fabrics expressing the incident energy level at which there is a 50 percent probability that sufficient heat transfer through the material would cause the onset of second-degree burns.</w:t>
            </w:r>
          </w:p>
        </w:tc>
      </w:tr>
      <w:tr>
        <w:tc>
          <w:tcPr/>
          <w:p>
            <w:pPr>
              <w:pStyle w:val="TableContents"/>
            </w:pPr>
            <w:r>
              <w:t>SIL</w:t>
            </w:r>
          </w:p>
        </w:tc>
        <w:tc>
          <w:tcPr/>
          <w:p>
            <w:pPr>
              <w:pStyle w:val="TableContents"/>
            </w:pPr>
            <w:r>
              <w:t>Safety Integrity Level — a measure of the risk reduction provided by a safety function; referenced in risk assessment processes that determine the adequacy of PPE as a last-resort control within the hierarchy.</w:t>
            </w:r>
          </w:p>
        </w:tc>
      </w:tr>
      <w:tr>
        <w:tc>
          <w:tcPr/>
          <w:p>
            <w:pPr>
              <w:pStyle w:val="TableContents"/>
            </w:pPr>
            <w:r>
              <w:t>COSHH</w:t>
            </w:r>
          </w:p>
        </w:tc>
        <w:tc>
          <w:tcPr/>
          <w:p>
            <w:pPr>
              <w:pStyle w:val="TableContents"/>
            </w:pPr>
            <w:r>
              <w:t>Control of Substances Hazardous to Health — a framework for assessing and controlling exposure to hazardous substances, informing the selection of chemical-resistant PPE in accordance with RTPR-HSE-PRO-0012.</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8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Training Procedure</w:t>
            </w:r>
          </w:p>
        </w:tc>
        <w:tc>
          <w:tcPr/>
          <w:p>
            <w:pPr>
              <w:pStyle w:val="TableContents"/>
            </w:pPr>
            <w:r>
              <w:t>RTPR-HSE-PRO-0004</w:t>
            </w:r>
          </w:p>
        </w:tc>
        <w:tc>
          <w:tcPr/>
          <w:p>
            <w:pPr>
              <w:pStyle w:val="TableContents"/>
            </w:pPr>
            <w:r>
              <w:t>Internal procedure</w:t>
            </w:r>
          </w:p>
        </w:tc>
      </w:tr>
      <w:tr>
        <w:tc>
          <w:tcPr/>
          <w:p>
            <w:pPr>
              <w:pStyle w:val="TableContents"/>
            </w:pPr>
            <w:r>
              <w:t>PPE Training Register</w:t>
            </w:r>
          </w:p>
        </w:tc>
        <w:tc>
          <w:tcPr/>
          <w:p>
            <w:pPr>
              <w:pStyle w:val="TableContents"/>
            </w:pPr>
            <w:r>
              <w:t>RTPR-HSE-REG-0003</w:t>
            </w:r>
          </w:p>
        </w:tc>
        <w:tc>
          <w:tcPr/>
          <w:p>
            <w:pPr>
              <w:pStyle w:val="TableContents"/>
            </w:pPr>
            <w:r>
              <w:t>Internal procedure</w:t>
            </w:r>
          </w:p>
        </w:tc>
      </w:tr>
      <w:tr>
        <w:tc>
          <w:tcPr/>
          <w:p>
            <w:pPr>
              <w:pStyle w:val="TableContents"/>
            </w:pPr>
            <w:r>
              <w:t>Working at Height Procedure</w:t>
            </w:r>
          </w:p>
        </w:tc>
        <w:tc>
          <w:tcPr/>
          <w:p>
            <w:pPr>
              <w:pStyle w:val="TableContents"/>
            </w:pPr>
            <w:r>
              <w:t>RTPR-HSE-PRO-0008</w:t>
            </w:r>
          </w:p>
        </w:tc>
        <w:tc>
          <w:tcPr/>
          <w:p>
            <w:pPr>
              <w:pStyle w:val="TableContents"/>
            </w:pPr>
            <w:r>
              <w:t>Internal procedure</w:t>
            </w:r>
          </w:p>
        </w:tc>
      </w:tr>
      <w:tr>
        <w:tc>
          <w:tcPr/>
          <w:p>
            <w:pPr>
              <w:pStyle w:val="TableContents"/>
            </w:pPr>
            <w:r>
              <w:t>Noise Procedure</w:t>
            </w:r>
          </w:p>
        </w:tc>
        <w:tc>
          <w:tcPr/>
          <w:p>
            <w:pPr>
              <w:pStyle w:val="TableContents"/>
            </w:pPr>
            <w:r>
              <w:t>RTPR-HSE-PRO-0013</w:t>
            </w:r>
          </w:p>
        </w:tc>
        <w:tc>
          <w:tcPr/>
          <w:p>
            <w:pPr>
              <w:pStyle w:val="TableContents"/>
            </w:pPr>
            <w:r>
              <w:t>Internal procedure</w:t>
            </w:r>
          </w:p>
        </w:tc>
      </w:tr>
      <w:tr>
        <w:tc>
          <w:tcPr/>
          <w:p>
            <w:pPr>
              <w:pStyle w:val="TableContents"/>
            </w:pPr>
            <w:r>
              <w:t>Electrical Safety Procedure</w:t>
            </w:r>
          </w:p>
        </w:tc>
        <w:tc>
          <w:tcPr/>
          <w:p>
            <w:pPr>
              <w:pStyle w:val="TableContents"/>
            </w:pPr>
            <w:r>
              <w:t>RTPR-HSE-PRO-0025</w:t>
            </w:r>
          </w:p>
        </w:tc>
        <w:tc>
          <w:tcPr/>
          <w:p>
            <w:pPr>
              <w:pStyle w:val="TableContents"/>
            </w:pPr>
            <w:r>
              <w:t>Internal procedure</w:t>
            </w:r>
          </w:p>
        </w:tc>
      </w:tr>
      <w:tr>
        <w:tc>
          <w:tcPr/>
          <w:p>
            <w:pPr>
              <w:pStyle w:val="TableContents"/>
            </w:pPr>
            <w:r>
              <w:t>Chemicals Procedure</w:t>
            </w:r>
          </w:p>
        </w:tc>
        <w:tc>
          <w:tcPr/>
          <w:p>
            <w:pPr>
              <w:pStyle w:val="TableContents"/>
            </w:pPr>
            <w:r>
              <w:t>RTPR-HSE-PRO-0012</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 Minimum Control Requirements</w:t>
            </w:r>
          </w:p>
        </w:tc>
        <w:tc>
          <w:tcPr/>
          <w:p>
            <w:pPr>
              <w:pStyle w:val="TableContents"/>
            </w:pPr>
            <w:r>
              <w:t>RT Risk Management Standard Appendix C C-1</w:t>
            </w:r>
          </w:p>
        </w:tc>
        <w:tc>
          <w:tcPr/>
          <w:p>
            <w:pPr>
              <w:pStyle w:val="TableContents"/>
            </w:pPr>
            <w:r>
              <w:t>External RT</w:t>
            </w:r>
          </w:p>
        </w:tc>
      </w:tr>
      <w:tr>
        <w:tc>
          <w:tcPr/>
          <w:p>
            <w:pPr>
              <w:pStyle w:val="TableContents"/>
            </w:pPr>
            <w:r>
              <w:t>Rio Tinto Safety Standard</w:t>
            </w:r>
          </w:p>
        </w:tc>
        <w:tc>
          <w:tcPr/>
          <w:p>
            <w:pPr>
              <w:pStyle w:val="TableContents"/>
            </w:pPr>
            <w:r>
              <w:t>RT Safety Standard</w:t>
            </w:r>
          </w:p>
        </w:tc>
        <w:tc>
          <w:tcPr/>
          <w:p>
            <w:pPr>
              <w:pStyle w:val="TableContents"/>
            </w:pPr>
            <w:r>
              <w:t>External RT</w:t>
            </w:r>
          </w:p>
        </w:tc>
      </w:tr>
      <w:tr>
        <w:tc>
          <w:tcPr/>
          <w:p>
            <w:pPr>
              <w:pStyle w:val="TableContents"/>
            </w:pPr>
            <w:r>
              <w:t>Rio Tinto Health Standard</w:t>
            </w:r>
          </w:p>
        </w:tc>
        <w:tc>
          <w:tcPr/>
          <w:p>
            <w:pPr>
              <w:pStyle w:val="TableContents"/>
            </w:pPr>
            <w:r>
              <w:t>RT Health Standard</w:t>
            </w:r>
          </w:p>
        </w:tc>
        <w:tc>
          <w:tcPr/>
          <w:p>
            <w:pPr>
              <w:pStyle w:val="TableContents"/>
            </w:pPr>
            <w:r>
              <w:t>External RT</w:t>
            </w:r>
          </w:p>
        </w:tc>
      </w:tr>
      <w:tr>
        <w:tc>
          <w:tcPr/>
          <w:p>
            <w:pPr>
              <w:pStyle w:val="TableContents"/>
            </w:pPr>
            <w:r>
              <w:t>Work Health and Safety Act 2011</w:t>
            </w:r>
          </w:p>
        </w:tc>
        <w:tc>
          <w:tcPr/>
          <w:p>
            <w:pPr>
              <w:pStyle w:val="TableContents"/>
            </w:pPr>
            <w:r>
              <w:t>WHS Act 2011 (Cth/applicable jurisdiction)</w:t>
            </w:r>
          </w:p>
        </w:tc>
        <w:tc>
          <w:tcPr/>
          <w:p>
            <w:pPr>
              <w:pStyle w:val="TableContents"/>
            </w:pPr>
            <w:r>
              <w:t>External framework</w:t>
            </w:r>
          </w:p>
        </w:tc>
      </w:tr>
      <w:tr>
        <w:tc>
          <w:tcPr/>
          <w:p>
            <w:pPr>
              <w:pStyle w:val="TableContents"/>
            </w:pPr>
            <w:r>
              <w:t>Work Health and Safety Regulations 2011</w:t>
            </w:r>
          </w:p>
        </w:tc>
        <w:tc>
          <w:tcPr/>
          <w:p>
            <w:pPr>
              <w:pStyle w:val="TableContents"/>
            </w:pPr>
            <w:r>
              <w:t>WHS Regulations 2011 (Cth/applicable jurisdiction)</w:t>
            </w:r>
          </w:p>
        </w:tc>
        <w:tc>
          <w:tcPr/>
          <w:p>
            <w:pPr>
              <w:pStyle w:val="TableContents"/>
            </w:pPr>
            <w:r>
              <w:t>External framework</w:t>
            </w:r>
          </w:p>
        </w:tc>
      </w:tr>
      <w:tr>
        <w:tc>
          <w:tcPr/>
          <w:p>
            <w:pPr>
              <w:pStyle w:val="TableContents"/>
            </w:pPr>
            <w:r>
              <w:t>Eye and Face Protection</w:t>
            </w:r>
          </w:p>
        </w:tc>
        <w:tc>
          <w:tcPr/>
          <w:p>
            <w:pPr>
              <w:pStyle w:val="TableContents"/>
            </w:pPr>
            <w:r>
              <w:t>AS/NZS 1336:2014</w:t>
            </w:r>
          </w:p>
        </w:tc>
        <w:tc>
          <w:tcPr/>
          <w:p>
            <w:pPr>
              <w:pStyle w:val="TableContents"/>
            </w:pPr>
            <w:r>
              <w:t>External framework</w:t>
            </w:r>
          </w:p>
        </w:tc>
      </w:tr>
      <w:tr>
        <w:tc>
          <w:tcPr/>
          <w:p>
            <w:pPr>
              <w:pStyle w:val="TableContents"/>
            </w:pPr>
            <w:r>
              <w:t>Recommended Practices for Occupational Eye Protection</w:t>
            </w:r>
          </w:p>
        </w:tc>
        <w:tc>
          <w:tcPr/>
          <w:p>
            <w:pPr>
              <w:pStyle w:val="TableContents"/>
            </w:pPr>
            <w:r>
              <w:t>AS/NZS 1337.1:2010</w:t>
            </w:r>
          </w:p>
        </w:tc>
        <w:tc>
          <w:tcPr/>
          <w:p>
            <w:pPr>
              <w:pStyle w:val="TableContents"/>
            </w:pPr>
            <w:r>
              <w:t>External framework</w:t>
            </w:r>
          </w:p>
        </w:tc>
      </w:tr>
      <w:tr>
        <w:tc>
          <w:tcPr/>
          <w:p>
            <w:pPr>
              <w:pStyle w:val="TableContents"/>
            </w:pPr>
            <w:r>
              <w:t>Occupational Protective Footwear</w:t>
            </w:r>
          </w:p>
        </w:tc>
        <w:tc>
          <w:tcPr/>
          <w:p>
            <w:pPr>
              <w:pStyle w:val="TableContents"/>
            </w:pPr>
            <w:r>
              <w:t>AS/NZS 2210.1:2010</w:t>
            </w:r>
          </w:p>
        </w:tc>
        <w:tc>
          <w:tcPr/>
          <w:p>
            <w:pPr>
              <w:pStyle w:val="TableContents"/>
            </w:pPr>
            <w:r>
              <w:t>External framework</w:t>
            </w:r>
          </w:p>
        </w:tc>
      </w:tr>
      <w:tr>
        <w:tc>
          <w:tcPr/>
          <w:p>
            <w:pPr>
              <w:pStyle w:val="TableContents"/>
            </w:pPr>
            <w:r>
              <w:t>Industrial Safety Helmets</w:t>
            </w:r>
          </w:p>
        </w:tc>
        <w:tc>
          <w:tcPr/>
          <w:p>
            <w:pPr>
              <w:pStyle w:val="TableContents"/>
            </w:pPr>
            <w:r>
              <w:t>AS/NZS 1801:1997</w:t>
            </w:r>
          </w:p>
        </w:tc>
        <w:tc>
          <w:tcPr/>
          <w:p>
            <w:pPr>
              <w:pStyle w:val="TableContents"/>
            </w:pPr>
            <w:r>
              <w:t>External framework</w:t>
            </w:r>
          </w:p>
        </w:tc>
      </w:tr>
      <w:tr>
        <w:tc>
          <w:tcPr/>
          <w:p>
            <w:pPr>
              <w:pStyle w:val="TableContents"/>
            </w:pPr>
            <w:r>
              <w:t>Hearing Protectors</w:t>
            </w:r>
          </w:p>
        </w:tc>
        <w:tc>
          <w:tcPr/>
          <w:p>
            <w:pPr>
              <w:pStyle w:val="TableContents"/>
            </w:pPr>
            <w:r>
              <w:t>AS/NZS 1270:2002</w:t>
            </w:r>
          </w:p>
        </w:tc>
        <w:tc>
          <w:tcPr/>
          <w:p>
            <w:pPr>
              <w:pStyle w:val="TableContents"/>
            </w:pPr>
            <w:r>
              <w:t>External framework</w:t>
            </w:r>
          </w:p>
        </w:tc>
      </w:tr>
      <w:tr>
        <w:tc>
          <w:tcPr/>
          <w:p>
            <w:pPr>
              <w:pStyle w:val="TableContents"/>
            </w:pPr>
            <w:r>
              <w:t>Respiratory Protective Devices</w:t>
            </w:r>
          </w:p>
        </w:tc>
        <w:tc>
          <w:tcPr/>
          <w:p>
            <w:pPr>
              <w:pStyle w:val="TableContents"/>
            </w:pPr>
            <w:r>
              <w:t>AS/NZS 1715:2009</w:t>
            </w:r>
          </w:p>
        </w:tc>
        <w:tc>
          <w:tcPr/>
          <w:p>
            <w:pPr>
              <w:pStyle w:val="TableContents"/>
            </w:pPr>
            <w:r>
              <w:t>External framework</w:t>
            </w:r>
          </w:p>
        </w:tc>
      </w:tr>
      <w:tr>
        <w:tc>
          <w:tcPr/>
          <w:p>
            <w:pPr>
              <w:pStyle w:val="TableContents"/>
            </w:pPr>
            <w:r>
              <w:t>Selection, Use and Maintenance of Respiratory Protective Equipment</w:t>
            </w:r>
          </w:p>
        </w:tc>
        <w:tc>
          <w:tcPr/>
          <w:p>
            <w:pPr>
              <w:pStyle w:val="TableContents"/>
            </w:pPr>
            <w:r>
              <w:t>AS/NZS 1716:2012</w:t>
            </w:r>
          </w:p>
        </w:tc>
        <w:tc>
          <w:tcPr/>
          <w:p>
            <w:pPr>
              <w:pStyle w:val="TableContents"/>
            </w:pPr>
            <w:r>
              <w:t>External framework</w:t>
            </w:r>
          </w:p>
        </w:tc>
      </w:tr>
      <w:tr>
        <w:tc>
          <w:tcPr/>
          <w:p>
            <w:pPr>
              <w:pStyle w:val="TableContents"/>
            </w:pPr>
            <w:r>
              <w:t>High Visibility Safety Garments</w:t>
            </w:r>
          </w:p>
        </w:tc>
        <w:tc>
          <w:tcPr/>
          <w:p>
            <w:pPr>
              <w:pStyle w:val="TableContents"/>
            </w:pPr>
            <w:r>
              <w:t>AS/NZS 4602.1:2011</w:t>
            </w:r>
          </w:p>
        </w:tc>
        <w:tc>
          <w:tcPr/>
          <w:p>
            <w:pPr>
              <w:pStyle w:val="TableContents"/>
            </w:pPr>
            <w:r>
              <w:t>External framework</w:t>
            </w:r>
          </w:p>
        </w:tc>
      </w:tr>
      <w:tr>
        <w:tc>
          <w:tcPr/>
          <w:p>
            <w:pPr>
              <w:pStyle w:val="TableContents"/>
            </w:pPr>
            <w:r>
              <w:t>Protective Gloves Against Chemicals and Micro-organisms</w:t>
            </w:r>
          </w:p>
        </w:tc>
        <w:tc>
          <w:tcPr/>
          <w:p>
            <w:pPr>
              <w:pStyle w:val="TableContents"/>
            </w:pPr>
            <w:r>
              <w:t>AS/NZS ISO 374-1:2019</w:t>
            </w:r>
          </w:p>
        </w:tc>
        <w:tc>
          <w:tcPr/>
          <w:p>
            <w:pPr>
              <w:pStyle w:val="TableContents"/>
            </w:pPr>
            <w:r>
              <w:t>External framework</w:t>
            </w:r>
          </w:p>
        </w:tc>
      </w:tr>
      <w:tr>
        <w:tc>
          <w:tcPr/>
          <w:p>
            <w:pPr>
              <w:pStyle w:val="TableContents"/>
            </w:pPr>
            <w:r>
              <w:t>Safety, Protective and Occupational Footwear</w:t>
            </w:r>
          </w:p>
        </w:tc>
        <w:tc>
          <w:tcPr/>
          <w:p>
            <w:pPr>
              <w:pStyle w:val="TableContents"/>
            </w:pPr>
            <w:r>
              <w:t>AS/NZS 2210.3:2019</w:t>
            </w:r>
          </w:p>
        </w:tc>
        <w:tc>
          <w:tcPr/>
          <w:p>
            <w:pPr>
              <w:pStyle w:val="TableContents"/>
            </w:pPr>
            <w:r>
              <w:t>External framework</w:t>
            </w:r>
          </w:p>
        </w:tc>
      </w:tr>
      <w:tr>
        <w:tc>
          <w:tcPr/>
          <w:p>
            <w:pPr>
              <w:pStyle w:val="TableContents"/>
            </w:pPr>
            <w:r>
              <w:t>Arc Flash Hazard Calculation Studies and Protective Equipment Selection</w:t>
            </w:r>
          </w:p>
        </w:tc>
        <w:tc>
          <w:tcPr/>
          <w:p>
            <w:pPr>
              <w:pStyle w:val="TableContents"/>
            </w:pPr>
            <w:r>
              <w:t>IEEE 1584:2018</w:t>
            </w:r>
          </w:p>
        </w:tc>
        <w:tc>
          <w:tcPr/>
          <w:p>
            <w:pPr>
              <w:pStyle w:val="TableContents"/>
            </w:pPr>
            <w:r>
              <w:t>External framework</w:t>
            </w:r>
          </w:p>
        </w:tc>
      </w:tr>
      <w:tr>
        <w:tc>
          <w:tcPr/>
          <w:p>
            <w:pPr>
              <w:pStyle w:val="TableContents"/>
            </w:pPr>
            <w:r>
              <w:t>Standard for Electrical Safety in the Workplace</w:t>
            </w:r>
          </w:p>
        </w:tc>
        <w:tc>
          <w:tcPr/>
          <w:p>
            <w:pPr>
              <w:pStyle w:val="TableContents"/>
            </w:pPr>
            <w:r>
              <w:t>NFPA 70E:2021</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9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10  Source Requirements Traceability (DELETE BEFORE ISSUE)</w:t>
      </w:r>
    </w:p>
    <w:p>
      <w:pPr>
        <w:pStyle w:val="Heading2Numbered"/>
      </w:pPr>
      <w:r>
        <w:t>10.1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Appendix C C-1 §37</w:t>
            </w:r>
          </w:p>
        </w:tc>
        <w:tc>
          <w:tcPr/>
          <w:p>
            <w:pPr>
              <w:pStyle w:val="TableContents"/>
            </w:pPr>
            <w:r>
              <w:t>Requires minimum PPE for all site personnel including head, eye, foot, hand, and hearing protection and protective clothing, meeting or exceeding applicable laws and industry best practices.</w:t>
            </w:r>
          </w:p>
        </w:tc>
        <w:tc>
          <w:tcPr/>
          <w:p>
            <w:pPr>
              <w:pStyle w:val="TableContents"/>
            </w:pPr>
            <w:r>
              <w:t>Full</w:t>
            </w:r>
          </w:p>
        </w:tc>
      </w:tr>
      <w:tr>
        <w:tc>
          <w:tcPr/>
          <w:p>
            <w:pPr>
              <w:pStyle w:val="TableContents"/>
            </w:pPr>
            <w:r>
              <w:rPr>
                <w:b/>
                <w:bCs/>
                <w:color w:val="0059D1"/>
              </w:rPr>
              <w:t>[INSERT: section]</w:t>
            </w:r>
          </w:p>
        </w:tc>
        <w:tc>
          <w:tcPr/>
          <w:p>
            <w:pPr>
              <w:pStyle w:val="TableContents"/>
            </w:pPr>
            <w:r>
              <w:t>Appendix C C-2 §37.1</w:t>
            </w:r>
          </w:p>
        </w:tc>
        <w:tc>
          <w:tcPr/>
          <w:p>
            <w:pPr>
              <w:pStyle w:val="TableContents"/>
            </w:pPr>
            <w:r>
              <w:t>Requires all PPE to meet or exceed applicable laws, with the more stringent Company standard applied where it exceeds local legislation.</w:t>
            </w:r>
          </w:p>
        </w:tc>
        <w:tc>
          <w:tcPr/>
          <w:p>
            <w:pPr>
              <w:pStyle w:val="TableContents"/>
            </w:pPr>
            <w:r>
              <w:t>Full</w:t>
            </w:r>
          </w:p>
        </w:tc>
      </w:tr>
      <w:tr>
        <w:tc>
          <w:tcPr/>
          <w:p>
            <w:pPr>
              <w:pStyle w:val="TableContents"/>
            </w:pPr>
            <w:r>
              <w:rPr>
                <w:b/>
                <w:bCs/>
                <w:color w:val="0059D1"/>
              </w:rPr>
              <w:t>[INSERT: section]</w:t>
            </w:r>
          </w:p>
        </w:tc>
        <w:tc>
          <w:tcPr/>
          <w:p>
            <w:pPr>
              <w:pStyle w:val="TableContents"/>
            </w:pPr>
            <w:r>
              <w:t>Appendix C C-2 §37.2</w:t>
            </w:r>
          </w:p>
        </w:tc>
        <w:tc>
          <w:tcPr/>
          <w:p>
            <w:pPr>
              <w:pStyle w:val="TableContents"/>
            </w:pPr>
            <w:r>
              <w:t>Defines the minimum PPE standard for all site personnel covering head, eye, foot, hand, and hearing protection and full-length protective clothing.</w:t>
            </w:r>
          </w:p>
        </w:tc>
        <w:tc>
          <w:tcPr/>
          <w:p>
            <w:pPr>
              <w:pStyle w:val="TableContents"/>
            </w:pPr>
            <w:r>
              <w:t>Full</w:t>
            </w:r>
          </w:p>
        </w:tc>
      </w:tr>
      <w:tr>
        <w:tc>
          <w:tcPr/>
          <w:p>
            <w:pPr>
              <w:pStyle w:val="TableContents"/>
            </w:pPr>
            <w:r>
              <w:rPr>
                <w:b/>
                <w:bCs/>
                <w:color w:val="0059D1"/>
              </w:rPr>
              <w:t>[INSERT: section]</w:t>
            </w:r>
          </w:p>
        </w:tc>
        <w:tc>
          <w:tcPr/>
          <w:p>
            <w:pPr>
              <w:pStyle w:val="TableContents"/>
            </w:pPr>
            <w:r>
              <w:t>Appendix C C-2 §37.3</w:t>
            </w:r>
          </w:p>
        </w:tc>
        <w:tc>
          <w:tcPr/>
          <w:p>
            <w:pPr>
              <w:pStyle w:val="TableContents"/>
            </w:pPr>
            <w:r>
              <w:t>Requires task-specific PPE for high-risk activities to be identified in the JHA and specified in the relevant permit.</w:t>
            </w:r>
          </w:p>
        </w:tc>
        <w:tc>
          <w:tcPr/>
          <w:p>
            <w:pPr>
              <w:pStyle w:val="TableContents"/>
            </w:pPr>
            <w:r>
              <w:t>Full</w:t>
            </w:r>
          </w:p>
        </w:tc>
      </w:tr>
      <w:tr>
        <w:tc>
          <w:tcPr/>
          <w:p>
            <w:pPr>
              <w:pStyle w:val="TableContents"/>
            </w:pPr>
            <w:r>
              <w:rPr>
                <w:b/>
                <w:bCs/>
                <w:color w:val="0059D1"/>
              </w:rPr>
              <w:t>[INSERT: section]</w:t>
            </w:r>
          </w:p>
        </w:tc>
        <w:tc>
          <w:tcPr/>
          <w:p>
            <w:pPr>
              <w:pStyle w:val="TableContents"/>
            </w:pPr>
            <w:r>
              <w:t>Appendix C C-2 §37.4</w:t>
            </w:r>
          </w:p>
        </w:tc>
        <w:tc>
          <w:tcPr/>
          <w:p>
            <w:pPr>
              <w:pStyle w:val="TableContents"/>
            </w:pPr>
            <w:r>
              <w:t>Requires training in PPE use before deployment, immediate removal of damaged PPE from service, and maintenance of replacement records.</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§2.7</w:t>
            </w:r>
          </w:p>
        </w:tc>
        <w:tc>
          <w:tcPr/>
          <w:p>
            <w:pPr>
              <w:pStyle w:val="TableContents"/>
            </w:pPr>
            <w:r>
              <w:t>Requires PPE to be appropriate for identified hazards, stored to prevent deterioration, and that inspection records are maintained.</w:t>
            </w:r>
          </w:p>
        </w:tc>
        <w:tc>
          <w:tcPr/>
          <w:p>
            <w:pPr>
              <w:pStyle w:val="TableContents"/>
            </w:pPr>
            <w:r>
              <w:t>Full</w:t>
            </w:r>
          </w:p>
        </w:tc>
      </w:tr>
      <w:tr>
        <w:tc>
          <w:tcPr/>
          <w:p>
            <w:pPr>
              <w:pStyle w:val="TableContents"/>
            </w:pPr>
            <w:r>
              <w:rPr>
                <w:b/>
                <w:bCs/>
                <w:color w:val="0059D1"/>
              </w:rPr>
              <w:t>[INSERT: section]</w:t>
            </w:r>
          </w:p>
        </w:tc>
        <w:tc>
          <w:tcPr/>
          <w:p>
            <w:pPr>
              <w:pStyle w:val="TableContents"/>
            </w:pPr>
            <w:r>
              <w:t>RT Standard RT C2 – Contact with Electricity Standard / RT C4 – Fall from Height Standard</w:t>
            </w:r>
          </w:p>
        </w:tc>
        <w:tc>
          <w:tcPr/>
          <w:p>
            <w:pPr>
              <w:pStyle w:val="TableContents"/>
            </w:pPr>
            <w:r>
              <w:t>Requires specialist PPE for high-risk activities including arc flash rated PPE based on incident energy calculations, fall arrest equipment selected to minimise fall distances, and RPE selected based on contaminant type and exposure level.</w:t>
            </w:r>
          </w:p>
        </w:tc>
        <w:tc>
          <w:tcPr/>
          <w:p>
            <w:pPr>
              <w:pStyle w:val="TableContents"/>
            </w:pPr>
            <w:r>
              <w:t>Full</w:t>
            </w:r>
          </w:p>
        </w:tc>
      </w:tr>
    </w:tbl>
    <w:p>
      <w:pPr>
        <w:pStyle w:val="Default"/>
      </w:pPr>
    </w:p>
    <w:p>
      <w:pPr>
        <w:pStyle w:val="Heading2Numbered"/>
      </w:pPr>
      <w:r>
        <w:t>10.2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