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Traffic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Traffic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all vehicle and pedestrian traffic on and around the owner-led project site — covering HME, light vehicles, mass transport vehicles, pedestrians, and public road interfaces. It is supported by site-specific Traffic Management Plans and Traffic Control Plans developed under this procedure.</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traffic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Traffic Management Plan and Traffic Control Plan</w:t>
      </w:r>
    </w:p>
    <w:p>
      <w:pPr>
        <w:pStyle w:val="NormalNumberedtext"/>
      </w:pPr>
      <w:r>
        <w:t>This section defines the requirements for the site Traffic Management Plan and Traffic Control Plan, including minimum content, approval, and the conditions that trigger a review.</w:t>
      </w:r>
    </w:p>
    <w:p>
      <w:pPr>
        <w:pStyle w:val="NormalNumberedtext"/>
      </w:pPr>
      <w:r>
        <w:t>A site Traffic Management Plan (TMP) must be developed and approved before any work commences on site. The TMP is the governing document for all traffic-related activities and defines the framework within which day-to-day traffic control operates.</w:t>
      </w:r>
    </w:p>
    <w:p>
      <w:pPr>
        <w:pStyle w:val="NormalNumberedtext"/>
      </w:pPr>
      <w:r>
        <w:t>The TMP must define, at minimum, the following:</w:t>
      </w:r>
    </w:p>
    <w:p>
      <w:pPr>
        <w:pStyle w:val="NumberedBulletL1"/>
      </w:pPr>
      <w:r>
        <w:t>Site traffic rules and speed limits by area</w:t>
      </w:r>
    </w:p>
    <w:p>
      <w:pPr>
        <w:pStyle w:val="NumberedBulletL1"/>
      </w:pPr>
      <w:r>
        <w:t>Heavy mobile equipment (HME) and light vehicle operating areas</w:t>
      </w:r>
    </w:p>
    <w:p>
      <w:pPr>
        <w:pStyle w:val="NumberedBulletL1"/>
      </w:pPr>
      <w:r>
        <w:t>Pedestrian routes and crossing points</w:t>
      </w:r>
    </w:p>
    <w:p>
      <w:pPr>
        <w:pStyle w:val="NumberedBulletL1"/>
      </w:pPr>
      <w:r>
        <w:t>Interface arrangements with public roads</w:t>
      </w:r>
    </w:p>
    <w:p>
      <w:pPr>
        <w:pStyle w:val="NumberedBulletL1"/>
      </w:pPr>
      <w:r>
        <w:rPr>
          <w:color w:val="C55A11"/>
        </w:rPr>
        <w:t>Exclusion zones and separation distances applicable to each road type</w:t>
      </w:r>
    </w:p>
    <w:p>
      <w:pPr>
        <w:pStyle w:val="NormalNumberedtext"/>
      </w:pPr>
      <w:r>
        <w:rPr>
          <w:b/>
          <w:bCs/>
          <w:color w:val="0059D1"/>
        </w:rPr>
        <w:t>[INSERT: TMP_reference] — Insert reference or location of the approved project Traffic Management Plan, e.g. RTPR-HSE-PLN-XXXX Traffic Management Plan</w:t>
      </w:r>
    </w:p>
    <w:p>
      <w:pPr>
        <w:pStyle w:val="NormalNumberedtext"/>
      </w:pPr>
      <w:r>
        <w:t>A Traffic Control Plan (TCP) must be prepared as the operational-level document governing day-to-day traffic control activities. The TCP translates TMP requirements into specific controls for each active work area and must be accessible to supervisors and traffic controllers at the workface.</w:t>
      </w:r>
    </w:p>
    <w:p>
      <w:pPr>
        <w:pStyle w:val="NormalNumberedtext"/>
      </w:pPr>
      <w:r>
        <w:rPr>
          <w:b/>
          <w:bCs/>
          <w:color w:val="0059D1"/>
        </w:rPr>
        <w:t>[INSERT: TCP_reference] — Insert reference or location of the approved project Traffic Control Plan, e.g. RTPR-HSE-PLN-XXXX Traffic Control Plan</w:t>
      </w:r>
    </w:p>
    <w:tbl>
      <w:tblPr>
        <w:tblStyle w:val="TableOption1"/>
        <w:tblW w:type="pct" w:w="5000"/>
      </w:tblPr>
      <w:tr>
        <w:tc>
          <w:tcPr>
            <w:shd w:val="clear" w:color="auto" w:fill="FFF2CC"/>
          </w:tcPr>
          <w:p>
            <w:pPr>
              <w:pStyle w:val="Instructions"/>
            </w:pPr>
            <w:r>
              <w:rPr>
                <w:b/>
                <w:bCs/>
                <w:color w:val="C55A11"/>
              </w:rPr>
              <w:t>PROJECT COMPLETION — TMP AND TCP: Develop the site Traffic Management Plan and Traffic Control Plan for this project before work commences. This procedure defines the minimum content. The project team develops the actual plans and inserts or references them above.</w:t>
            </w:r>
          </w:p>
        </w:tc>
      </w:tr>
    </w:tbl>
    <w:p>
      <w:pPr>
        <w:pStyle w:val="Default"/>
      </w:pPr>
    </w:p>
    <w:p>
      <w:pPr>
        <w:pStyle w:val="NormalNumberedtext"/>
      </w:pPr>
      <w:r>
        <w:t>Both the TMP and TCP must be reviewed and updated when site conditions, project scope, or the equipment fleet change in a manner that affects traffic flow, hazard exposure, or separation arrangements. The traffic risk assessment process used to trigger and support these reviews is governed by the Risk Management Procedure, refer RTPR-HSE-PRO-0002.</w:t>
      </w:r>
    </w:p>
    <w:p>
      <w:pPr>
        <w:pStyle w:val="NormalNumberedtext"/>
      </w:pPr>
      <w:r>
        <w:t>Table: TMP and TCP Review Triggers</w:t>
      </w:r>
    </w:p>
    <w:tbl>
      <w:tblPr>
        <w:tblStyle w:val="TableOption2"/>
        <w:tblW w:type="pct" w:w="5000"/>
      </w:tblPr>
      <w:tr>
        <w:trPr>
          <w:tblHeader/>
        </w:trPr>
        <w:tc>
          <w:tcPr>
            <w:shd w:val="clear" w:color="auto" w:fill="1F3864"/>
          </w:tcPr>
          <w:p>
            <w:pPr>
              <w:pStyle w:val="TableContents"/>
            </w:pPr>
            <w:r>
              <w:rPr>
                <w:b/>
                <w:bCs/>
                <w:color w:val="FFFFFF"/>
              </w:rPr>
              <w:t>Review Trigger</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Maximum Response Time</w:t>
            </w:r>
          </w:p>
        </w:tc>
      </w:tr>
      <w:tr>
        <w:tc>
          <w:tcPr/>
          <w:p>
            <w:pPr>
              <w:pStyle w:val="TableContents"/>
            </w:pPr>
            <w:r>
              <w:t>Change to active work area boundaries</w:t>
            </w:r>
          </w:p>
        </w:tc>
        <w:tc>
          <w:tcPr/>
          <w:p>
            <w:pPr>
              <w:pStyle w:val="TableContents"/>
            </w:pPr>
            <w:r>
              <w:rPr>
                <w:b/>
                <w:bCs/>
                <w:color w:val="0059D1"/>
              </w:rPr>
              <w:t>[INSERT: role]</w:t>
            </w:r>
          </w:p>
        </w:tc>
        <w:tc>
          <w:tcPr/>
          <w:p>
            <w:pPr>
              <w:pStyle w:val="TableContents"/>
            </w:pPr>
            <w:r>
              <w:rPr>
                <w:b/>
                <w:bCs/>
                <w:color w:val="0059D1"/>
              </w:rPr>
              <w:t>[INSERT: timeframe]</w:t>
            </w:r>
          </w:p>
        </w:tc>
      </w:tr>
      <w:tr>
        <w:tc>
          <w:tcPr/>
          <w:p>
            <w:pPr>
              <w:pStyle w:val="TableContents"/>
            </w:pPr>
            <w:r>
              <w:t>Addition or removal of HME types from the project fleet</w:t>
            </w:r>
          </w:p>
        </w:tc>
        <w:tc>
          <w:tcPr/>
          <w:p>
            <w:pPr>
              <w:pStyle w:val="TableContents"/>
            </w:pPr>
            <w:r>
              <w:rPr>
                <w:b/>
                <w:bCs/>
                <w:color w:val="0059D1"/>
              </w:rPr>
              <w:t>[INSERT: role]</w:t>
            </w:r>
          </w:p>
        </w:tc>
        <w:tc>
          <w:tcPr/>
          <w:p>
            <w:pPr>
              <w:pStyle w:val="TableContents"/>
            </w:pPr>
            <w:r>
              <w:rPr>
                <w:b/>
                <w:bCs/>
                <w:color w:val="0059D1"/>
              </w:rPr>
              <w:t>[INSERT: timeframe]</w:t>
            </w:r>
          </w:p>
        </w:tc>
      </w:tr>
      <w:tr>
        <w:tc>
          <w:tcPr/>
          <w:p>
            <w:pPr>
              <w:pStyle w:val="TableContents"/>
            </w:pPr>
            <w:r>
              <w:t>Change to haul road layout or access routes</w:t>
            </w:r>
          </w:p>
        </w:tc>
        <w:tc>
          <w:tcPr/>
          <w:p>
            <w:pPr>
              <w:pStyle w:val="TableContents"/>
            </w:pPr>
            <w:r>
              <w:rPr>
                <w:b/>
                <w:bCs/>
                <w:color w:val="0059D1"/>
              </w:rPr>
              <w:t>[INSERT: role]</w:t>
            </w:r>
          </w:p>
        </w:tc>
        <w:tc>
          <w:tcPr/>
          <w:p>
            <w:pPr>
              <w:pStyle w:val="TableContents"/>
            </w:pPr>
            <w:r>
              <w:rPr>
                <w:b/>
                <w:bCs/>
                <w:color w:val="0059D1"/>
              </w:rPr>
              <w:t>[INSERT: timeframe]</w:t>
            </w:r>
          </w:p>
        </w:tc>
      </w:tr>
      <w:tr>
        <w:tc>
          <w:tcPr/>
          <w:p>
            <w:pPr>
              <w:pStyle w:val="TableContents"/>
            </w:pPr>
            <w:r>
              <w:t>Change to pedestrian routes or interface with public roads</w:t>
            </w:r>
          </w:p>
        </w:tc>
        <w:tc>
          <w:tcPr/>
          <w:p>
            <w:pPr>
              <w:pStyle w:val="TableContents"/>
            </w:pPr>
            <w:r>
              <w:rPr>
                <w:b/>
                <w:bCs/>
                <w:color w:val="0059D1"/>
              </w:rPr>
              <w:t>[INSERT: role]</w:t>
            </w:r>
          </w:p>
        </w:tc>
        <w:tc>
          <w:tcPr/>
          <w:p>
            <w:pPr>
              <w:pStyle w:val="TableContents"/>
            </w:pPr>
            <w:r>
              <w:rPr>
                <w:b/>
                <w:bCs/>
                <w:color w:val="0059D1"/>
              </w:rPr>
              <w:t>[INSERT: timeframe]</w:t>
            </w:r>
          </w:p>
        </w:tc>
      </w:tr>
      <w:tr>
        <w:tc>
          <w:tcPr/>
          <w:p>
            <w:pPr>
              <w:pStyle w:val="TableContents"/>
            </w:pPr>
            <w:r>
              <w:t>suggested</w:t>
            </w:r>
          </w:p>
        </w:tc>
        <w:tc>
          <w:tcPr/>
          <w:p>
            <w:pPr>
              <w:pStyle w:val="TableContents"/>
            </w:pPr>
            <w:r>
              <w:t>0</w:t>
            </w:r>
          </w:p>
        </w:tc>
        <w:tc>
          <w:tcPr/>
          <w:p>
            <w:pPr>
              <w:pStyle w:val="TableContents"/>
            </w:pPr>
            <w:r>
              <w:t>1</w:t>
            </w:r>
          </w:p>
        </w:tc>
        <w:tc>
          <w:tcPr/>
          <w:p>
            <w:pPr>
              <w:pStyle w:val="TableContents"/>
            </w:pPr>
            <w:r>
              <w:t>2</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 SPEED LIMITS: Define the project speed limits for each site area and the enforcement mechanism. This procedure requires speed limits to be documented in the TMP. The project determines the specific limits by area based on risk assessment, refer RTPR-HSE-PRO-0002.</w:t>
            </w:r>
          </w:p>
        </w:tc>
      </w:tr>
    </w:tbl>
    <w:p>
      <w:pPr>
        <w:pStyle w:val="Default"/>
      </w:pPr>
    </w:p>
    <w:p>
      <w:pPr>
        <w:pStyle w:val="NormalNumberedtext"/>
      </w:pPr>
      <w:r>
        <w:t>Table: Project Speed Limits by Area</w:t>
      </w:r>
    </w:p>
    <w:tbl>
      <w:tblPr>
        <w:tblStyle w:val="TableOption2"/>
        <w:tblW w:type="pct" w:w="5000"/>
      </w:tblPr>
      <w:tr>
        <w:trPr>
          <w:tblHeader/>
        </w:trPr>
        <w:tc>
          <w:tcPr>
            <w:shd w:val="clear" w:color="auto" w:fill="1F3864"/>
          </w:tcPr>
          <w:p>
            <w:pPr>
              <w:pStyle w:val="TableContents"/>
            </w:pPr>
            <w:r>
              <w:rPr>
                <w:b/>
                <w:bCs/>
                <w:color w:val="FFFFFF"/>
              </w:rPr>
              <w:t>Site Area</w:t>
            </w:r>
          </w:p>
        </w:tc>
        <w:tc>
          <w:tcPr>
            <w:shd w:val="clear" w:color="auto" w:fill="1F3864"/>
          </w:tcPr>
          <w:p>
            <w:pPr>
              <w:pStyle w:val="TableContents"/>
            </w:pPr>
            <w:r>
              <w:rPr>
                <w:b/>
                <w:bCs/>
                <w:color w:val="FFFFFF"/>
              </w:rPr>
              <w:t>Speed Limit (km/h)</w:t>
            </w:r>
          </w:p>
        </w:tc>
        <w:tc>
          <w:tcPr>
            <w:shd w:val="clear" w:color="auto" w:fill="1F3864"/>
          </w:tcPr>
          <w:p>
            <w:pPr>
              <w:pStyle w:val="TableContents"/>
            </w:pPr>
            <w:r>
              <w:rPr>
                <w:b/>
                <w:bCs/>
                <w:color w:val="FFFFFF"/>
              </w:rPr>
              <w:t>Enforcement Mechanism</w:t>
            </w:r>
          </w:p>
        </w:tc>
      </w:tr>
      <w:tr>
        <w:tc>
          <w:tcPr/>
          <w:p>
            <w:pPr>
              <w:pStyle w:val="TableContents"/>
            </w:pPr>
            <w:r>
              <w:rPr>
                <w:b/>
                <w:bCs/>
                <w:color w:val="0059D1"/>
              </w:rPr>
              <w:t>[INSERT: area, e.g. haul roads]</w:t>
            </w:r>
          </w:p>
        </w:tc>
        <w:tc>
          <w:tcPr/>
          <w:p>
            <w:pPr>
              <w:pStyle w:val="TableContents"/>
            </w:pPr>
            <w:r>
              <w:rPr>
                <w:b/>
                <w:bCs/>
                <w:color w:val="0059D1"/>
              </w:rPr>
              <w:t>[INSERT: limit]</w:t>
            </w:r>
          </w:p>
        </w:tc>
        <w:tc>
          <w:tcPr/>
          <w:p>
            <w:pPr>
              <w:pStyle w:val="TableContents"/>
            </w:pPr>
            <w:r>
              <w:rPr>
                <w:b/>
                <w:bCs/>
                <w:color w:val="0059D1"/>
              </w:rPr>
              <w:t>[INSERT: mechanism]</w:t>
            </w:r>
          </w:p>
        </w:tc>
      </w:tr>
      <w:tr>
        <w:tc>
          <w:tcPr/>
          <w:p>
            <w:pPr>
              <w:pStyle w:val="TableContents"/>
            </w:pPr>
            <w:r>
              <w:rPr>
                <w:b/>
                <w:bCs/>
                <w:color w:val="0059D1"/>
              </w:rPr>
              <w:t>[INSERT: area, e.g. plant roads]</w:t>
            </w:r>
          </w:p>
        </w:tc>
        <w:tc>
          <w:tcPr/>
          <w:p>
            <w:pPr>
              <w:pStyle w:val="TableContents"/>
            </w:pPr>
            <w:r>
              <w:rPr>
                <w:b/>
                <w:bCs/>
                <w:color w:val="0059D1"/>
              </w:rPr>
              <w:t>[INSERT: limit]</w:t>
            </w:r>
          </w:p>
        </w:tc>
        <w:tc>
          <w:tcPr/>
          <w:p>
            <w:pPr>
              <w:pStyle w:val="TableContents"/>
            </w:pPr>
            <w:r>
              <w:rPr>
                <w:b/>
                <w:bCs/>
                <w:color w:val="0059D1"/>
              </w:rPr>
              <w:t>[INSERT: mechanism]</w:t>
            </w:r>
          </w:p>
        </w:tc>
      </w:tr>
      <w:tr>
        <w:tc>
          <w:tcPr/>
          <w:p>
            <w:pPr>
              <w:pStyle w:val="TableContents"/>
            </w:pPr>
            <w:r>
              <w:rPr>
                <w:b/>
                <w:bCs/>
                <w:color w:val="0059D1"/>
              </w:rPr>
              <w:t>[INSERT: area, e.g. pit ramps]</w:t>
            </w:r>
          </w:p>
        </w:tc>
        <w:tc>
          <w:tcPr/>
          <w:p>
            <w:pPr>
              <w:pStyle w:val="TableContents"/>
            </w:pPr>
            <w:r>
              <w:rPr>
                <w:b/>
                <w:bCs/>
                <w:color w:val="0059D1"/>
              </w:rPr>
              <w:t>[INSERT: limit]</w:t>
            </w:r>
          </w:p>
        </w:tc>
        <w:tc>
          <w:tcPr/>
          <w:p>
            <w:pPr>
              <w:pStyle w:val="TableContents"/>
            </w:pPr>
            <w:r>
              <w:rPr>
                <w:b/>
                <w:bCs/>
                <w:color w:val="0059D1"/>
              </w:rPr>
              <w:t>[INSERT: mechanism]</w:t>
            </w:r>
          </w:p>
        </w:tc>
      </w:tr>
      <w:tr>
        <w:tc>
          <w:tcPr/>
          <w:p>
            <w:pPr>
              <w:pStyle w:val="TableContents"/>
            </w:pPr>
            <w:r>
              <w:t>suggested</w:t>
            </w:r>
          </w:p>
        </w:tc>
        <w:tc>
          <w:tcPr/>
          <w:p>
            <w:pPr>
              <w:pStyle w:val="TableContents"/>
            </w:pPr>
            <w:r>
              <w:t>0</w:t>
            </w:r>
          </w:p>
        </w:tc>
        <w:tc>
          <w:tcPr/>
          <w:p>
            <w:pPr>
              <w:pStyle w:val="TableContents"/>
            </w:pPr>
            <w:r>
              <w:t>1</w:t>
            </w:r>
          </w:p>
        </w:tc>
        <w:tc>
          <w:tcPr/>
          <w:p>
            <w:pPr>
              <w:pStyle w:val="TableContents"/>
            </w:pPr>
            <w:r>
              <w:t>2</w:t>
            </w:r>
          </w:p>
        </w:tc>
      </w:tr>
    </w:tbl>
    <w:p>
      <w:pPr>
        <w:pStyle w:val="Default"/>
      </w:pPr>
    </w:p>
    <w:p>
      <w:pPr>
        <w:pStyle w:val="Heading1Numbered"/>
      </w:pPr>
      <w:r>
        <w:t>4  Physical Segregation</w:t>
      </w:r>
    </w:p>
    <w:p>
      <w:pPr>
        <w:pStyle w:val="NormalNumberedtext"/>
      </w:pPr>
      <w:r>
        <w:t>This section defines the physical segregation standard required between HME, light vehicles, and pedestrians, and the controls that apply where physical segregation is not achievable.</w:t>
      </w:r>
    </w:p>
    <w:p>
      <w:pPr>
        <w:pStyle w:val="Heading2Numbered"/>
      </w:pPr>
      <w:r>
        <w:t>4.1  Segregation Standard</w:t>
      </w:r>
    </w:p>
    <w:p>
      <w:pPr>
        <w:pStyle w:val="NormalNumberedtext"/>
      </w:pPr>
      <w:r>
        <w:t>Physical segregation is the preferred control for all interactions between HME, light vehicles, and pedestrians on this project.</w:t>
      </w:r>
    </w:p>
    <w:p>
      <w:pPr>
        <w:pStyle w:val="NormalNumberedtext"/>
      </w:pPr>
      <w:r>
        <w:t>Physical segregation between plant and mobile equipment (PME), pedestrians, and other vehicles must be installed to an appropriate standard before work in the affected area commences. Segregation infrastructure must be regularly inspected and maintained in good working condition for the life of the work area to which it applies. Barricading and signage standards used to implement physical segregation are governed by RTPR-HSE-PRO-0028.</w:t>
      </w:r>
    </w:p>
    <w:p>
      <w:pPr>
        <w:pStyle w:val="NormalNumberedtext"/>
      </w:pPr>
      <w:r>
        <w:t>Where physical segregation cannot be achieved, the following alternative separation controls must be documented in the TCP and implemented before work commences:</w:t>
      </w:r>
    </w:p>
    <w:p>
      <w:pPr>
        <w:pStyle w:val="NumberedBulletL1"/>
      </w:pPr>
      <w:r>
        <w:t>A minimum 50-metre (160-foot) exclusion zone between HME and any pedestrian or light vehicle, unless positive contact has been established with the HME operator</w:t>
      </w:r>
    </w:p>
    <w:p>
      <w:pPr>
        <w:pStyle w:val="NumberedBulletL1"/>
      </w:pPr>
      <w:r>
        <w:t>Dedicated pedestrian crossings at controlled points only, with clear sightlines and physical delineation</w:t>
      </w:r>
    </w:p>
    <w:p>
      <w:pPr>
        <w:pStyle w:val="NumberedBulletL1"/>
      </w:pPr>
      <w:r>
        <w:t>Positive communication protocols confirmed between all parties before any person or vehicle enters the exclusion zone</w:t>
      </w:r>
    </w:p>
    <w:p>
      <w:pPr>
        <w:pStyle w:val="NumberedBulletL1"/>
      </w:pPr>
      <w:r>
        <w:rPr>
          <w:color w:val="C55A11"/>
        </w:rPr>
        <w:t>A flagging or spotting arrangement supervised by a qualified traffic controller for high-frequency crossing points</w:t>
      </w:r>
    </w:p>
    <w:p>
      <w:pPr>
        <w:pStyle w:val="NormalNumberedtext"/>
      </w:pPr>
      <w:r>
        <w:t>No person approaches HME without first establishing positive contact with the operator. This requirement applies to all vehicle-to-HME and person-to-HME interactions across the project, not only overtaking situations. The operator must acknowledge the approaching party before any movement within the exclusion zone begins.</w:t>
      </w:r>
    </w:p>
    <w:p>
      <w:pPr>
        <w:pStyle w:val="NormalNumberedtext"/>
      </w:pPr>
      <w:r>
        <w:t>Where overtaking of a vehicle is permitted on site, the driver must establish positive contact with the operator of the vehicle being overtaken before any overtaking manoeuvre commences. Overtaking of HME on active haul roads is prohibited unless explicitly permitted in the TMP and a positive communication protocol is in place.</w:t>
      </w:r>
    </w:p>
    <w:p>
      <w:pPr>
        <w:pStyle w:val="Heading2Numbered"/>
      </w:pPr>
      <w:r>
        <w:t>4.2  Vertical Segregation and Elevated Work Areas</w:t>
      </w:r>
    </w:p>
    <w:p>
      <w:pPr>
        <w:pStyle w:val="NormalNumberedtext"/>
      </w:pPr>
      <w:r>
        <w:t>Where simultaneous activities occur at different elevations in the same work area, vertical separation controls must be defined and documented.</w:t>
      </w:r>
    </w:p>
    <w:p>
      <w:pPr>
        <w:pStyle w:val="NormalNumberedtext"/>
      </w:pPr>
      <w:r>
        <w:t>Where concurrent activities are conducted at different elevations within the same work area — including pit benches, ramps, and multi-level structures — the TMP must define the vertical segregation requirements that prevent materials, equipment, or vehicles from entering an occupied zone below. Crane operations that interface with traffic areas are managed in coordination with the Cranes Procedure, refer RTPR-HSE-PRO-0015.</w:t>
      </w:r>
    </w:p>
    <w:p>
      <w:pPr>
        <w:pStyle w:val="NormalNumberedtext"/>
      </w:pPr>
      <w:r>
        <w:t>Vertical segregation controls must address, at minimum, the following:</w:t>
      </w:r>
    </w:p>
    <w:p>
      <w:pPr>
        <w:pStyle w:val="NumberedBulletL1"/>
      </w:pPr>
      <w:r>
        <w:t>Defined exclusion zones beneath elevated work activities, matched to the drop radius of the activity above</w:t>
      </w:r>
    </w:p>
    <w:p>
      <w:pPr>
        <w:pStyle w:val="NumberedBulletL1"/>
      </w:pPr>
      <w:r>
        <w:t>Barriers or berms preventing vehicle encroachment into the exclusion zone from below</w:t>
      </w:r>
    </w:p>
    <w:p>
      <w:pPr>
        <w:pStyle w:val="NumberedBulletL1"/>
      </w:pPr>
      <w:r>
        <w:t>Communication protocol between operators at different elevations before any simultaneous activity commences</w:t>
      </w:r>
    </w:p>
    <w:p>
      <w:pPr>
        <w:pStyle w:val="NumberedBulletL1"/>
      </w:pPr>
      <w:r>
        <w:rPr>
          <w:color w:val="C55A11"/>
        </w:rPr>
        <w:t>A SIMOPS assessment completed before any concurrent elevated and ground-level activity begins in the same vertical envelope</w:t>
      </w:r>
    </w:p>
    <w:p>
      <w:pPr>
        <w:pStyle w:val="Heading1Numbered"/>
      </w:pPr>
      <w:r>
        <w:t>5  Road Design and Maintenance</w:t>
      </w:r>
    </w:p>
    <w:p>
      <w:pPr>
        <w:pStyle w:val="NormalNumberedtext"/>
      </w:pPr>
      <w:r>
        <w:t>This section defines the requirements for road design, construction, inspection, and maintenance, and the controls that govern vehicle interactions on all project roads.</w:t>
      </w:r>
    </w:p>
    <w:p>
      <w:pPr>
        <w:pStyle w:val="Heading2Numbered"/>
      </w:pPr>
      <w:r>
        <w:t>5.1  Road Design and Construction</w:t>
      </w:r>
    </w:p>
    <w:p>
      <w:pPr>
        <w:pStyle w:val="NormalNumberedtext"/>
      </w:pPr>
      <w:r>
        <w:t>All roads on this project must be designed and constructed by a competent person before use by any vehicle.</w:t>
      </w:r>
    </w:p>
    <w:p>
      <w:pPr>
        <w:pStyle w:val="NormalNumberedtext"/>
      </w:pPr>
      <w:r>
        <w:t>Roads must be designed and constructed by a competent person, accounting for the operating characteristics of the full range of vehicles that will use each road. Road design must consider road type, geometry, gradient, and surface condition in relation to the vehicles operating on that road. Vehicle specifications and load classification requirements are governed by the Vehicles Procedure, refer RTPR-HSE-PRO-0026.</w:t>
      </w:r>
    </w:p>
    <w:p>
      <w:pPr>
        <w:pStyle w:val="NormalNumberedtext"/>
      </w:pPr>
      <w:r>
        <w:t>Road design must address the following road types and their associated layout requirements:</w:t>
      </w:r>
    </w:p>
    <w:p>
      <w:pPr>
        <w:pStyle w:val="NumberedBulletL1"/>
      </w:pPr>
      <w:r>
        <w:t>Pit ramps: gradient limits, width, berm or windrow height, and traffic direction rules</w:t>
      </w:r>
    </w:p>
    <w:p>
      <w:pPr>
        <w:pStyle w:val="NumberedBulletL1"/>
      </w:pPr>
      <w:r>
        <w:t>Haul roads: carriageway width relative to the largest operating vehicle, passing provisions, and intersection control</w:t>
      </w:r>
    </w:p>
    <w:p>
      <w:pPr>
        <w:pStyle w:val="NumberedBulletL1"/>
      </w:pPr>
      <w:r>
        <w:t>Load and dump areas: approach geometry, stopping distances, and edge protection</w:t>
      </w:r>
    </w:p>
    <w:p>
      <w:pPr>
        <w:pStyle w:val="NumberedBulletL1"/>
      </w:pPr>
      <w:r>
        <w:t>Plant roads: separation from HME corridors, pedestrian crossing points, and speed controls</w:t>
      </w:r>
    </w:p>
    <w:p>
      <w:pPr>
        <w:pStyle w:val="NumberedBulletL1"/>
      </w:pPr>
      <w:r>
        <w:rPr>
          <w:color w:val="C55A11"/>
        </w:rPr>
        <w:t>Access roads to laydown and accommodation areas: surface standard, drainage, and signage consistent with posted speed limits</w:t>
      </w:r>
    </w:p>
    <w:p>
      <w:pPr>
        <w:pStyle w:val="NormalNumberedtext"/>
      </w:pPr>
      <w:r>
        <w:t>Road layouts must maintain adequate visibility in all directions and must minimise the number of four-way intersections. Where four-way intersections cannot be avoided, they must be controlled by physical traffic management devices or a posted give-way rule documented in the TMP.</w:t>
      </w:r>
    </w:p>
    <w:p>
      <w:pPr>
        <w:pStyle w:val="NormalNumberedtext"/>
      </w:pPr>
      <w:r>
        <w:t>All vehicle activity must be assessed to determine potential interactions between vehicles, pedestrians, and any track or rail operations. Controls must be implemented to prevent inadvertent contact, including physical segregation barriers and clearly designated pedestrian routes that do not cross active vehicle corridors at uncontrolled points.</w:t>
      </w:r>
    </w:p>
    <w:p>
      <w:pPr>
        <w:pStyle w:val="Heading2Numbered"/>
      </w:pPr>
      <w:r>
        <w:t>5.2  Berms and Windrows</w:t>
      </w:r>
    </w:p>
    <w:p>
      <w:pPr>
        <w:pStyle w:val="NormalNumberedtext"/>
      </w:pPr>
      <w:r>
        <w:t>Berms and windrows must be installed at all pit road edges to prevent vehicles from departing the running surface.</w:t>
      </w:r>
    </w:p>
    <w:p>
      <w:pPr>
        <w:pStyle w:val="NormalNumberedtext"/>
      </w:pPr>
      <w:r>
        <w:t>Berms and windrows in pit environments must meet the following minimum requirements:</w:t>
      </w:r>
    </w:p>
    <w:p>
      <w:pPr>
        <w:pStyle w:val="NumberedBulletL1"/>
      </w:pPr>
      <w:r>
        <w:t>Berm height must be at least half the rolling radius of the largest tyre of the vehicle type using that road</w:t>
      </w:r>
    </w:p>
    <w:p>
      <w:pPr>
        <w:pStyle w:val="NumberedBulletL1"/>
      </w:pPr>
      <w:r>
        <w:t>Berms must be constructed of compacted material sufficient to arrest or redirect a vehicle making contact at operating speed</w:t>
      </w:r>
    </w:p>
    <w:p>
      <w:pPr>
        <w:pStyle w:val="NumberedBulletL1"/>
      </w:pPr>
      <w:r>
        <w:t>Windrows must be maintained continuously on the downhill side of all active pit ramps</w:t>
      </w:r>
    </w:p>
    <w:p>
      <w:pPr>
        <w:pStyle w:val="NumberedBulletL1"/>
      </w:pPr>
      <w:r>
        <w:rPr>
          <w:color w:val="C55A11"/>
        </w:rPr>
        <w:t>Berm condition must be inspected at the start of each shift by the road maintenance crew and defects recorded in the road inspection register</w:t>
      </w:r>
    </w:p>
    <w:p>
      <w:pPr>
        <w:pStyle w:val="Heading2Numbered"/>
      </w:pPr>
      <w:r>
        <w:t>5.3  Road Inspection and Maintenance</w:t>
      </w:r>
    </w:p>
    <w:p>
      <w:pPr>
        <w:pStyle w:val="NormalNumberedtext"/>
      </w:pPr>
      <w:r>
        <w:t>A documented road inspection and maintenance schedule must be in place before any road is opened for vehicle use.</w:t>
      </w:r>
    </w:p>
    <w:p>
      <w:pPr>
        <w:pStyle w:val="NormalNumberedtext"/>
      </w:pPr>
      <w:r>
        <w:t>Road inspections must be conducted at the frequency defined in the project road inspection schedule. Inspection findings must be recorded, defects classified by severity, and repair work completed within the response time defined for each defect class. Roads with critical defects must be closed to traffic until the defect is repaired.</w:t>
      </w:r>
    </w:p>
    <w:tbl>
      <w:tblPr>
        <w:tblStyle w:val="TableOption1"/>
        <w:tblW w:type="pct" w:w="5000"/>
      </w:tblPr>
      <w:tr>
        <w:tc>
          <w:tcPr>
            <w:shd w:val="clear" w:color="auto" w:fill="FFF2CC"/>
          </w:tcPr>
          <w:p>
            <w:pPr>
              <w:pStyle w:val="Instructions"/>
            </w:pPr>
            <w:r>
              <w:rPr>
                <w:b/>
                <w:bCs/>
                <w:color w:val="C55A11"/>
              </w:rPr>
              <w:t>PROJECT COMPLETION — ROAD INSPECTION SCHEDULE: Define the road inspection schedule and maintenance standard for this project, including inspection frequency by road type, defect reporting process, and repair response times. Insert or reference the completed schedule in the table below.</w:t>
            </w:r>
          </w:p>
        </w:tc>
      </w:tr>
    </w:tbl>
    <w:p>
      <w:pPr>
        <w:pStyle w:val="Default"/>
      </w:pPr>
    </w:p>
    <w:p>
      <w:pPr>
        <w:pStyle w:val="NormalNumberedtext"/>
      </w:pPr>
      <w:r>
        <w:t>Table: Road Inspection Schedule by Road Type</w:t>
      </w:r>
    </w:p>
    <w:tbl>
      <w:tblPr>
        <w:tblStyle w:val="TableOption2"/>
        <w:tblW w:type="pct" w:w="5000"/>
      </w:tblPr>
      <w:tr>
        <w:trPr>
          <w:tblHeader/>
        </w:trPr>
        <w:tc>
          <w:tcPr>
            <w:shd w:val="clear" w:color="auto" w:fill="1F3864"/>
          </w:tcPr>
          <w:p>
            <w:pPr>
              <w:pStyle w:val="TableContents"/>
            </w:pPr>
            <w:r>
              <w:rPr>
                <w:b/>
                <w:bCs/>
                <w:color w:val="FFFFFF"/>
              </w:rPr>
              <w:t>Road Type</w:t>
            </w:r>
          </w:p>
        </w:tc>
        <w:tc>
          <w:tcPr>
            <w:shd w:val="clear" w:color="auto" w:fill="1F3864"/>
          </w:tcPr>
          <w:p>
            <w:pPr>
              <w:pStyle w:val="TableContents"/>
            </w:pPr>
            <w:r>
              <w:rPr>
                <w:b/>
                <w:bCs/>
                <w:color w:val="FFFFFF"/>
              </w:rPr>
              <w:t>Inspection Frequency</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Critical Defect Response Time</w:t>
            </w:r>
          </w:p>
        </w:tc>
        <w:tc>
          <w:tcPr>
            <w:shd w:val="clear" w:color="auto" w:fill="1F3864"/>
          </w:tcPr>
          <w:p>
            <w:pPr>
              <w:pStyle w:val="TableContents"/>
            </w:pPr>
            <w:r>
              <w:rPr>
                <w:b/>
                <w:bCs/>
                <w:color w:val="FFFFFF"/>
              </w:rPr>
              <w:t>Non-Critical Defect Response Time</w:t>
            </w:r>
          </w:p>
        </w:tc>
      </w:tr>
      <w:tr>
        <w:tc>
          <w:tcPr/>
          <w:p>
            <w:pPr>
              <w:pStyle w:val="TableContents"/>
            </w:pPr>
            <w:r>
              <w:t>Pit ramps</w:t>
            </w:r>
          </w:p>
        </w:tc>
        <w:tc>
          <w:tcPr/>
          <w:p>
            <w:pPr>
              <w:pStyle w:val="TableContents"/>
            </w:pPr>
            <w:r>
              <w:rPr>
                <w:b/>
                <w:bCs/>
                <w:color w:val="0059D1"/>
              </w:rPr>
              <w:t>[INSERT: frequency]</w:t>
            </w:r>
          </w:p>
        </w:tc>
        <w:tc>
          <w:tcPr/>
          <w:p>
            <w:pPr>
              <w:pStyle w:val="TableContents"/>
            </w:pPr>
            <w:r>
              <w:rPr>
                <w:b/>
                <w:bCs/>
                <w:color w:val="0059D1"/>
              </w:rPr>
              <w:t>[INSERT: role]</w:t>
            </w:r>
          </w:p>
        </w:tc>
        <w:tc>
          <w:tcPr/>
          <w:p>
            <w:pPr>
              <w:pStyle w:val="TableContents"/>
            </w:pPr>
            <w:r>
              <w:rPr>
                <w:b/>
                <w:bCs/>
                <w:color w:val="0059D1"/>
              </w:rPr>
              <w:t>[INSERT: time]</w:t>
            </w:r>
          </w:p>
        </w:tc>
        <w:tc>
          <w:tcPr/>
          <w:p>
            <w:pPr>
              <w:pStyle w:val="TableContents"/>
            </w:pPr>
            <w:r>
              <w:rPr>
                <w:b/>
                <w:bCs/>
                <w:color w:val="0059D1"/>
              </w:rPr>
              <w:t>[INSERT: time]</w:t>
            </w:r>
          </w:p>
        </w:tc>
      </w:tr>
      <w:tr>
        <w:tc>
          <w:tcPr/>
          <w:p>
            <w:pPr>
              <w:pStyle w:val="TableContents"/>
            </w:pPr>
            <w:r>
              <w:t>Active haul roads</w:t>
            </w:r>
          </w:p>
        </w:tc>
        <w:tc>
          <w:tcPr/>
          <w:p>
            <w:pPr>
              <w:pStyle w:val="TableContents"/>
            </w:pPr>
            <w:r>
              <w:rPr>
                <w:b/>
                <w:bCs/>
                <w:color w:val="0059D1"/>
              </w:rPr>
              <w:t>[INSERT: frequency]</w:t>
            </w:r>
          </w:p>
        </w:tc>
        <w:tc>
          <w:tcPr/>
          <w:p>
            <w:pPr>
              <w:pStyle w:val="TableContents"/>
            </w:pPr>
            <w:r>
              <w:rPr>
                <w:b/>
                <w:bCs/>
                <w:color w:val="0059D1"/>
              </w:rPr>
              <w:t>[INSERT: role]</w:t>
            </w:r>
          </w:p>
        </w:tc>
        <w:tc>
          <w:tcPr/>
          <w:p>
            <w:pPr>
              <w:pStyle w:val="TableContents"/>
            </w:pPr>
            <w:r>
              <w:rPr>
                <w:b/>
                <w:bCs/>
                <w:color w:val="0059D1"/>
              </w:rPr>
              <w:t>[INSERT: time]</w:t>
            </w:r>
          </w:p>
        </w:tc>
        <w:tc>
          <w:tcPr/>
          <w:p>
            <w:pPr>
              <w:pStyle w:val="TableContents"/>
            </w:pPr>
            <w:r>
              <w:rPr>
                <w:b/>
                <w:bCs/>
                <w:color w:val="0059D1"/>
              </w:rPr>
              <w:t>[INSERT: time]</w:t>
            </w:r>
          </w:p>
        </w:tc>
      </w:tr>
      <w:tr>
        <w:tc>
          <w:tcPr/>
          <w:p>
            <w:pPr>
              <w:pStyle w:val="TableContents"/>
            </w:pPr>
            <w:r>
              <w:t>Plant roads</w:t>
            </w:r>
          </w:p>
        </w:tc>
        <w:tc>
          <w:tcPr/>
          <w:p>
            <w:pPr>
              <w:pStyle w:val="TableContents"/>
            </w:pPr>
            <w:r>
              <w:rPr>
                <w:b/>
                <w:bCs/>
                <w:color w:val="0059D1"/>
              </w:rPr>
              <w:t>[INSERT: frequency]</w:t>
            </w:r>
          </w:p>
        </w:tc>
        <w:tc>
          <w:tcPr/>
          <w:p>
            <w:pPr>
              <w:pStyle w:val="TableContents"/>
            </w:pPr>
            <w:r>
              <w:rPr>
                <w:b/>
                <w:bCs/>
                <w:color w:val="0059D1"/>
              </w:rPr>
              <w:t>[INSERT: role]</w:t>
            </w:r>
          </w:p>
        </w:tc>
        <w:tc>
          <w:tcPr/>
          <w:p>
            <w:pPr>
              <w:pStyle w:val="TableContents"/>
            </w:pPr>
            <w:r>
              <w:rPr>
                <w:b/>
                <w:bCs/>
                <w:color w:val="0059D1"/>
              </w:rPr>
              <w:t>[INSERT: time]</w:t>
            </w:r>
          </w:p>
        </w:tc>
        <w:tc>
          <w:tcPr/>
          <w:p>
            <w:pPr>
              <w:pStyle w:val="TableContents"/>
            </w:pPr>
            <w:r>
              <w:rPr>
                <w:b/>
                <w:bCs/>
                <w:color w:val="0059D1"/>
              </w:rPr>
              <w:t>[INSERT: time]</w:t>
            </w:r>
          </w:p>
        </w:tc>
      </w:tr>
      <w:tr>
        <w:tc>
          <w:tcPr/>
          <w:p>
            <w:pPr>
              <w:pStyle w:val="TableContents"/>
            </w:pPr>
            <w:r>
              <w:t>suggested</w:t>
            </w:r>
          </w:p>
        </w:tc>
        <w:tc>
          <w:tcPr/>
          <w:p>
            <w:pPr>
              <w:pStyle w:val="TableContents"/>
            </w:pPr>
            <w:r>
              <w:t>0</w:t>
            </w:r>
          </w:p>
        </w:tc>
        <w:tc>
          <w:tcPr/>
          <w:p>
            <w:pPr>
              <w:pStyle w:val="TableContents"/>
            </w:pPr>
            <w:r>
              <w:t>1</w:t>
            </w:r>
          </w:p>
        </w:tc>
        <w:tc>
          <w:tcPr/>
          <w:p>
            <w:pPr>
              <w:pStyle w:val="TableContents"/>
            </w:pPr>
            <w:r>
              <w:t>2</w:t>
            </w:r>
          </w:p>
        </w:tc>
        <w:tc>
          <w:tcPr/>
          <w:p>
            <w:pPr>
              <w:pStyle w:val="TableContents"/>
            </w:pPr>
            <w:r>
              <w:t>3</w:t>
            </w:r>
          </w:p>
        </w:tc>
        <w:tc>
          <w:tcPr/>
          <w:p>
            <w:pPr>
              <w:pStyle w:val="TableContents"/>
            </w:pPr>
            <w:r>
              <w:t>4</w:t>
            </w:r>
          </w:p>
        </w:tc>
      </w:tr>
    </w:tbl>
    <w:p>
      <w:pPr>
        <w:pStyle w:val="Default"/>
      </w:pPr>
    </w:p>
    <w:p>
      <w:pPr>
        <w:pStyle w:val="NormalNumberedtext"/>
      </w:pPr>
      <w:r>
        <w:t>Defects identified during inspections must be reported to the responsible supervisor immediately and recorded in the road inspection register. Roads must not be reopened after a critical defect closure until a competent person has confirmed the repair meets the original design standard.</w:t>
      </w:r>
    </w:p>
    <w:p>
      <w:pPr>
        <w:pStyle w:val="Heading1Numbered"/>
      </w:pPr>
      <w:r>
        <w:t>6  Level Crossings</w:t>
      </w:r>
    </w:p>
    <w:p>
      <w:pPr>
        <w:pStyle w:val="NormalNumberedtext"/>
      </w:pPr>
      <w:r>
        <w:t>This section defines the requirements for the design, protection, and management of rail-road level crossings on the project site.</w:t>
      </w:r>
    </w:p>
    <w:p>
      <w:pPr>
        <w:pStyle w:val="NormalNumberedtext"/>
      </w:pPr>
      <w:r>
        <w:t>Where rail lines cross road surfaces on site, level crossings must be designed and managed to minimise the risk of collision between rail vehicles and road users. The number of level crossings must be minimised through road layout decisions made at the design stage. Each crossing that cannot be eliminated must be assessed and controlled before it is opened for use.</w:t>
      </w:r>
    </w:p>
    <w:p>
      <w:pPr>
        <w:pStyle w:val="NormalNumberedtext"/>
      </w:pPr>
      <w:r>
        <w:t>Each level crossing must incorporate the following controls, proportionate to the frequency and speed of rail movements:</w:t>
      </w:r>
    </w:p>
    <w:p>
      <w:pPr>
        <w:pStyle w:val="NumberedBulletL1"/>
      </w:pPr>
      <w:r>
        <w:t>Sufficient sightlines for road users approaching the crossing to observe rail vehicles at a distance adequate for safe stopping</w:t>
      </w:r>
    </w:p>
    <w:p>
      <w:pPr>
        <w:pStyle w:val="NumberedBulletL1"/>
      </w:pPr>
      <w:r>
        <w:t>Active protection in the form of boom gates or flashing warning lights where sightlines cannot be achieved</w:t>
      </w:r>
    </w:p>
    <w:p>
      <w:pPr>
        <w:pStyle w:val="NumberedBulletL1"/>
      </w:pPr>
      <w:r>
        <w:t>Warning signage posted in advance of the crossing on each approach road</w:t>
      </w:r>
    </w:p>
    <w:p>
      <w:pPr>
        <w:pStyle w:val="NumberedBulletL1"/>
      </w:pPr>
      <w:r>
        <w:t>Defined audible warning requirements for rail vehicles approaching the crossing, consistent with the Rail Safety Standard</w:t>
      </w:r>
    </w:p>
    <w:p>
      <w:pPr>
        <w:pStyle w:val="NumberedBulletL1"/>
      </w:pPr>
      <w:r>
        <w:t>A clear zone on each side of the rail line that prevents road vehicles from obstructing the rail corridor</w:t>
      </w:r>
    </w:p>
    <w:p>
      <w:pPr>
        <w:pStyle w:val="NumberedBulletL1"/>
      </w:pPr>
      <w:r>
        <w:rPr>
          <w:color w:val="C55A11"/>
        </w:rPr>
        <w:t>A radio communication protocol between the rail vehicle operator and any traffic controller stationed at the crossing</w:t>
      </w:r>
    </w:p>
    <w:p>
      <w:pPr>
        <w:pStyle w:val="NormalNumberedtext"/>
      </w:pPr>
      <w:r>
        <w:t>Where any of the above requirements cannot be fully met at a specific crossing, a documented mitigation process must be prepared and approved by the HSESC Manager before the crossing is used. The mitigation process must identify the unmet requirement, the risk exposure, and the compensating controls applied.</w:t>
      </w:r>
    </w:p>
    <w:tbl>
      <w:tblPr>
        <w:tblStyle w:val="TableOption1"/>
        <w:tblW w:type="pct" w:w="5000"/>
      </w:tblPr>
      <w:tr>
        <w:tc>
          <w:tcPr>
            <w:shd w:val="clear" w:color="auto" w:fill="FFF2CC"/>
          </w:tcPr>
          <w:p>
            <w:pPr>
              <w:pStyle w:val="Instructions"/>
            </w:pPr>
            <w:r>
              <w:rPr>
                <w:b/>
                <w:bCs/>
                <w:color w:val="C55A11"/>
              </w:rPr>
              <w:t>PROJECT COMPLETION — LEVEL CROSSINGS: If this project has rail level crossings, define the project-specific level crossing management process, including traffic control arrangements during train movements. Insert the crossing register and the management process reference below.</w:t>
            </w:r>
          </w:p>
        </w:tc>
      </w:tr>
    </w:tbl>
    <w:p>
      <w:pPr>
        <w:pStyle w:val="Default"/>
      </w:pPr>
    </w:p>
    <w:p>
      <w:pPr>
        <w:pStyle w:val="NormalNumberedtext"/>
      </w:pPr>
      <w:r>
        <w:rPr>
          <w:b/>
          <w:bCs/>
          <w:color w:val="0059D1"/>
        </w:rPr>
        <w:t>[INSERT: level_crossing_register] — Insert reference to the project level crossing register and management process, or confirm 'No level crossings on this project' if not applicable</w:t>
      </w:r>
    </w:p>
    <w:p>
      <w:pPr>
        <w:pStyle w:val="NormalNumberedtext"/>
      </w:pPr>
      <w:r>
        <w:t>All traffic incidents at level crossings must be reported per project requirements, refer RTPR-HSE-PRO-0009.</w:t>
      </w:r>
    </w:p>
    <w:p>
      <w:pPr>
        <w:pStyle w:val="Heading1Numbered"/>
      </w:pPr>
      <w:r>
        <w:t>7  Mass Transport and SIMOPS Interface</w:t>
      </w:r>
    </w:p>
    <w:p>
      <w:pPr>
        <w:pStyle w:val="NormalNumberedtext"/>
      </w:pPr>
      <w:r>
        <w:t>This section defines traffic management requirements for mass transport vehicle operations and concurrent activities that create a traffic interface with other project operations.</w:t>
      </w:r>
    </w:p>
    <w:p>
      <w:pPr>
        <w:pStyle w:val="Heading2Numbered"/>
      </w:pPr>
      <w:r>
        <w:t>7.1  Mass Transport Vehicle Operations</w:t>
      </w:r>
    </w:p>
    <w:p>
      <w:pPr>
        <w:pStyle w:val="NormalNumberedtext"/>
      </w:pPr>
      <w:r>
        <w:t>Mass transport vehicles operating on this project must meet defined competency, authorisation, safety, and monitoring requirements before use.</w:t>
      </w:r>
    </w:p>
    <w:p>
      <w:pPr>
        <w:pStyle w:val="NormalNumberedtext"/>
      </w:pPr>
      <w:r>
        <w:t>Mass transport vehicles used for personnel movement on this project must be operated by drivers who hold the required licence, have completed project induction, and are formally authorised to operate the specific vehicle type. Driver competency and vehicle specification requirements are governed by the Vehicles Procedure, refer RTPR-HSE-PRO-0026.</w:t>
      </w:r>
    </w:p>
    <w:p>
      <w:pPr>
        <w:pStyle w:val="NormalNumberedtext"/>
      </w:pPr>
      <w:r>
        <w:t>The following requirements apply to all mass transport vehicle operations on this project:</w:t>
      </w:r>
    </w:p>
    <w:p>
      <w:pPr>
        <w:pStyle w:val="NumberedBulletL1"/>
      </w:pPr>
      <w:r>
        <w:t>A Journey Management Plan (JMP) must be completed for all high-risk journeys before departure, consistent with the requirements of the Vehicles Procedure, refer RTPR-HSE-PRO-0026</w:t>
      </w:r>
    </w:p>
    <w:p>
      <w:pPr>
        <w:pStyle w:val="NumberedBulletL1"/>
      </w:pPr>
      <w:r>
        <w:t>All mass transport vehicles must meet the vehicle safety standards defined for this project before being placed into service</w:t>
      </w:r>
    </w:p>
    <w:p>
      <w:pPr>
        <w:pStyle w:val="NumberedBulletL1"/>
      </w:pPr>
      <w:r>
        <w:t>In-vehicle monitoring systems (IVMS) must be fitted and operational on all mass transport vehicles before use on project roads</w:t>
      </w:r>
    </w:p>
    <w:p>
      <w:pPr>
        <w:pStyle w:val="NumberedBulletL1"/>
      </w:pPr>
      <w:r>
        <w:rPr>
          <w:color w:val="C55A11"/>
        </w:rPr>
        <w:t>Fatigue declarations must be completed by mass transport drivers at the start of each journey and reviewed by the supervising role before departure</w:t>
      </w:r>
    </w:p>
    <w:p>
      <w:pPr>
        <w:pStyle w:val="Heading2Numbered"/>
      </w:pPr>
      <w:r>
        <w:t>7.2  Traffic Management in SIMOPS Assessments</w:t>
      </w:r>
    </w:p>
    <w:p>
      <w:pPr>
        <w:pStyle w:val="NormalNumberedtext"/>
      </w:pPr>
      <w:r>
        <w:t>Traffic management must be considered in every SIMOPS assessment where concurrent operations create a traffic interface.</w:t>
      </w:r>
    </w:p>
    <w:p>
      <w:pPr>
        <w:pStyle w:val="NormalNumberedtext"/>
      </w:pPr>
      <w:r>
        <w:t>Traffic management requirements must be identified and documented as part of the SIMOPS assessment process for all concurrent operations that affect road access, create additional vehicle movements, or introduce a new hazard into an existing traffic corridor. The risk assessment process supporting SIMOPS assessments is governed by the Risk Management Procedure, refer RTPR-HSE-PRO-0002.</w:t>
      </w:r>
    </w:p>
    <w:p>
      <w:pPr>
        <w:pStyle w:val="NormalNumberedtext"/>
      </w:pPr>
      <w:r>
        <w:t>The SIMOPS assessment must define how traffic management interfaces with the following concurrent operations, where applicable:</w:t>
      </w:r>
    </w:p>
    <w:p>
      <w:pPr>
        <w:pStyle w:val="NumberedBulletL1"/>
      </w:pPr>
      <w:r>
        <w:t>Blasting: road closures, exclusion zones, and the traffic control sequence for blast clearance and re-entry</w:t>
      </w:r>
    </w:p>
    <w:p>
      <w:pPr>
        <w:pStyle w:val="NumberedBulletL1"/>
      </w:pPr>
      <w:r>
        <w:t>Crane operations: crane swing radii over active roads, road closures during lifts, and the communication protocol between the crane supervisor and traffic controller — refer RTPR-HSE-PRO-0015</w:t>
      </w:r>
    </w:p>
    <w:p>
      <w:pPr>
        <w:pStyle w:val="NumberedBulletL1"/>
      </w:pPr>
      <w:r>
        <w:t>Maintenance activities on active haul roads: lane closures, reduced speed zones, and one-way traffic arrangements</w:t>
      </w:r>
    </w:p>
    <w:p>
      <w:pPr>
        <w:pStyle w:val="NumberedBulletL1"/>
      </w:pPr>
      <w:r>
        <w:rPr>
          <w:color w:val="C55A11"/>
        </w:rPr>
        <w:t>Concurrent earthworks and drilling: access road sharing arrangements and the sequence for vehicle movements in shared corridors</w:t>
      </w:r>
    </w:p>
    <w:p>
      <w:pPr>
        <w:pStyle w:val="NormalNumberedtext"/>
      </w:pPr>
      <w:r>
        <w:t>The TCP must be updated before any SIMOPS activity commences in an area that is subject to an active traffic management control. The relevant supervisor must confirm the updated TCP has been communicated to all affected work groups before the concurrent activity begins.</w:t>
      </w:r>
    </w:p>
    <w:p>
      <w:pPr>
        <w:pStyle w:val="Heading1Numbered"/>
      </w:pPr>
      <w:r>
        <w:t>8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TMP</w:t>
            </w:r>
          </w:p>
        </w:tc>
        <w:tc>
          <w:tcPr/>
          <w:p>
            <w:pPr>
              <w:pStyle w:val="TableContents"/>
            </w:pPr>
            <w:r>
              <w:t>Traffic Management Plan — a documented plan that establishes the overall strategy, controls, roles, responsibilities, and requirements for managing all vehicle and pedestrian movements within a project site or defined area.</w:t>
            </w:r>
          </w:p>
        </w:tc>
      </w:tr>
      <w:tr>
        <w:tc>
          <w:tcPr/>
          <w:p>
            <w:pPr>
              <w:pStyle w:val="TableContents"/>
            </w:pPr>
            <w:r>
              <w:t>TCP</w:t>
            </w:r>
          </w:p>
        </w:tc>
        <w:tc>
          <w:tcPr/>
          <w:p>
            <w:pPr>
              <w:pStyle w:val="TableContents"/>
            </w:pPr>
            <w:r>
              <w:t>Traffic Control Plan — a detailed site-specific plan that defines the physical traffic control measures, signage, signals, and temporary arrangements required to safely manage traffic flow through a defined work zone or construction area.</w:t>
            </w:r>
          </w:p>
        </w:tc>
      </w:tr>
      <w:tr>
        <w:tc>
          <w:tcPr/>
          <w:p>
            <w:pPr>
              <w:pStyle w:val="TableContents"/>
            </w:pPr>
            <w:r>
              <w:t>SIMOPS</w:t>
            </w:r>
          </w:p>
        </w:tc>
        <w:tc>
          <w:tcPr/>
          <w:p>
            <w:pPr>
              <w:pStyle w:val="TableContents"/>
            </w:pPr>
            <w:r>
              <w:t>Simultaneous Operations — the concurrent execution of two or more operational or construction activities in the same geographic area or with shared interfaces that require coordinated management to control associated hazards and risks.</w:t>
            </w:r>
          </w:p>
        </w:tc>
      </w:tr>
      <w:tr>
        <w:tc>
          <w:tcPr/>
          <w:p>
            <w:pPr>
              <w:pStyle w:val="TableContents"/>
            </w:pPr>
            <w:r>
              <w:t>HSE</w:t>
            </w:r>
          </w:p>
        </w:tc>
        <w:tc>
          <w:tcPr/>
          <w:p>
            <w:pPr>
              <w:pStyle w:val="TableContents"/>
            </w:pPr>
            <w:r>
              <w:t>Health, Safety and Environment — the collective disciplines and management framework addressing worker health, workplace safety, and environmental protection obligations.</w:t>
            </w:r>
          </w:p>
        </w:tc>
      </w:tr>
      <w:tr>
        <w:tc>
          <w:tcPr/>
          <w:p>
            <w:pPr>
              <w:pStyle w:val="TableContents"/>
            </w:pPr>
            <w:r>
              <w:t>HSESC</w:t>
            </w:r>
          </w:p>
        </w:tc>
        <w:tc>
          <w:tcPr/>
          <w:p>
            <w:pPr>
              <w:pStyle w:val="TableContents"/>
            </w:pPr>
            <w:r>
              <w:t>Health, Safety, Environment and Social/Community — the integrated management framework encompassing health, safety, environment, and social or community obligations applicable to Rio Tinto owner-led projects.</w:t>
            </w:r>
          </w:p>
        </w:tc>
      </w:tr>
      <w:tr>
        <w:tc>
          <w:tcPr/>
          <w:p>
            <w:pPr>
              <w:pStyle w:val="TableContents"/>
            </w:pPr>
            <w:r>
              <w:t>PRO</w:t>
            </w:r>
          </w:p>
        </w:tc>
        <w:tc>
          <w:tcPr/>
          <w:p>
            <w:pPr>
              <w:pStyle w:val="TableContents"/>
            </w:pPr>
            <w:r>
              <w:t>Procedure — a documented instruction or set of steps that prescribes how a specific activity or process is to be performed to meet defined requirements.</w:t>
            </w:r>
          </w:p>
        </w:tc>
      </w:tr>
      <w:tr>
        <w:tc>
          <w:tcPr/>
          <w:p>
            <w:pPr>
              <w:pStyle w:val="TableContents"/>
            </w:pPr>
            <w:r>
              <w:t>RT</w:t>
            </w:r>
          </w:p>
        </w:tc>
        <w:tc>
          <w:tcPr/>
          <w:p>
            <w:pPr>
              <w:pStyle w:val="TableContents"/>
            </w:pPr>
            <w:r>
              <w:t>Rio Tinto — the global mining and metals company under whose standards, frameworks, and project governance this procedure is issued.</w:t>
            </w:r>
          </w:p>
        </w:tc>
      </w:tr>
      <w:tr>
        <w:tc>
          <w:tcPr/>
          <w:p>
            <w:pPr>
              <w:pStyle w:val="TableContents"/>
            </w:pPr>
            <w:r>
              <w:t>RTPR</w:t>
            </w:r>
          </w:p>
        </w:tc>
        <w:tc>
          <w:tcPr/>
          <w:p>
            <w:pPr>
              <w:pStyle w:val="TableContents"/>
            </w:pPr>
            <w:r>
              <w:t>Rio Tinto Project Requirements — the series of project-level HSE procedural documents governing health, safety, environment, and social management on Rio Tinto owner-led projects.</w:t>
            </w:r>
          </w:p>
        </w:tc>
      </w:tr>
      <w:tr>
        <w:tc>
          <w:tcPr/>
          <w:p>
            <w:pPr>
              <w:pStyle w:val="TableContents"/>
            </w:pPr>
            <w:r>
              <w:t>PPE</w:t>
            </w:r>
          </w:p>
        </w:tc>
        <w:tc>
          <w:tcPr/>
          <w:p>
            <w:pPr>
              <w:pStyle w:val="TableContents"/>
            </w:pPr>
            <w:r>
              <w:t>Personal Protective Equipment — equipment worn or used by a person to minimise exposure to hazards that could cause injury or illness, including high-visibility clothing required within traffic management zones.</w:t>
            </w:r>
          </w:p>
        </w:tc>
      </w:tr>
      <w:tr>
        <w:tc>
          <w:tcPr/>
          <w:p>
            <w:pPr>
              <w:pStyle w:val="TableContents"/>
            </w:pPr>
            <w:r>
              <w:t>LV</w:t>
            </w:r>
          </w:p>
        </w:tc>
        <w:tc>
          <w:tcPr/>
          <w:p>
            <w:pPr>
              <w:pStyle w:val="TableContents"/>
            </w:pPr>
            <w:r>
              <w:t>Light Vehicle — a road-registered motor vehicle with a gross vehicle mass of 4.5 tonnes or less, typically used for personnel transport on project sites.</w:t>
            </w:r>
          </w:p>
        </w:tc>
      </w:tr>
      <w:tr>
        <w:tc>
          <w:tcPr/>
          <w:p>
            <w:pPr>
              <w:pStyle w:val="TableContents"/>
            </w:pPr>
            <w:r>
              <w:t>HV</w:t>
            </w:r>
          </w:p>
        </w:tc>
        <w:tc>
          <w:tcPr/>
          <w:p>
            <w:pPr>
              <w:pStyle w:val="TableContents"/>
            </w:pPr>
            <w:r>
              <w:t>Heavy Vehicle — a motor vehicle or combination vehicle with a gross vehicle mass exceeding 4.5 tonnes, including trucks, haul trucks, and construction plant that interface with site traffic management controls.</w:t>
            </w:r>
          </w:p>
        </w:tc>
      </w:tr>
      <w:tr>
        <w:tc>
          <w:tcPr/>
          <w:p>
            <w:pPr>
              <w:pStyle w:val="TableContents"/>
            </w:pPr>
            <w:r>
              <w:t>GVM</w:t>
            </w:r>
          </w:p>
        </w:tc>
        <w:tc>
          <w:tcPr/>
          <w:p>
            <w:pPr>
              <w:pStyle w:val="TableContents"/>
            </w:pPr>
            <w:r>
              <w:t>Gross Vehicle Mass — the maximum permissible total mass of a vehicle including its own weight plus the maximum load it is designed to carry, as specified by the manufacturer and relevant road authority.</w:t>
            </w:r>
          </w:p>
        </w:tc>
      </w:tr>
      <w:tr>
        <w:tc>
          <w:tcPr/>
          <w:p>
            <w:pPr>
              <w:pStyle w:val="TableContents"/>
            </w:pPr>
            <w:r>
              <w:t>OHS</w:t>
            </w:r>
          </w:p>
        </w:tc>
        <w:tc>
          <w:tcPr/>
          <w:p>
            <w:pPr>
              <w:pStyle w:val="TableContents"/>
            </w:pPr>
            <w:r>
              <w:t>Occupational Health and Safety — the discipline and legislative framework concerned with the safety, health, and welfare of workers in a workplace environment.</w:t>
            </w:r>
          </w:p>
        </w:tc>
      </w:tr>
      <w:tr>
        <w:tc>
          <w:tcPr/>
          <w:p>
            <w:pPr>
              <w:pStyle w:val="TableContents"/>
            </w:pPr>
            <w:r>
              <w:t>WHS</w:t>
            </w:r>
          </w:p>
        </w:tc>
        <w:tc>
          <w:tcPr/>
          <w:p>
            <w:pPr>
              <w:pStyle w:val="TableContents"/>
            </w:pPr>
            <w:r>
              <w:t>Work Health and Safety — the Australian legislative and regulatory framework governing health, safety, and welfare obligations for persons at a workplace.</w:t>
            </w:r>
          </w:p>
        </w:tc>
      </w:tr>
      <w:tr>
        <w:tc>
          <w:tcPr/>
          <w:p>
            <w:pPr>
              <w:pStyle w:val="TableContents"/>
            </w:pPr>
            <w:r>
              <w:t>KPI</w:t>
            </w:r>
          </w:p>
        </w:tc>
        <w:tc>
          <w:tcPr/>
          <w:p>
            <w:pPr>
              <w:pStyle w:val="TableContents"/>
            </w:pPr>
            <w:r>
              <w:t>Key Performance Indicator — a measurable value used to evaluate the effectiveness of traffic management controls and compliance against defined performance targets.</w:t>
            </w:r>
          </w:p>
        </w:tc>
      </w:tr>
      <w:tr>
        <w:tc>
          <w:tcPr/>
          <w:p>
            <w:pPr>
              <w:pStyle w:val="TableContents"/>
            </w:pPr>
            <w:r>
              <w:t>JHA</w:t>
            </w:r>
          </w:p>
        </w:tc>
        <w:tc>
          <w:tcPr/>
          <w:p>
            <w:pPr>
              <w:pStyle w:val="TableContents"/>
            </w:pPr>
            <w:r>
              <w:t>Job Hazard Analysis — a systematic process of identifying hazards associated with specific work tasks, including traffic interface hazards, and determining appropriate controls before work commences.</w:t>
            </w:r>
          </w:p>
        </w:tc>
      </w:tr>
      <w:tr>
        <w:tc>
          <w:tcPr/>
          <w:p>
            <w:pPr>
              <w:pStyle w:val="TableContents"/>
            </w:pPr>
            <w:r>
              <w:t>SWP</w:t>
            </w:r>
          </w:p>
        </w:tc>
        <w:tc>
          <w:tcPr/>
          <w:p>
            <w:pPr>
              <w:pStyle w:val="TableContents"/>
            </w:pPr>
            <w:r>
              <w:t>Safe Work Procedure — a documented step-by-step instruction that describes how a task is to be performed safely, including traffic management requirements for specific work activities.</w:t>
            </w:r>
          </w:p>
        </w:tc>
      </w:tr>
      <w:tr>
        <w:tc>
          <w:tcPr/>
          <w:p>
            <w:pPr>
              <w:pStyle w:val="TableContents"/>
            </w:pPr>
            <w:r>
              <w:t>ICAM</w:t>
            </w:r>
          </w:p>
        </w:tc>
        <w:tc>
          <w:tcPr/>
          <w:p>
            <w:pPr>
              <w:pStyle w:val="TableContents"/>
            </w:pPr>
            <w:r>
              <w:t>Incident Cause Analysis Method — a structured incident investigation methodology used to identify the underlying and root causes of traffic incidents and events on Rio Tinto projects.</w:t>
            </w:r>
          </w:p>
        </w:tc>
      </w:tr>
      <w:tr>
        <w:tc>
          <w:tcPr/>
          <w:p>
            <w:pPr>
              <w:pStyle w:val="TableContents"/>
            </w:pPr>
            <w:r>
              <w:t>MOC</w:t>
            </w:r>
          </w:p>
        </w:tc>
        <w:tc>
          <w:tcPr/>
          <w:p>
            <w:pPr>
              <w:pStyle w:val="TableContents"/>
            </w:pPr>
            <w:r>
              <w:t>Management of Change — a formal process for reviewing, approving, and documenting changes to site conditions, operations, or controls that may affect traffic management arrangements.</w:t>
            </w:r>
          </w:p>
        </w:tc>
      </w:tr>
      <w:tr>
        <w:tc>
          <w:tcPr/>
          <w:p>
            <w:pPr>
              <w:pStyle w:val="TableContents"/>
            </w:pPr>
            <w:r>
              <w:t>PTW</w:t>
            </w:r>
          </w:p>
        </w:tc>
        <w:tc>
          <w:tcPr/>
          <w:p>
            <w:pPr>
              <w:pStyle w:val="TableContents"/>
            </w:pPr>
            <w:r>
              <w:t>Permit to Work — a formal documented authority system that controls high-risk work activities, including those with a traffic interface such as works within active roadways or near level crossings.</w:t>
            </w:r>
          </w:p>
        </w:tc>
      </w:tr>
      <w:tr>
        <w:tc>
          <w:tcPr/>
          <w:p>
            <w:pPr>
              <w:pStyle w:val="TableContents"/>
            </w:pPr>
            <w:r>
              <w:t>RAB</w:t>
            </w:r>
          </w:p>
        </w:tc>
        <w:tc>
          <w:tcPr/>
          <w:p>
            <w:pPr>
              <w:pStyle w:val="TableContents"/>
            </w:pPr>
            <w:r>
              <w:t>Raise-and-Bore — a drilling method referenced in the context of mine site road construction; also used broadly to refer to site-specific road access boring activities that intersect with traffic routes.</w:t>
            </w:r>
          </w:p>
        </w:tc>
      </w:tr>
      <w:tr>
        <w:tc>
          <w:tcPr/>
          <w:p>
            <w:pPr>
              <w:pStyle w:val="TableContents"/>
            </w:pPr>
            <w:r>
              <w:t>CEO</w:t>
            </w:r>
          </w:p>
        </w:tc>
        <w:tc>
          <w:tcPr/>
          <w:p>
            <w:pPr>
              <w:pStyle w:val="TableContents"/>
            </w:pPr>
            <w:r>
              <w:t>Chief Executive Officer — the senior executive accountable for organisational performance, including the establishment of governance and compliance with Rio Tinto safety standards.</w:t>
            </w:r>
          </w:p>
        </w:tc>
      </w:tr>
      <w:tr>
        <w:tc>
          <w:tcPr/>
          <w:p>
            <w:pPr>
              <w:pStyle w:val="TableContents"/>
            </w:pPr>
            <w:r>
              <w:t>BoW</w:t>
            </w:r>
          </w:p>
        </w:tc>
        <w:tc>
          <w:tcPr/>
          <w:p>
            <w:pPr>
              <w:pStyle w:val="TableContents"/>
            </w:pPr>
            <w:r>
              <w:t>Body of Work — the totality of project activities and scope elements that require coordinated traffic management and SIMOPS planning to safely execute.</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9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Vehicles Procedure</w:t>
            </w:r>
          </w:p>
        </w:tc>
        <w:tc>
          <w:tcPr/>
          <w:p>
            <w:pPr>
              <w:pStyle w:val="TableContents"/>
            </w:pPr>
            <w:r>
              <w:t>RTPR-HSE-PRO-0026</w:t>
            </w:r>
          </w:p>
        </w:tc>
        <w:tc>
          <w:tcPr/>
          <w:p>
            <w:pPr>
              <w:pStyle w:val="TableContents"/>
            </w:pPr>
            <w:r>
              <w:t>Internal procedure</w:t>
            </w:r>
          </w:p>
        </w:tc>
      </w:tr>
      <w:tr>
        <w:tc>
          <w:tcPr/>
          <w:p>
            <w:pPr>
              <w:pStyle w:val="TableContents"/>
            </w:pPr>
            <w:r>
              <w:t>Barricading Procedure</w:t>
            </w:r>
          </w:p>
        </w:tc>
        <w:tc>
          <w:tcPr/>
          <w:p>
            <w:pPr>
              <w:pStyle w:val="TableContents"/>
            </w:pPr>
            <w:r>
              <w:t>RTPR-HSE-PRO-0028</w:t>
            </w:r>
          </w:p>
        </w:tc>
        <w:tc>
          <w:tcPr/>
          <w:p>
            <w:pPr>
              <w:pStyle w:val="TableContents"/>
            </w:pPr>
            <w:r>
              <w:t>Internal procedure</w:t>
            </w:r>
          </w:p>
        </w:tc>
      </w:tr>
      <w:tr>
        <w:tc>
          <w:tcPr/>
          <w:p>
            <w:pPr>
              <w:pStyle w:val="TableContents"/>
            </w:pPr>
            <w:r>
              <w:t>Cranes Procedure</w:t>
            </w:r>
          </w:p>
        </w:tc>
        <w:tc>
          <w:tcPr/>
          <w:p>
            <w:pPr>
              <w:pStyle w:val="TableContents"/>
            </w:pPr>
            <w:r>
              <w:t>RTPR-HSE-PRO-0015</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Hazard and Risk Register Requirements</w:t>
            </w:r>
          </w:p>
        </w:tc>
        <w:tc>
          <w:tcPr/>
          <w:p>
            <w:pPr>
              <w:pStyle w:val="TableContents"/>
            </w:pPr>
            <w:r>
              <w:t>RT Risk Management Standard Appendix C C-1</w:t>
            </w:r>
          </w:p>
        </w:tc>
        <w:tc>
          <w:tcPr/>
          <w:p>
            <w:pPr>
              <w:pStyle w:val="TableContents"/>
            </w:pPr>
            <w:r>
              <w:t>External RT</w:t>
            </w:r>
          </w:p>
        </w:tc>
      </w:tr>
      <w:tr>
        <w:tc>
          <w:tcPr/>
          <w:p>
            <w:pPr>
              <w:pStyle w:val="TableContents"/>
            </w:pPr>
            <w:r>
              <w:t>Rio Tinto Health, Safety and Environment Standard</w:t>
            </w:r>
          </w:p>
        </w:tc>
        <w:tc>
          <w:tcPr/>
          <w:p>
            <w:pPr>
              <w:pStyle w:val="TableContents"/>
            </w:pPr>
            <w:r>
              <w:t>RT HSE Standard</w:t>
            </w:r>
          </w:p>
        </w:tc>
        <w:tc>
          <w:tcPr/>
          <w:p>
            <w:pPr>
              <w:pStyle w:val="TableContents"/>
            </w:pPr>
            <w:r>
              <w:t>External RT</w:t>
            </w:r>
          </w:p>
        </w:tc>
      </w:tr>
      <w:tr>
        <w:tc>
          <w:tcPr/>
          <w:p>
            <w:pPr>
              <w:pStyle w:val="TableContents"/>
            </w:pPr>
            <w:r>
              <w:t>Rio Tinto Land Transport Safety Standard</w:t>
            </w:r>
          </w:p>
        </w:tc>
        <w:tc>
          <w:tcPr/>
          <w:p>
            <w:pPr>
              <w:pStyle w:val="TableContents"/>
            </w:pPr>
            <w:r>
              <w:t>RT Land Transport Safety Standard</w:t>
            </w:r>
          </w:p>
        </w:tc>
        <w:tc>
          <w:tcPr/>
          <w:p>
            <w:pPr>
              <w:pStyle w:val="TableContents"/>
            </w:pPr>
            <w:r>
              <w:t>External RT</w:t>
            </w:r>
          </w:p>
        </w:tc>
      </w:tr>
      <w:tr>
        <w:tc>
          <w:tcPr/>
          <w:p>
            <w:pPr>
              <w:pStyle w:val="TableContents"/>
            </w:pPr>
            <w:r>
              <w:t>AS 1742.3 — Manual of Uniform Traffic Control Devices: Traffic Control Devices for Works on Roads</w:t>
            </w:r>
          </w:p>
        </w:tc>
        <w:tc>
          <w:tcPr/>
          <w:p>
            <w:pPr>
              <w:pStyle w:val="TableContents"/>
            </w:pPr>
            <w:r>
              <w:t>AS 1742.3</w:t>
            </w:r>
          </w:p>
        </w:tc>
        <w:tc>
          <w:tcPr/>
          <w:p>
            <w:pPr>
              <w:pStyle w:val="TableContents"/>
            </w:pPr>
            <w:r>
              <w:t>External framework</w:t>
            </w:r>
          </w:p>
        </w:tc>
      </w:tr>
      <w:tr>
        <w:tc>
          <w:tcPr/>
          <w:p>
            <w:pPr>
              <w:pStyle w:val="TableContents"/>
            </w:pPr>
            <w:r>
              <w:t>AS 1742.1 — Manual of Uniform Traffic Control Devices: General Introduction and Index of Signs</w:t>
            </w:r>
          </w:p>
        </w:tc>
        <w:tc>
          <w:tcPr/>
          <w:p>
            <w:pPr>
              <w:pStyle w:val="TableContents"/>
            </w:pPr>
            <w:r>
              <w:t>AS 1742.1</w:t>
            </w:r>
          </w:p>
        </w:tc>
        <w:tc>
          <w:tcPr/>
          <w:p>
            <w:pPr>
              <w:pStyle w:val="TableContents"/>
            </w:pPr>
            <w:r>
              <w:t>External framework</w:t>
            </w:r>
          </w:p>
        </w:tc>
      </w:tr>
      <w:tr>
        <w:tc>
          <w:tcPr/>
          <w:p>
            <w:pPr>
              <w:pStyle w:val="TableContents"/>
            </w:pPr>
            <w:r>
              <w:t>Austroads Guide to Road Design</w:t>
            </w:r>
          </w:p>
        </w:tc>
        <w:tc>
          <w:tcPr/>
          <w:p>
            <w:pPr>
              <w:pStyle w:val="TableContents"/>
            </w:pPr>
            <w:r>
              <w:t>Austroads AGRD Series</w:t>
            </w:r>
          </w:p>
        </w:tc>
        <w:tc>
          <w:tcPr/>
          <w:p>
            <w:pPr>
              <w:pStyle w:val="TableContents"/>
            </w:pPr>
            <w:r>
              <w:t>External framework</w:t>
            </w:r>
          </w:p>
        </w:tc>
      </w:tr>
      <w:tr>
        <w:tc>
          <w:tcPr/>
          <w:p>
            <w:pPr>
              <w:pStyle w:val="TableContents"/>
            </w:pPr>
            <w:r>
              <w:t>Austroads Guide to Traffic Management</w:t>
            </w:r>
          </w:p>
        </w:tc>
        <w:tc>
          <w:tcPr/>
          <w:p>
            <w:pPr>
              <w:pStyle w:val="TableContents"/>
            </w:pPr>
            <w:r>
              <w:t>Austroads AGTM Series</w:t>
            </w:r>
          </w:p>
        </w:tc>
        <w:tc>
          <w:tcPr/>
          <w:p>
            <w:pPr>
              <w:pStyle w:val="TableContents"/>
            </w:pPr>
            <w:r>
              <w:t>External framework</w:t>
            </w:r>
          </w:p>
        </w:tc>
      </w:tr>
      <w:tr>
        <w:tc>
          <w:tcPr/>
          <w:p>
            <w:pPr>
              <w:pStyle w:val="TableContents"/>
            </w:pPr>
            <w:r>
              <w:t>Work Health and Safety Act 2011 (Cth) and applicable State/Territory WHS legislation</w:t>
            </w:r>
          </w:p>
        </w:tc>
        <w:tc>
          <w:tcPr/>
          <w:p>
            <w:pPr>
              <w:pStyle w:val="TableContents"/>
            </w:pPr>
            <w:r>
              <w:t>WHS Act 2011</w:t>
            </w:r>
          </w:p>
        </w:tc>
        <w:tc>
          <w:tcPr/>
          <w:p>
            <w:pPr>
              <w:pStyle w:val="TableContents"/>
            </w:pPr>
            <w:r>
              <w:t>External framework</w:t>
            </w:r>
          </w:p>
        </w:tc>
      </w:tr>
      <w:tr>
        <w:tc>
          <w:tcPr/>
          <w:p>
            <w:pPr>
              <w:pStyle w:val="TableContents"/>
            </w:pPr>
            <w:r>
              <w:t>Work Health and Safety (Managing Risks of Plant in the Workplace) Code of Practice</w:t>
            </w:r>
          </w:p>
        </w:tc>
        <w:tc>
          <w:tcPr/>
          <w:p>
            <w:pPr>
              <w:pStyle w:val="TableContents"/>
            </w:pPr>
            <w:r>
              <w:t>WHS Plant Code of Practice</w:t>
            </w:r>
          </w:p>
        </w:tc>
        <w:tc>
          <w:tcPr/>
          <w:p>
            <w:pPr>
              <w:pStyle w:val="TableContents"/>
            </w:pPr>
            <w:r>
              <w:t>External framework</w:t>
            </w:r>
          </w:p>
        </w:tc>
      </w:tr>
      <w:tr>
        <w:tc>
          <w:tcPr/>
          <w:p>
            <w:pPr>
              <w:pStyle w:val="TableContents"/>
            </w:pPr>
            <w:r>
              <w:t>Heavy Vehicle National Law and Regulations (HVNL)</w:t>
            </w:r>
          </w:p>
        </w:tc>
        <w:tc>
          <w:tcPr/>
          <w:p>
            <w:pPr>
              <w:pStyle w:val="TableContents"/>
            </w:pPr>
            <w:r>
              <w:t>HVNL</w:t>
            </w:r>
          </w:p>
        </w:tc>
        <w:tc>
          <w:tcPr/>
          <w:p>
            <w:pPr>
              <w:pStyle w:val="TableContents"/>
            </w:pPr>
            <w:r>
              <w:t>External framework</w:t>
            </w:r>
          </w:p>
        </w:tc>
      </w:tr>
      <w:tr>
        <w:tc>
          <w:tcPr/>
          <w:p>
            <w:pPr>
              <w:pStyle w:val="TableContents"/>
            </w:pPr>
            <w:r>
              <w:t>Australian Standard AS/NZS ISO 31000 — Risk Management: Guidelines</w:t>
            </w:r>
          </w:p>
        </w:tc>
        <w:tc>
          <w:tcPr/>
          <w:p>
            <w:pPr>
              <w:pStyle w:val="TableContents"/>
            </w:pPr>
            <w:r>
              <w:t>AS/NZS ISO 31000</w:t>
            </w:r>
          </w:p>
        </w:tc>
        <w:tc>
          <w:tcPr/>
          <w:p>
            <w:pPr>
              <w:pStyle w:val="TableContents"/>
            </w:pPr>
            <w:r>
              <w:t>External framework</w:t>
            </w:r>
          </w:p>
        </w:tc>
      </w:tr>
      <w:tr>
        <w:tc>
          <w:tcPr/>
          <w:p>
            <w:pPr>
              <w:pStyle w:val="TableContents"/>
            </w:pPr>
            <w:r>
              <w:t>Rio Tinto Fatal Risk Standard — Land Transport</w:t>
            </w:r>
          </w:p>
        </w:tc>
        <w:tc>
          <w:tcPr/>
          <w:p>
            <w:pPr>
              <w:pStyle w:val="TableContents"/>
            </w:pPr>
            <w:r>
              <w:t>RT Fatal Risk Standard — Land Transport</w:t>
            </w:r>
          </w:p>
        </w:tc>
        <w:tc>
          <w:tcPr/>
          <w:p>
            <w:pPr>
              <w:pStyle w:val="TableContents"/>
            </w:pPr>
            <w:r>
              <w:t>External RT</w:t>
            </w:r>
          </w:p>
        </w:tc>
      </w:tr>
      <w:tr>
        <w:tc>
          <w:tcPr/>
          <w:p>
            <w:pPr>
              <w:pStyle w:val="TableContents"/>
            </w:pPr>
            <w:r>
              <w:t>Rio Tinto Contractor Management Standard</w:t>
            </w:r>
          </w:p>
        </w:tc>
        <w:tc>
          <w:tcPr/>
          <w:p>
            <w:pPr>
              <w:pStyle w:val="TableContents"/>
            </w:pPr>
            <w:r>
              <w:t>RT Contractor Management Standard</w:t>
            </w:r>
          </w:p>
        </w:tc>
        <w:tc>
          <w:tcPr/>
          <w:p>
            <w:pPr>
              <w:pStyle w:val="TableContents"/>
            </w:pPr>
            <w:r>
              <w:t>External RT</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10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11  Source Requirements Traceability (DELETE BEFORE ISSUE)</w:t>
      </w:r>
    </w:p>
    <w:p>
      <w:pPr>
        <w:pStyle w:val="Heading2Numbered"/>
      </w:pPr>
      <w:r>
        <w:t>11.1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C3 – Vehicles and Driving Standard</w:t>
            </w:r>
          </w:p>
        </w:tc>
        <w:tc>
          <w:tcPr/>
          <w:p>
            <w:pPr>
              <w:pStyle w:val="TableContents"/>
            </w:pPr>
            <w:r>
              <w:t>Requires site traffic management planning, physical segregation between PME and pedestrians, competent road design and maintenance, and positive communication protocols for vehicle interactions.</w:t>
            </w:r>
          </w:p>
        </w:tc>
        <w:tc>
          <w:tcPr/>
          <w:p>
            <w:pPr>
              <w:pStyle w:val="TableContents"/>
            </w:pPr>
            <w:r>
              <w:t>Full</w:t>
            </w:r>
          </w:p>
        </w:tc>
      </w:tr>
      <w:tr>
        <w:tc>
          <w:tcPr/>
          <w:p>
            <w:pPr>
              <w:pStyle w:val="TableContents"/>
            </w:pPr>
            <w:r>
              <w:rPr>
                <w:b/>
                <w:bCs/>
                <w:color w:val="0059D1"/>
              </w:rPr>
              <w:t>[INSERT: section]</w:t>
            </w:r>
          </w:p>
        </w:tc>
        <w:tc>
          <w:tcPr/>
          <w:p>
            <w:pPr>
              <w:pStyle w:val="TableContents"/>
            </w:pPr>
            <w:r>
              <w:t>RT Standard RT Rail Safety Standard</w:t>
            </w:r>
          </w:p>
        </w:tc>
        <w:tc>
          <w:tcPr/>
          <w:p>
            <w:pPr>
              <w:pStyle w:val="TableContents"/>
            </w:pPr>
            <w:r>
              <w:t>Requires level crossings where rail lines cross road surfaces to minimise collision risk through visibility, active protection, warning signage, and audible warnings for rail vehicles.</w:t>
            </w:r>
          </w:p>
        </w:tc>
        <w:tc>
          <w:tcPr/>
          <w:p>
            <w:pPr>
              <w:pStyle w:val="TableContents"/>
            </w:pPr>
            <w:r>
              <w:t>Full</w:t>
            </w:r>
          </w:p>
        </w:tc>
      </w:tr>
      <w:tr>
        <w:tc>
          <w:tcPr/>
          <w:p>
            <w:pPr>
              <w:pStyle w:val="TableContents"/>
            </w:pPr>
            <w:r>
              <w:rPr>
                <w:b/>
                <w:bCs/>
                <w:color w:val="0059D1"/>
              </w:rPr>
              <w:t>[INSERT: section]</w:t>
            </w:r>
          </w:p>
        </w:tc>
        <w:tc>
          <w:tcPr/>
          <w:p>
            <w:pPr>
              <w:pStyle w:val="TableContents"/>
            </w:pPr>
            <w:r>
              <w:t>Appendix C C-2 §52.6</w:t>
            </w:r>
          </w:p>
        </w:tc>
        <w:tc>
          <w:tcPr/>
          <w:p>
            <w:pPr>
              <w:pStyle w:val="TableContents"/>
            </w:pPr>
            <w:r>
              <w:t>Requires both the Traffic Management Plan and Traffic Control Plan to be regularly reviewed and updated when site conditions, scope, or equipment fleet change.</w:t>
            </w:r>
          </w:p>
        </w:tc>
        <w:tc>
          <w:tcPr/>
          <w:p>
            <w:pPr>
              <w:pStyle w:val="TableContents"/>
            </w:pPr>
            <w:r>
              <w:t>Full</w:t>
            </w:r>
          </w:p>
        </w:tc>
      </w:tr>
      <w:tr>
        <w:tc>
          <w:tcPr/>
          <w:p>
            <w:pPr>
              <w:pStyle w:val="TableContents"/>
            </w:pPr>
            <w:r>
              <w:rPr>
                <w:b/>
                <w:bCs/>
                <w:color w:val="0059D1"/>
              </w:rPr>
              <w:t>[INSERT: section]</w:t>
            </w:r>
          </w:p>
        </w:tc>
        <w:tc>
          <w:tcPr/>
          <w:p>
            <w:pPr>
              <w:pStyle w:val="TableContents"/>
            </w:pPr>
            <w:r>
              <w:t>Appendix C C-2 §53.1</w:t>
            </w:r>
          </w:p>
        </w:tc>
        <w:tc>
          <w:tcPr/>
          <w:p>
            <w:pPr>
              <w:pStyle w:val="TableContents"/>
            </w:pPr>
            <w:r>
              <w:t>Requires specific operational controls for mass transport vehicles including driver competency, journey management plans, vehicle safety standards, and in-vehicle monitoring systems.</w:t>
            </w:r>
          </w:p>
        </w:tc>
        <w:tc>
          <w:tcPr/>
          <w:p>
            <w:pPr>
              <w:pStyle w:val="TableContents"/>
            </w:pPr>
            <w:r>
              <w:t>Full</w:t>
            </w:r>
          </w:p>
        </w:tc>
      </w:tr>
      <w:tr>
        <w:tc>
          <w:tcPr/>
          <w:p>
            <w:pPr>
              <w:pStyle w:val="TableContents"/>
            </w:pPr>
            <w:r>
              <w:rPr>
                <w:b/>
                <w:bCs/>
                <w:color w:val="0059D1"/>
              </w:rPr>
              <w:t>[INSERT: section]</w:t>
            </w:r>
          </w:p>
        </w:tc>
        <w:tc>
          <w:tcPr/>
          <w:p>
            <w:pPr>
              <w:pStyle w:val="TableContents"/>
            </w:pPr>
            <w:r>
              <w:t>Appendix C C-2 §63</w:t>
            </w:r>
          </w:p>
        </w:tc>
        <w:tc>
          <w:tcPr/>
          <w:p>
            <w:pPr>
              <w:pStyle w:val="TableContents"/>
            </w:pPr>
            <w:r>
              <w:t>Requires traffic management to be integrated into the SIMOPS assessment process and defines how traffic interfaces with blasting, crane, and other concurrent operations.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C-2 §52.6.1</w:t>
            </w:r>
          </w:p>
        </w:tc>
        <w:tc>
          <w:tcPr/>
          <w:p>
            <w:pPr>
              <w:pStyle w:val="TableContents"/>
            </w:pPr>
            <w:r>
              <w:t>Requires assessment of all vehicle activity to determine potential interactions between vehicles, pedestrians, and track or rail operations, with controls to prevent inadvertent contact.</w:t>
            </w:r>
          </w:p>
        </w:tc>
        <w:tc>
          <w:tcPr/>
          <w:p>
            <w:pPr>
              <w:pStyle w:val="TableContents"/>
            </w:pPr>
            <w:r>
              <w:t>Full</w:t>
            </w:r>
          </w:p>
        </w:tc>
      </w:tr>
      <w:tr>
        <w:tc>
          <w:tcPr/>
          <w:p>
            <w:pPr>
              <w:pStyle w:val="TableContents"/>
            </w:pPr>
            <w:r>
              <w:rPr>
                <w:b/>
                <w:bCs/>
                <w:color w:val="0059D1"/>
              </w:rPr>
              <w:t>[INSERT: section]</w:t>
            </w:r>
          </w:p>
        </w:tc>
        <w:tc>
          <w:tcPr/>
          <w:p>
            <w:pPr>
              <w:pStyle w:val="TableContents"/>
            </w:pPr>
            <w:r>
              <w:t>Appendix C C-2 §52.6.2</w:t>
            </w:r>
          </w:p>
        </w:tc>
        <w:tc>
          <w:tcPr/>
          <w:p>
            <w:pPr>
              <w:pStyle w:val="TableContents"/>
            </w:pPr>
            <w:r>
              <w:t>Requires that no vehicle or person approaches heavy mobile equipment without first establishing positive contact with the operator.</w:t>
            </w:r>
          </w:p>
        </w:tc>
        <w:tc>
          <w:tcPr/>
          <w:p>
            <w:pPr>
              <w:pStyle w:val="TableContents"/>
            </w:pPr>
            <w:r>
              <w:t>Full</w:t>
            </w:r>
          </w:p>
        </w:tc>
      </w:tr>
      <w:tr>
        <w:tc>
          <w:tcPr/>
          <w:p>
            <w:pPr>
              <w:pStyle w:val="TableContents"/>
            </w:pPr>
            <w:r>
              <w:rPr>
                <w:b/>
                <w:bCs/>
                <w:color w:val="0059D1"/>
              </w:rPr>
              <w:t>[INSERT: section]</w:t>
            </w:r>
          </w:p>
        </w:tc>
        <w:tc>
          <w:tcPr/>
          <w:p>
            <w:pPr>
              <w:pStyle w:val="TableContents"/>
            </w:pPr>
            <w:r>
              <w:t>Appendix C C-2 §52.6.3</w:t>
            </w:r>
          </w:p>
        </w:tc>
        <w:tc>
          <w:tcPr/>
          <w:p>
            <w:pPr>
              <w:pStyle w:val="TableContents"/>
            </w:pPr>
            <w:r>
              <w:t>Requires the driver to establish positive contact with the operator of the vehicle being overtaken before any overtaking manoeuvre commences where overtaking is permitted on site.</w:t>
            </w:r>
          </w:p>
        </w:tc>
        <w:tc>
          <w:tcPr/>
          <w:p>
            <w:pPr>
              <w:pStyle w:val="TableContents"/>
            </w:pPr>
            <w:r>
              <w:t>Full</w:t>
            </w:r>
          </w:p>
        </w:tc>
      </w:tr>
    </w:tbl>
    <w:p>
      <w:pPr>
        <w:pStyle w:val="Default"/>
      </w:pPr>
    </w:p>
    <w:p>
      <w:pPr>
        <w:pStyle w:val="Heading2Numbered"/>
      </w:pPr>
      <w:r>
        <w:t>11.2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