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Security Management</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Security Management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managing security risks to project personnel, property, information, and the organisation's social licence, including the ethical use of security personnel and compliance with the Voluntary Principles on Security and Human Rights.</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security management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defines the purpose of this procedure, the security management domains within scope, and the relationship between this procedure and the project HSESC management system.</w:t>
      </w:r>
    </w:p>
    <w:p>
      <w:pPr>
        <w:pStyle w:val="Heading2Numbered"/>
      </w:pPr>
      <w:r>
        <w:t>3.1  Purpose of This Document</w:t>
      </w:r>
    </w:p>
    <w:p>
      <w:pPr>
        <w:pStyle w:val="NormalNumberedtext"/>
      </w:pPr>
      <w:r>
        <w:t>This section states the purpose of this procedure and the security requirements it establishes for the project from Execution through to Handover.</w:t>
      </w:r>
    </w:p>
    <w:p>
      <w:pPr>
        <w:pStyle w:val="NormalNumberedtext"/>
      </w:pPr>
      <w:r>
        <w:t>This procedure meets the following purpose requirements:</w:t>
      </w:r>
    </w:p>
    <w:p>
      <w:pPr>
        <w:pStyle w:val="NormalNumberedtext"/>
      </w:pPr>
      <w:r>
        <w:t>This procedure establishes security management requirements for the project, covering:</w:t>
      </w:r>
    </w:p>
    <w:p>
      <w:pPr>
        <w:pStyle w:val="NumberedBulletL1"/>
      </w:pPr>
      <w:r>
        <w:t>The conduct and documentation of the project security risk assessment.</w:t>
      </w:r>
    </w:p>
    <w:p>
      <w:pPr>
        <w:pStyle w:val="NumberedBulletL1"/>
      </w:pPr>
      <w:r>
        <w:t>The development, submission, and maintenance of the Site Security Management Plan.</w:t>
      </w:r>
    </w:p>
    <w:p>
      <w:pPr>
        <w:pStyle w:val="NumberedBulletL1"/>
      </w:pPr>
      <w:r>
        <w:t>The qualification and oversight of security suppliers and armed personnel.</w:t>
      </w:r>
    </w:p>
    <w:p>
      <w:pPr>
        <w:pStyle w:val="NumberedBulletL1"/>
      </w:pPr>
      <w:r>
        <w:t>The training obligations for all security personnel.</w:t>
      </w:r>
    </w:p>
    <w:p>
      <w:pPr>
        <w:pStyle w:val="NumberedBulletL1"/>
      </w:pPr>
      <w:r>
        <w:t>The recording, reporting, and investigation of security incidents.</w:t>
      </w:r>
    </w:p>
    <w:p>
      <w:pPr>
        <w:pStyle w:val="NormalNumberedtext"/>
      </w:pPr>
      <w:r>
        <w:t>This procedure operationalises Rio Tinto Group security requirements and applicable IFC Performance Standards into a documented, project-specific process. It applies to all Rio Tinto project personnel and all contractor organisations engaged on the project.</w:t>
      </w:r>
    </w:p>
    <w:p>
      <w:pPr>
        <w:pStyle w:val="Heading2Numbered"/>
      </w:pPr>
      <w:r>
        <w:t>3.2  Scope of This Document</w:t>
      </w:r>
    </w:p>
    <w:p>
      <w:pPr>
        <w:pStyle w:val="NormalNumberedtext"/>
      </w:pPr>
      <w:r>
        <w:t>This section defines which security management activities and lifecycle phases are governed by this document and how this procedure connects to the wider HSESC system.</w:t>
      </w:r>
    </w:p>
    <w:p>
      <w:pPr>
        <w:pStyle w:val="NormalNumberedtext"/>
      </w:pPr>
      <w:r>
        <w:t>This procedure applies the following scope requirements:</w:t>
      </w:r>
    </w:p>
    <w:p>
      <w:pPr>
        <w:pStyle w:val="NormalNumberedtext"/>
      </w:pPr>
      <w:r>
        <w:t>This procedure governs security management activities across the following project phases and domains:</w:t>
      </w:r>
    </w:p>
    <w:p>
      <w:pPr>
        <w:pStyle w:val="NumberedBulletL1"/>
      </w:pPr>
      <w:r>
        <w:t>Execution, commissioning, and handover phases of the project.</w:t>
      </w:r>
    </w:p>
    <w:p>
      <w:pPr>
        <w:pStyle w:val="NumberedBulletL1"/>
      </w:pPr>
      <w:r>
        <w:t>All work locations, transportation routes, key subcontractors, and supply chain nodes associated with the project.</w:t>
      </w:r>
    </w:p>
    <w:p>
      <w:pPr>
        <w:pStyle w:val="NumberedBulletL1"/>
      </w:pPr>
      <w:r>
        <w:t>All security personnel, whether engaged directly by Rio Tinto or through a contractor organisation.</w:t>
      </w:r>
    </w:p>
    <w:p>
      <w:pPr>
        <w:pStyle w:val="NumberedBulletL1"/>
      </w:pPr>
      <w:r>
        <w:t>Community interface risks arising from security operations conducted on or near the project site.</w:t>
      </w:r>
    </w:p>
    <w:p>
      <w:pPr>
        <w:pStyle w:val="NormalNumberedtext"/>
      </w:pPr>
      <w:r>
        <w:t>Security risk is managed as part of the project risk register in accordance with RTPR-HSE-PRO-0002. Security incidents are reported and investigated in accordance with RTPR-HSE-PRO-0009. Security events that escalate to emergency scenarios are managed in accordance with RTPR-HSE-PRO-0041. Security awareness training is governed by RTPR-HSE-PRO-0004. Security alerts issued as project communications are managed in accordance with RTPR-HSE-PRO-0011.</w:t>
      </w:r>
    </w:p>
    <w:p>
      <w:pPr>
        <w:pStyle w:val="Heading1Numbered"/>
      </w:pPr>
      <w:r>
        <w:t>4  Roles and Responsibilities</w:t>
      </w:r>
    </w:p>
    <w:p>
      <w:pPr>
        <w:pStyle w:val="NormalNumberedtext"/>
      </w:pPr>
      <w:r>
        <w:t>This section defines security management responsibilities for all project roles, covering the Rio Tinto project team and all contractor organisations engaged on the project.</w:t>
      </w:r>
    </w:p>
    <w:p>
      <w:pPr>
        <w:pStyle w:val="NormalNumberedtext"/>
      </w:pPr>
      <w:r>
        <w:t>The following table defines the primary security management responsibilities assigned to each project role. All responsibilities apply from the commencement of site activities through to project handover.</w:t>
      </w:r>
    </w:p>
    <w:p>
      <w:pPr>
        <w:pStyle w:val="NormalNumberedtext"/>
      </w:pPr>
      <w:r>
        <w:t>Table 1: Security Management Roles and Responsibilities</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Responsibility</w:t>
            </w:r>
          </w:p>
        </w:tc>
      </w:tr>
      <w:tr>
        <w:tc>
          <w:tcPr/>
          <w:p>
            <w:pPr>
              <w:pStyle w:val="TableContents"/>
            </w:pPr>
            <w:r>
              <w:t>Project Director</w:t>
            </w:r>
          </w:p>
        </w:tc>
        <w:tc>
          <w:tcPr/>
          <w:p>
            <w:pPr>
              <w:pStyle w:val="TableContents"/>
            </w:pPr>
            <w:r>
              <w:t>Approves the Site Security Management Plan. Provides written approval before any armed security personnel are deployed. Escalates significant security events to the RT Group Security function.</w:t>
            </w:r>
          </w:p>
        </w:tc>
      </w:tr>
      <w:tr>
        <w:tc>
          <w:tcPr/>
          <w:p>
            <w:pPr>
              <w:pStyle w:val="TableContents"/>
            </w:pPr>
            <w:r>
              <w:t>HSESC Manager</w:t>
            </w:r>
          </w:p>
        </w:tc>
        <w:tc>
          <w:tcPr/>
          <w:p>
            <w:pPr>
              <w:pStyle w:val="TableContents"/>
            </w:pPr>
            <w:r>
              <w:t>Oversees the preparation and revalidation of the security risk assessment. Reviews the Site Security Management Plan before submission to the project owner. Monitors security supplier qualification status.</w:t>
            </w:r>
          </w:p>
        </w:tc>
      </w:tr>
      <w:tr>
        <w:tc>
          <w:tcPr/>
          <w:p>
            <w:pPr>
              <w:pStyle w:val="TableContents"/>
            </w:pPr>
            <w:r>
              <w:rPr>
                <w:b/>
                <w:bCs/>
                <w:color w:val="0059D1"/>
              </w:rPr>
              <w:t>[INSERT: Site Security Champion name and position]</w:t>
            </w:r>
          </w:p>
        </w:tc>
        <w:tc>
          <w:tcPr/>
          <w:p>
            <w:pPr>
              <w:pStyle w:val="TableContents"/>
            </w:pPr>
            <w:r>
              <w:rPr>
                <w:b/>
                <w:bCs/>
                <w:color w:val="0059D1"/>
              </w:rPr>
              <w:t>[INSERT: Define escalation responsibilities and contact details for the Site Security Champion, including the escalation pathway to the RT Group Security function.]</w:t>
            </w:r>
          </w:p>
        </w:tc>
      </w:tr>
      <w:tr>
        <w:tc>
          <w:tcPr/>
          <w:p>
            <w:pPr>
              <w:pStyle w:val="TableContents"/>
            </w:pPr>
            <w:r>
              <w:t>Project Manager</w:t>
            </w:r>
          </w:p>
        </w:tc>
        <w:tc>
          <w:tcPr/>
          <w:p>
            <w:pPr>
              <w:pStyle w:val="TableContents"/>
            </w:pPr>
            <w:r>
              <w:t>Ensures security risk assessment outputs are incorporated into the project risk register. Confirms security training obligations are met before personnel are mobilised to site.</w:t>
            </w:r>
          </w:p>
        </w:tc>
      </w:tr>
      <w:tr>
        <w:tc>
          <w:tcPr/>
          <w:p>
            <w:pPr>
              <w:pStyle w:val="TableContents"/>
            </w:pPr>
            <w:r>
              <w:t>Security Supplier Representative</w:t>
            </w:r>
          </w:p>
        </w:tc>
        <w:tc>
          <w:tcPr/>
          <w:p>
            <w:pPr>
              <w:pStyle w:val="TableContents"/>
            </w:pPr>
            <w:r>
              <w:t>Implements the Site Security Management Plan at the workface. Ensures all security personnel hold the required training, licences, and qualifications before commencing duties. Reports all security incidents to the HSESC Manager.</w:t>
            </w:r>
          </w:p>
        </w:tc>
      </w:tr>
      <w:tr>
        <w:tc>
          <w:tcPr/>
          <w:p>
            <w:pPr>
              <w:pStyle w:val="TableContents"/>
            </w:pPr>
            <w:r>
              <w:t>All Personnel</w:t>
            </w:r>
          </w:p>
        </w:tc>
        <w:tc>
          <w:tcPr/>
          <w:p>
            <w:pPr>
              <w:pStyle w:val="TableContents"/>
            </w:pPr>
            <w:r>
              <w:t>Report security incidents and concerns to the Site Security Champion or HSESC Manager. Comply with site security protocols as defined in the Site Security Management Plan.</w:t>
            </w:r>
          </w:p>
        </w:tc>
      </w:tr>
    </w:tbl>
    <w:p>
      <w:pPr>
        <w:pStyle w:val="Default"/>
      </w:pPr>
    </w:p>
    <w:tbl>
      <w:tblPr>
        <w:tblStyle w:val="TableOption1"/>
        <w:tblW w:type="pct" w:w="5000"/>
      </w:tblPr>
      <w:tr>
        <w:tc>
          <w:tcPr>
            <w:shd w:val="clear" w:color="auto" w:fill="FFF2CC"/>
          </w:tcPr>
          <w:p>
            <w:pPr>
              <w:pStyle w:val="Instructions"/>
            </w:pPr>
            <w:r>
              <w:rPr>
                <w:b/>
                <w:bCs/>
                <w:color w:val="C55A11"/>
              </w:rPr>
              <w:t>PROJECT COMPLETION REQUIRED — Identify the Site Security Champion for this project by name and position. Insert contact details in the table above and define the escalation process to the RT Group Security function in the row provided.</w:t>
            </w:r>
          </w:p>
        </w:tc>
      </w:tr>
    </w:tbl>
    <w:p>
      <w:pPr>
        <w:pStyle w:val="Default"/>
      </w:pPr>
    </w:p>
    <w:p>
      <w:pPr>
        <w:pStyle w:val="Heading1Numbered"/>
      </w:pPr>
      <w:r>
        <w:t>5  Security Risk Assessment</w:t>
      </w:r>
    </w:p>
    <w:p>
      <w:pPr>
        <w:pStyle w:val="NormalNumberedtext"/>
      </w:pPr>
      <w:r>
        <w:t>This section defines the requirements for conducting, documenting, and maintaining the project security risk assessment across all work locations and project interfaces.</w:t>
      </w:r>
    </w:p>
    <w:p>
      <w:pPr>
        <w:pStyle w:val="Heading2Numbered"/>
      </w:pPr>
      <w:r>
        <w:t>5.1  Assessment Scope and Conduct</w:t>
      </w:r>
    </w:p>
    <w:p>
      <w:pPr>
        <w:pStyle w:val="NormalNumberedtext"/>
      </w:pPr>
      <w:r>
        <w:t>This section defines the scope, participation requirements, and submission obligations for the project security risk assessment.</w:t>
      </w:r>
    </w:p>
    <w:p>
      <w:pPr>
        <w:pStyle w:val="NormalNumberedtext"/>
      </w:pPr>
      <w:r>
        <w:t>The HSESC Manager ensures a comprehensive security risk assessment is completed for the project. The assessment covers all work locations, transportation routes, key subcontractors, and supply chain nodes associated with the project.</w:t>
      </w:r>
    </w:p>
    <w:p>
      <w:pPr>
        <w:pStyle w:val="NormalNumberedtext"/>
      </w:pPr>
      <w:r>
        <w:t>The security risk assessment must address the following as a minimum:</w:t>
      </w:r>
    </w:p>
    <w:p>
      <w:pPr>
        <w:pStyle w:val="NumberedBulletL1"/>
      </w:pPr>
      <w:r>
        <w:t>Physical security threats to personnel, assets, and infrastructure at all project work locations.</w:t>
      </w:r>
    </w:p>
    <w:p>
      <w:pPr>
        <w:pStyle w:val="NumberedBulletL1"/>
      </w:pPr>
      <w:r>
        <w:t>Security risks associated with transportation routes and logistics movements.</w:t>
      </w:r>
    </w:p>
    <w:p>
      <w:pPr>
        <w:pStyle w:val="NumberedBulletL1"/>
      </w:pPr>
      <w:r>
        <w:t>Security risks arising from key subcontractors and supply chain nodes.</w:t>
      </w:r>
    </w:p>
    <w:p>
      <w:pPr>
        <w:pStyle w:val="NumberedBulletL1"/>
      </w:pPr>
      <w:r>
        <w:t>Community interface risks and potential human rights issues, consistent with the Voluntary Principles on Security and Human Rights.</w:t>
      </w:r>
    </w:p>
    <w:p>
      <w:pPr>
        <w:pStyle w:val="NumberedBulletL1"/>
      </w:pPr>
      <w:r>
        <w:t>The risk of communities being adversely affected by security operations conducted on or near the project site.</w:t>
      </w:r>
    </w:p>
    <w:p>
      <w:pPr>
        <w:pStyle w:val="NumberedBulletL1"/>
      </w:pPr>
      <w:r>
        <w:t>The site security risk classification determined in consultation with the RT Group Security Standard, and any additional requirements applicable to that classification.</w:t>
      </w:r>
    </w:p>
    <w:p>
      <w:pPr>
        <w:pStyle w:val="NormalNumberedtext"/>
      </w:pPr>
      <w:r>
        <w:t>The security risk assessment is conducted with multi-disciplinary participation. The HSESC Manager confirms that representatives from the Community and Social Performance function, the project owner, and any relevant CSP representatives participate in the assessment process.</w:t>
      </w:r>
    </w:p>
    <w:tbl>
      <w:tblPr>
        <w:tblStyle w:val="TableOption1"/>
        <w:tblW w:type="pct" w:w="5000"/>
      </w:tblPr>
      <w:tr>
        <w:tc>
          <w:tcPr>
            <w:shd w:val="clear" w:color="auto" w:fill="FFF2CC"/>
          </w:tcPr>
          <w:p>
            <w:pPr>
              <w:pStyle w:val="Instructions"/>
            </w:pPr>
            <w:r>
              <w:rPr>
                <w:b/>
                <w:bCs/>
                <w:color w:val="C55A11"/>
              </w:rPr>
              <w:t>PROJECT COMPLETION REQUIRED — Complete the security risk assessment for this project and insert or reference the completed assessment below. The completed assessment must be submitted to the project owner within 90 days of the Effective Date.</w:t>
            </w:r>
          </w:p>
        </w:tc>
      </w:tr>
    </w:tbl>
    <w:p>
      <w:pPr>
        <w:pStyle w:val="Default"/>
      </w:pPr>
    </w:p>
    <w:p>
      <w:pPr>
        <w:pStyle w:val="NormalNumberedtext"/>
      </w:pPr>
      <w:r>
        <w:rPr>
          <w:b/>
          <w:bCs/>
          <w:color w:val="0059D1"/>
        </w:rPr>
        <w:t>[INSERT: security_risk_assessment_reference] — Insert the document reference or location of the completed project security risk assessment, or confirm the submission date and document number once complete.</w:t>
      </w:r>
    </w:p>
    <w:p>
      <w:pPr>
        <w:pStyle w:val="Heading2Numbered"/>
      </w:pPr>
      <w:r>
        <w:t>5.2  Documentation and Registration</w:t>
      </w:r>
    </w:p>
    <w:p>
      <w:pPr>
        <w:pStyle w:val="NormalNumberedtext"/>
      </w:pPr>
      <w:r>
        <w:t>This section defines how security risk assessment outputs are documented, registered, and submitted to the project owner.</w:t>
      </w:r>
    </w:p>
    <w:p>
      <w:pPr>
        <w:pStyle w:val="NormalNumberedtext"/>
      </w:pPr>
      <w:r>
        <w:t>The HSESC Manager documents the security risk assessment outcomes and registers them in the project risk register in accordance with RTPR-HSE-PRO-0002. The completed assessment is submitted to the project owner within 90 days of the Effective Date of the contract or project authorisation.</w:t>
      </w:r>
    </w:p>
    <w:p>
      <w:pPr>
        <w:pStyle w:val="NormalNumberedtext"/>
      </w:pPr>
      <w:r>
        <w:t>The HSESC Manager consults the RT Group Security Standard to confirm the site security risk classification and any additional requirements applicable to that classification before finalising the assessment.</w:t>
      </w:r>
    </w:p>
    <w:p>
      <w:pPr>
        <w:pStyle w:val="Heading2Numbered"/>
      </w:pPr>
      <w:r>
        <w:t>5.3  Revalidation and Reassessment</w:t>
      </w:r>
    </w:p>
    <w:p>
      <w:pPr>
        <w:pStyle w:val="NormalNumberedtext"/>
      </w:pPr>
      <w:r>
        <w:t>This section defines the conditions and frequency for revalidation and reassessment of the security risk assessment.</w:t>
      </w:r>
    </w:p>
    <w:p>
      <w:pPr>
        <w:pStyle w:val="NormalNumberedtext"/>
      </w:pPr>
      <w:r>
        <w:t>The HSESC Manager revalidates the security risk assessment on an annual basis. A reassessment is also triggered by the following events:</w:t>
      </w:r>
    </w:p>
    <w:p>
      <w:pPr>
        <w:pStyle w:val="NormalNumberedtext"/>
      </w:pPr>
      <w:r>
        <w:t>A security risk reassessment is initiated when any of the following occur:</w:t>
      </w:r>
    </w:p>
    <w:p>
      <w:pPr>
        <w:pStyle w:val="NumberedBulletL1"/>
      </w:pPr>
      <w:r>
        <w:t>A significant security incident affecting the project or a comparable project in the region.</w:t>
      </w:r>
    </w:p>
    <w:p>
      <w:pPr>
        <w:pStyle w:val="NumberedBulletL1"/>
      </w:pPr>
      <w:r>
        <w:t>A material change to the project scope, work locations, or transportation routes.</w:t>
      </w:r>
    </w:p>
    <w:p>
      <w:pPr>
        <w:pStyle w:val="NumberedBulletL1"/>
      </w:pPr>
      <w:r>
        <w:t>A change in the local security environment, including political, civil, or social instability.</w:t>
      </w:r>
    </w:p>
    <w:p>
      <w:pPr>
        <w:pStyle w:val="NumberedBulletL1"/>
      </w:pPr>
      <w:r>
        <w:t>A change in the security supplier or the nature of security services provided.</w:t>
      </w:r>
    </w:p>
    <w:p>
      <w:pPr>
        <w:pStyle w:val="NumberedBulletL1"/>
      </w:pPr>
      <w:r>
        <w:rPr>
          <w:color w:val="C55A11"/>
        </w:rPr>
        <w:t>A regulatory or legal change affecting security operations in the project jurisdiction.</w:t>
      </w:r>
    </w:p>
    <w:p>
      <w:pPr>
        <w:pStyle w:val="NormalNumberedtext"/>
      </w:pPr>
      <w:r>
        <w:t>The reassessment process follows the same scope, participation, and documentation requirements defined in Section 3.1. The updated assessment is submitted to the project owner within the timeframe agreed with the project owner upon trigger identification.</w:t>
      </w:r>
    </w:p>
    <w:tbl>
      <w:tblPr>
        <w:tblStyle w:val="TableOption1"/>
        <w:tblW w:type="pct" w:w="5000"/>
      </w:tblPr>
      <w:tr>
        <w:tc>
          <w:tcPr>
            <w:shd w:val="clear" w:color="auto" w:fill="FFF2CC"/>
          </w:tcPr>
          <w:p>
            <w:pPr>
              <w:pStyle w:val="Instructions"/>
            </w:pPr>
            <w:r>
              <w:rPr>
                <w:b/>
                <w:bCs/>
                <w:color w:val="C55A11"/>
              </w:rPr>
              <w:t>PROJECT COMPLETION REQUIRED — Define the project-specific community engagement considerations that affect the security approach, including the presence of community members near site, local political context, and heritage site proximity. Insert these details in the field below to ensure the security risk assessment reflects the project's operating environment.</w:t>
            </w:r>
          </w:p>
        </w:tc>
      </w:tr>
    </w:tbl>
    <w:p>
      <w:pPr>
        <w:pStyle w:val="Default"/>
      </w:pPr>
    </w:p>
    <w:p>
      <w:pPr>
        <w:pStyle w:val="NormalNumberedtext"/>
      </w:pPr>
      <w:r>
        <w:rPr>
          <w:b/>
          <w:bCs/>
          <w:color w:val="0059D1"/>
        </w:rPr>
        <w:t>[INSERT: community_security_context] — Describe project-specific community interface factors relevant to the security approach, such as community presence near site, local political context, and heritage or cultural site proximity.</w:t>
      </w:r>
    </w:p>
    <w:p>
      <w:pPr>
        <w:pStyle w:val="Heading1Numbered"/>
      </w:pPr>
      <w:r>
        <w:t>6  Site Security Management Plan</w:t>
      </w:r>
    </w:p>
    <w:p>
      <w:pPr>
        <w:pStyle w:val="NormalNumberedtext"/>
      </w:pPr>
      <w:r>
        <w:t>This section defines the requirements for developing, submitting, and maintaining the Site Security Management Plan based on security risk assessment outcomes.</w:t>
      </w:r>
    </w:p>
    <w:p>
      <w:pPr>
        <w:pStyle w:val="Heading2Numbered"/>
      </w:pPr>
      <w:r>
        <w:t>6.1  Plan Development and Content</w:t>
      </w:r>
    </w:p>
    <w:p>
      <w:pPr>
        <w:pStyle w:val="NormalNumberedtext"/>
      </w:pPr>
      <w:r>
        <w:t>This section defines the minimum content requirements for the Site Security Management Plan and the basis on which it is developed.</w:t>
      </w:r>
    </w:p>
    <w:p>
      <w:pPr>
        <w:pStyle w:val="NormalNumberedtext"/>
      </w:pPr>
      <w:r>
        <w:t>The HSESC Manager oversees the development of the Site Security Management Plan. The plan is based on the outcomes of the security risk assessment and is specific to this project. The plan must not be a generic document reproduced from another project.</w:t>
      </w:r>
    </w:p>
    <w:p>
      <w:pPr>
        <w:pStyle w:val="NormalNumberedtext"/>
      </w:pPr>
      <w:r>
        <w:t>The Site Security Management Plan must include as a minimum:</w:t>
      </w:r>
    </w:p>
    <w:p>
      <w:pPr>
        <w:pStyle w:val="NumberedBulletL1"/>
      </w:pPr>
      <w:r>
        <w:t>The security risks identified in the security risk assessment and the controls assigned to address each risk.</w:t>
      </w:r>
    </w:p>
    <w:p>
      <w:pPr>
        <w:pStyle w:val="NumberedBulletL1"/>
      </w:pPr>
      <w:r>
        <w:t>The control owner responsible for implementing and maintaining each control.</w:t>
      </w:r>
    </w:p>
    <w:p>
      <w:pPr>
        <w:pStyle w:val="NumberedBulletL1"/>
      </w:pPr>
      <w:r>
        <w:t>The process for monitoring control effectiveness and implementing continuous improvement.</w:t>
      </w:r>
    </w:p>
    <w:p>
      <w:pPr>
        <w:pStyle w:val="NumberedBulletL1"/>
      </w:pPr>
      <w:r>
        <w:t>The security training requirements for all security personnel, including human rights and emergency response.</w:t>
      </w:r>
    </w:p>
    <w:p>
      <w:pPr>
        <w:pStyle w:val="NumberedBulletL1"/>
      </w:pPr>
      <w:r>
        <w:t>The protocols for managing community interactions involving security personnel.</w:t>
      </w:r>
    </w:p>
    <w:p>
      <w:pPr>
        <w:pStyle w:val="NumberedBulletL1"/>
      </w:pPr>
      <w:r>
        <w:t>The process for recording, reporting, and investigating security incidents, consistent with RTPR-HSE-PRO-0009.</w:t>
      </w:r>
    </w:p>
    <w:p>
      <w:pPr>
        <w:pStyle w:val="NumberedBulletL1"/>
      </w:pPr>
      <w:r>
        <w:rPr>
          <w:color w:val="C55A11"/>
        </w:rPr>
        <w:t>Site access control procedures, including visitor management and vehicle inspection protocols.</w:t>
      </w:r>
    </w:p>
    <w:p>
      <w:pPr>
        <w:pStyle w:val="NumberedBulletL1"/>
      </w:pPr>
      <w:r>
        <w:rPr>
          <w:color w:val="C55A11"/>
        </w:rPr>
        <w:t>The escalation pathway for security events, including contact details for the RT Group Security function.</w:t>
      </w:r>
    </w:p>
    <w:tbl>
      <w:tblPr>
        <w:tblStyle w:val="TableOption1"/>
        <w:tblW w:type="pct" w:w="5000"/>
      </w:tblPr>
      <w:tr>
        <w:tc>
          <w:tcPr>
            <w:shd w:val="clear" w:color="auto" w:fill="FFF2CC"/>
          </w:tcPr>
          <w:p>
            <w:pPr>
              <w:pStyle w:val="Instructions"/>
            </w:pPr>
            <w:r>
              <w:rPr>
                <w:b/>
                <w:bCs/>
                <w:color w:val="C55A11"/>
              </w:rPr>
              <w:t>PROJECT COMPLETION REQUIRED — Develop the Site Security Management Plan for this project and insert or reference it as Appendix A. The procedure defines the minimum SMP content — the project team develops the plan. The completed SMP must be submitted to the project owner 60 days before commencement of work.</w:t>
            </w:r>
          </w:p>
        </w:tc>
      </w:tr>
    </w:tbl>
    <w:p>
      <w:pPr>
        <w:pStyle w:val="Default"/>
      </w:pPr>
    </w:p>
    <w:p>
      <w:pPr>
        <w:pStyle w:val="NormalNumberedtext"/>
      </w:pPr>
      <w:r>
        <w:rPr>
          <w:b/>
          <w:bCs/>
          <w:color w:val="0059D1"/>
        </w:rPr>
        <w:t>[INSERT: smp_appendix_reference] — Insert the reference to the completed Site Security Management Plan as Appendix A, or confirm the document number and planned submission date.</w:t>
      </w:r>
    </w:p>
    <w:p>
      <w:pPr>
        <w:pStyle w:val="Heading2Numbered"/>
      </w:pPr>
      <w:r>
        <w:t>6.2  Submission and Revalidation</w:t>
      </w:r>
    </w:p>
    <w:p>
      <w:pPr>
        <w:pStyle w:val="NormalNumberedtext"/>
      </w:pPr>
      <w:r>
        <w:t>This section defines the submission timeline and annual revalidation obligations for the Site Security Management Plan.</w:t>
      </w:r>
    </w:p>
    <w:p>
      <w:pPr>
        <w:pStyle w:val="NormalNumberedtext"/>
      </w:pPr>
      <w:r>
        <w:t>The HSESC Manager submits the completed Site Security Management Plan to the project owner no later than 60 days before commencement of site work. The project owner reviews and provides written acknowledgement of the submitted plan before site work commences.</w:t>
      </w:r>
    </w:p>
    <w:p>
      <w:pPr>
        <w:pStyle w:val="NormalNumberedtext"/>
      </w:pPr>
      <w:r>
        <w:t>The HSESC Manager revalidates the Site Security Management Plan on an annual basis. Revalidation confirms that identified risks, assigned controls, and control owners remain current. The revalidated plan is resubmitted to the project owner and stored in</w:t>
      </w:r>
    </w:p>
    <w:p>
      <w:pPr>
        <w:pStyle w:val="NormalNumberedtext"/>
      </w:pPr>
      <w:r>
        <w:rPr>
          <w:b/>
          <w:bCs/>
          <w:color w:val="0059D1"/>
        </w:rPr>
        <w:t>[INSERT: document_management_system] — Insert the name and location of the project document management system where the SMP and revalidation records are stored.</w:t>
      </w:r>
    </w:p>
    <w:p>
      <w:pPr>
        <w:pStyle w:val="Heading1Numbered"/>
      </w:pPr>
      <w:r>
        <w:t>7  Security Suppliers and Armed Personnel</w:t>
      </w:r>
    </w:p>
    <w:p>
      <w:pPr>
        <w:pStyle w:val="NormalNumberedtext"/>
      </w:pPr>
      <w:r>
        <w:t>This section defines the qualification requirements for security suppliers and the approval process for the deployment of armed security personnel on the project.</w:t>
      </w:r>
    </w:p>
    <w:p>
      <w:pPr>
        <w:pStyle w:val="Heading2Numbered"/>
      </w:pPr>
      <w:r>
        <w:t>7.1  Security Supplier Qualification</w:t>
      </w:r>
    </w:p>
    <w:p>
      <w:pPr>
        <w:pStyle w:val="NormalNumberedtext"/>
      </w:pPr>
      <w:r>
        <w:t>This section defines the legal, licensing, and training requirements that security suppliers must satisfy before engagement commences.</w:t>
      </w:r>
    </w:p>
    <w:p>
      <w:pPr>
        <w:pStyle w:val="NormalNumberedtext"/>
      </w:pPr>
      <w:r>
        <w:t>The HSESC Manager confirms that any security supplier engaged on the project is legally authorised to provide security services in the project jurisdiction before engagement commences. Evidence of legal authorisation is documented and retained in the project management system.</w:t>
      </w:r>
    </w:p>
    <w:p>
      <w:pPr>
        <w:pStyle w:val="NormalNumberedtext"/>
      </w:pPr>
      <w:r>
        <w:t>All security suppliers must satisfy the following requirements before commencing work on the project:</w:t>
      </w:r>
    </w:p>
    <w:p>
      <w:pPr>
        <w:pStyle w:val="NumberedBulletL1"/>
      </w:pPr>
      <w:r>
        <w:t>Hold a current licence or registration to provide security services in the jurisdiction, as required by applicable law.</w:t>
      </w:r>
    </w:p>
    <w:p>
      <w:pPr>
        <w:pStyle w:val="NumberedBulletL1"/>
      </w:pPr>
      <w:r>
        <w:t>Ensure all security personnel hold the individual licences and qualifications required by law for the services they provide.</w:t>
      </w:r>
    </w:p>
    <w:p>
      <w:pPr>
        <w:pStyle w:val="NumberedBulletL1"/>
      </w:pPr>
      <w:r>
        <w:t>Demonstrate that all security personnel have completed mandatory training on Security and Human Rights in accordance with the Voluntary Principles on Security and Human Rights.</w:t>
      </w:r>
    </w:p>
    <w:p>
      <w:pPr>
        <w:pStyle w:val="NumberedBulletL1"/>
      </w:pPr>
      <w:r>
        <w:t>Provide evidence of training records to the HSESC Manager before personnel are deployed to the project.</w:t>
      </w:r>
    </w:p>
    <w:p>
      <w:pPr>
        <w:pStyle w:val="NumberedBulletL1"/>
      </w:pPr>
      <w:r>
        <w:rPr>
          <w:color w:val="C55A11"/>
        </w:rPr>
        <w:t>Participate in a pre-mobilisation qualification review conducted by the HSESC Manager before the first personnel are deployed to site.</w:t>
      </w:r>
    </w:p>
    <w:tbl>
      <w:tblPr>
        <w:tblStyle w:val="TableOption1"/>
        <w:tblW w:type="pct" w:w="5000"/>
      </w:tblPr>
      <w:tr>
        <w:tc>
          <w:tcPr>
            <w:shd w:val="clear" w:color="auto" w:fill="FFF2CC"/>
          </w:tcPr>
          <w:p>
            <w:pPr>
              <w:pStyle w:val="Instructions"/>
            </w:pPr>
            <w:r>
              <w:rPr>
                <w:b/>
                <w:bCs/>
                <w:color w:val="C55A11"/>
              </w:rPr>
              <w:t>PROJECT COMPLETION REQUIRED — If security personnel (armed or unarmed) are to be engaged, confirm that the approved security supplier meets all requirements in this section before engagement commences. Document the confirmation and retain the evidence in the project management system.</w:t>
            </w:r>
          </w:p>
        </w:tc>
      </w:tr>
    </w:tbl>
    <w:p>
      <w:pPr>
        <w:pStyle w:val="Default"/>
      </w:pPr>
    </w:p>
    <w:p>
      <w:pPr>
        <w:pStyle w:val="NormalNumberedtext"/>
      </w:pPr>
      <w:r>
        <w:rPr>
          <w:b/>
          <w:bCs/>
          <w:color w:val="0059D1"/>
        </w:rPr>
        <w:t>[INSERT: security_supplier_qualification_confirmation] — Insert the name of the engaged security supplier and confirm the date on which qualification evidence was reviewed and accepted by the HSESC Manager.</w:t>
      </w:r>
    </w:p>
    <w:p>
      <w:pPr>
        <w:pStyle w:val="Heading2Numbered"/>
      </w:pPr>
      <w:r>
        <w:t>7.2  Armed Personnel Approval</w:t>
      </w:r>
    </w:p>
    <w:p>
      <w:pPr>
        <w:pStyle w:val="NormalNumberedtext"/>
      </w:pPr>
      <w:r>
        <w:t>This section defines the conditions under which armed security personnel may be deployed and the approval process that must be completed before deployment.</w:t>
      </w:r>
    </w:p>
    <w:p>
      <w:pPr>
        <w:pStyle w:val="NormalNumberedtext"/>
      </w:pPr>
      <w:r>
        <w:t>Armed security personnel are engaged only as a last resort, after other risk management measures have been assessed and found insufficient to address the identified security threat. This assessment is documented as part of the security risk assessment and referenced in the approval record.</w:t>
      </w:r>
    </w:p>
    <w:p>
      <w:pPr>
        <w:pStyle w:val="NormalNumberedtext"/>
      </w:pPr>
      <w:r>
        <w:t>The Project Director provides prior written approval before any armed security personnel are deployed on the project. No armed personnel may be deployed without this approval. The approval record documents the following:</w:t>
      </w:r>
    </w:p>
    <w:p>
      <w:pPr>
        <w:pStyle w:val="NormalNumberedtext"/>
      </w:pPr>
      <w:r>
        <w:t>The written approval for armed personnel deployment must document:</w:t>
      </w:r>
    </w:p>
    <w:p>
      <w:pPr>
        <w:pStyle w:val="NumberedBulletL1"/>
      </w:pPr>
      <w:r>
        <w:t>The nature of the threat that requires an armed response, referenced to the security risk assessment.</w:t>
      </w:r>
    </w:p>
    <w:p>
      <w:pPr>
        <w:pStyle w:val="NumberedBulletL1"/>
      </w:pPr>
      <w:r>
        <w:t>Evidence that alternative risk management measures were assessed and found insufficient.</w:t>
      </w:r>
    </w:p>
    <w:p>
      <w:pPr>
        <w:pStyle w:val="NumberedBulletL1"/>
      </w:pPr>
      <w:r>
        <w:t>The controls in place to prevent human rights violations arising from the deployment.</w:t>
      </w:r>
    </w:p>
    <w:p>
      <w:pPr>
        <w:pStyle w:val="NumberedBulletL1"/>
      </w:pPr>
      <w:r>
        <w:t>The specific authority providing approval and the date of approval.</w:t>
      </w:r>
    </w:p>
    <w:p>
      <w:pPr>
        <w:pStyle w:val="NumberedBulletL1"/>
      </w:pPr>
      <w:r>
        <w:t>The conditions under which the deployment will be reviewed, modified, or withdrawn.</w:t>
      </w:r>
    </w:p>
    <w:p>
      <w:pPr>
        <w:pStyle w:val="NumberedBulletL1"/>
      </w:pPr>
      <w:r>
        <w:t>Confirmation that the deployment is consistent with the Voluntary Principles on Security and Human Rights.</w:t>
      </w:r>
    </w:p>
    <w:p>
      <w:pPr>
        <w:pStyle w:val="NormalNumberedtext"/>
      </w:pPr>
      <w:r>
        <w:t>The approval record is retained in the project management system and is available to the project owner on request. The HSESC Manager notifies the RT Group Security function of any armed personnel deployment before personnel commence duties.</w:t>
      </w:r>
    </w:p>
    <w:p>
      <w:pPr>
        <w:pStyle w:val="NormalNumberedtext"/>
      </w:pPr>
      <w:r>
        <w:rPr>
          <w:b/>
          <w:bCs/>
          <w:color w:val="0059D1"/>
        </w:rPr>
        <w:t>[INSERT: armed_personnel_approval_record] — Insert the document reference for the armed personnel approval record, or confirm that no armed personnel will be deployed and that this field is not applicable for this project.</w:t>
      </w:r>
    </w:p>
    <w:p>
      <w:pPr>
        <w:pStyle w:val="Heading1Numbered"/>
      </w:pPr>
      <w:r>
        <w:t>8  Training and Incident Management</w:t>
      </w:r>
    </w:p>
    <w:p>
      <w:pPr>
        <w:pStyle w:val="NormalNumberedtext"/>
      </w:pPr>
      <w:r>
        <w:t>This section defines the training obligations for security personnel and the requirements for recording, reporting, and investigating security incidents on the project.</w:t>
      </w:r>
    </w:p>
    <w:p>
      <w:pPr>
        <w:pStyle w:val="Heading2Numbered"/>
      </w:pPr>
      <w:r>
        <w:t>8.1  Security Personnel Training</w:t>
      </w:r>
    </w:p>
    <w:p>
      <w:pPr>
        <w:pStyle w:val="NormalNumberedtext"/>
      </w:pPr>
      <w:r>
        <w:t>This section defines mandatory training requirements for all security personnel before deployment and after significant changes to project security risks.</w:t>
      </w:r>
    </w:p>
    <w:p>
      <w:pPr>
        <w:pStyle w:val="NormalNumberedtext"/>
      </w:pPr>
      <w:r>
        <w:t>The security supplier ensures all security personnel are trained in accordance with the Site Security Management Plan before commencing duties on the project. Training records are provided to the HSESC Manager and retained in the project management system. Refer to RTPR-HSE-PRO-0004 for the project training management requirements that govern the recording and verification of security training.</w:t>
      </w:r>
    </w:p>
    <w:p>
      <w:pPr>
        <w:pStyle w:val="NormalNumberedtext"/>
      </w:pPr>
      <w:r>
        <w:t>All security personnel training must cover as a minimum:</w:t>
      </w:r>
    </w:p>
    <w:p>
      <w:pPr>
        <w:pStyle w:val="NumberedBulletL1"/>
      </w:pPr>
      <w:r>
        <w:t>Human rights obligations and ethical conduct in security operations, in accordance with the Voluntary Principles on Security and Human Rights.</w:t>
      </w:r>
    </w:p>
    <w:p>
      <w:pPr>
        <w:pStyle w:val="NumberedBulletL1"/>
      </w:pPr>
      <w:r>
        <w:t>Emergency response protocols applicable to the project site.</w:t>
      </w:r>
    </w:p>
    <w:p>
      <w:pPr>
        <w:pStyle w:val="NumberedBulletL1"/>
      </w:pPr>
      <w:r>
        <w:t>Community interaction protocols as defined in the Site Security Management Plan.</w:t>
      </w:r>
    </w:p>
    <w:p>
      <w:pPr>
        <w:pStyle w:val="NumberedBulletL1"/>
      </w:pPr>
      <w:r>
        <w:t>The security incident reporting and investigation process applicable to the project.</w:t>
      </w:r>
    </w:p>
    <w:p>
      <w:pPr>
        <w:pStyle w:val="NumberedBulletL1"/>
      </w:pPr>
      <w:r>
        <w:rPr>
          <w:color w:val="C55A11"/>
        </w:rPr>
        <w:t>Use of force standards and the legal framework governing security operations in the project jurisdiction.</w:t>
      </w:r>
    </w:p>
    <w:p>
      <w:pPr>
        <w:pStyle w:val="NormalNumberedtext"/>
      </w:pPr>
      <w:r>
        <w:t>The HSESC Manager initiates refresher training for all affected security personnel when a significant change to the project security risk environment occurs. Significant changes include material updates to the security risk assessment, changes in the local security environment, or the introduction of new community interface activities.</w:t>
      </w:r>
    </w:p>
    <w:p>
      <w:pPr>
        <w:pStyle w:val="NormalNumberedtext"/>
      </w:pPr>
      <w:r>
        <w:t>The security risk assessment conducted under Section 3 includes specific consideration of community interfaces and potential human rights issues, with input from the Community and Social Performance function. This input informs the human rights training content delivered to security personnel. The multi-disciplinary stakeholder group assembled for the security risk assessment includes representatives from the Community and Social Performance function, consistent with the participation requirements defined in Section 3.1.</w:t>
      </w:r>
    </w:p>
    <w:p>
      <w:pPr>
        <w:pStyle w:val="Heading2Numbered"/>
      </w:pPr>
      <w:r>
        <w:t>8.2  Security Incident Management</w:t>
      </w:r>
    </w:p>
    <w:p>
      <w:pPr>
        <w:pStyle w:val="NormalNumberedtext"/>
      </w:pPr>
      <w:r>
        <w:t>This section defines the requirements for recording, reporting, and investigating security incidents and the prohibitions on information-gathering conduct.</w:t>
      </w:r>
    </w:p>
    <w:p>
      <w:pPr>
        <w:pStyle w:val="NormalNumberedtext"/>
      </w:pPr>
      <w:r>
        <w:t>All security incidents are recorded, reported, and investigated per project requirements. Report all incidents and near misses per project requirements, refer RTPR-HSE-PRO-0009. Security incidents that escalate to emergency scenarios are managed in accordance with RTPR-HSE-PRO-0041.</w:t>
      </w:r>
    </w:p>
    <w:p>
      <w:pPr>
        <w:pStyle w:val="NormalNumberedtext"/>
      </w:pPr>
      <w:r>
        <w:t>The following requirements apply to all security incident management activities on the project:</w:t>
      </w:r>
    </w:p>
    <w:p>
      <w:pPr>
        <w:pStyle w:val="NumberedBulletL1"/>
      </w:pPr>
      <w:r>
        <w:t>All security incidents, including use of force events and community grievances arising from security operations, are recorded in the project incident management system.</w:t>
      </w:r>
    </w:p>
    <w:p>
      <w:pPr>
        <w:pStyle w:val="NumberedBulletL1"/>
      </w:pPr>
      <w:r>
        <w:t>Security incidents are investigated using the process defined in RTPR-HSE-PRO-0009, with findings reported to the HSESC Manager and the project owner.</w:t>
      </w:r>
    </w:p>
    <w:p>
      <w:pPr>
        <w:pStyle w:val="NumberedBulletL1"/>
      </w:pPr>
      <w:r>
        <w:t>Covert or clandestine information-gathering activities are prohibited. All information collection related to project security must be legal, ethical, and consistent with applicable privacy legislation.</w:t>
      </w:r>
    </w:p>
    <w:p>
      <w:pPr>
        <w:pStyle w:val="NumberedBulletL1"/>
      </w:pPr>
      <w:r>
        <w:t>All personnel are entitled to report security concerns without fear of reprisal. Concerns are submitted to the Site Security Champion or HSESC Manager.</w:t>
      </w:r>
    </w:p>
    <w:p>
      <w:pPr>
        <w:pStyle w:val="NormalNumberedtext"/>
      </w:pPr>
      <w:r>
        <w:t>The HSESC Manager reviews security incident trends at</w:t>
      </w:r>
    </w:p>
    <w:p>
      <w:pPr>
        <w:pStyle w:val="NormalNumberedtext"/>
      </w:pPr>
      <w:r>
        <w:rPr>
          <w:b/>
          <w:bCs/>
          <w:color w:val="0059D1"/>
        </w:rPr>
        <w:t>[INSERT: security_incident_review_frequency] — Define the frequency at which security incident trends are reviewed, e.g., monthly project HSESC review meetings.</w:t>
      </w:r>
    </w:p>
    <w:p>
      <w:pPr>
        <w:pStyle w:val="NormalNumberedtext"/>
      </w:pPr>
      <w:r>
        <w:t>Trend review outcomes are used to update the Site Security Management Plan and the project risk register, and to identify whether the security risk assessment requires reassessment under the triggers defined in Section 3.3.</w:t>
      </w:r>
    </w:p>
    <w:p>
      <w:pPr>
        <w:pStyle w:val="NormalNumberedtext"/>
      </w:pPr>
      <w:r>
        <w:t>Table 2: Security Incident Reporting and Escalation Requirements</w:t>
      </w:r>
    </w:p>
    <w:tbl>
      <w:tblPr>
        <w:tblStyle w:val="TableOption2"/>
        <w:tblW w:type="pct" w:w="5000"/>
      </w:tblPr>
      <w:tr>
        <w:trPr>
          <w:tblHeader/>
        </w:trPr>
        <w:tc>
          <w:tcPr>
            <w:shd w:val="clear" w:color="auto" w:fill="1F3864"/>
          </w:tcPr>
          <w:p>
            <w:pPr>
              <w:pStyle w:val="TableContents"/>
            </w:pPr>
            <w:r>
              <w:rPr>
                <w:b/>
                <w:bCs/>
                <w:color w:val="FFFFFF"/>
              </w:rPr>
              <w:t>Incident Type</w:t>
            </w:r>
          </w:p>
        </w:tc>
        <w:tc>
          <w:tcPr>
            <w:shd w:val="clear" w:color="auto" w:fill="1F3864"/>
          </w:tcPr>
          <w:p>
            <w:pPr>
              <w:pStyle w:val="TableContents"/>
            </w:pPr>
            <w:r>
              <w:rPr>
                <w:b/>
                <w:bCs/>
                <w:color w:val="FFFFFF"/>
              </w:rPr>
              <w:t>Immediate Notification</w:t>
            </w:r>
          </w:p>
        </w:tc>
        <w:tc>
          <w:tcPr>
            <w:shd w:val="clear" w:color="auto" w:fill="1F3864"/>
          </w:tcPr>
          <w:p>
            <w:pPr>
              <w:pStyle w:val="TableContents"/>
            </w:pPr>
            <w:r>
              <w:rPr>
                <w:b/>
                <w:bCs/>
                <w:color w:val="FFFFFF"/>
              </w:rPr>
              <w:t>Formal Report Timeframe</w:t>
            </w:r>
          </w:p>
        </w:tc>
        <w:tc>
          <w:tcPr>
            <w:shd w:val="clear" w:color="auto" w:fill="1F3864"/>
          </w:tcPr>
          <w:p>
            <w:pPr>
              <w:pStyle w:val="TableContents"/>
            </w:pPr>
            <w:r>
              <w:rPr>
                <w:b/>
                <w:bCs/>
                <w:color w:val="FFFFFF"/>
              </w:rPr>
              <w:t>Investigation Required</w:t>
            </w:r>
          </w:p>
        </w:tc>
      </w:tr>
      <w:tr>
        <w:tc>
          <w:tcPr/>
          <w:p>
            <w:pPr>
              <w:pStyle w:val="TableContents"/>
            </w:pPr>
            <w:r>
              <w:t>Use of force by security personnel</w:t>
            </w:r>
          </w:p>
        </w:tc>
        <w:tc>
          <w:tcPr/>
          <w:p>
            <w:pPr>
              <w:pStyle w:val="TableContents"/>
            </w:pPr>
            <w:r>
              <w:t>Site Security Champion and HSESC Manager</w:t>
            </w:r>
          </w:p>
        </w:tc>
        <w:tc>
          <w:tcPr/>
          <w:p>
            <w:pPr>
              <w:pStyle w:val="TableContents"/>
            </w:pPr>
            <w:r>
              <w:t>Within 24 hours</w:t>
            </w:r>
          </w:p>
        </w:tc>
        <w:tc>
          <w:tcPr/>
          <w:p>
            <w:pPr>
              <w:pStyle w:val="TableContents"/>
            </w:pPr>
            <w:r>
              <w:t>Yes — per RTPR-HSE-PRO-0009</w:t>
            </w:r>
          </w:p>
        </w:tc>
      </w:tr>
      <w:tr>
        <w:tc>
          <w:tcPr/>
          <w:p>
            <w:pPr>
              <w:pStyle w:val="TableContents"/>
            </w:pPr>
            <w:r>
              <w:t>Unauthorised site access</w:t>
            </w:r>
          </w:p>
        </w:tc>
        <w:tc>
          <w:tcPr/>
          <w:p>
            <w:pPr>
              <w:pStyle w:val="TableContents"/>
            </w:pPr>
            <w:r>
              <w:t>Site Security Champion</w:t>
            </w:r>
          </w:p>
        </w:tc>
        <w:tc>
          <w:tcPr/>
          <w:p>
            <w:pPr>
              <w:pStyle w:val="TableContents"/>
            </w:pPr>
            <w:r>
              <w:t>Within 48 hours</w:t>
            </w:r>
          </w:p>
        </w:tc>
        <w:tc>
          <w:tcPr/>
          <w:p>
            <w:pPr>
              <w:pStyle w:val="TableContents"/>
            </w:pPr>
            <w:r>
              <w:t>Yes — where controls were breached</w:t>
            </w:r>
          </w:p>
        </w:tc>
      </w:tr>
      <w:tr>
        <w:tc>
          <w:tcPr/>
          <w:p>
            <w:pPr>
              <w:pStyle w:val="TableContents"/>
            </w:pPr>
            <w:r>
              <w:t>Threat to project personnel</w:t>
            </w:r>
          </w:p>
        </w:tc>
        <w:tc>
          <w:tcPr/>
          <w:p>
            <w:pPr>
              <w:pStyle w:val="TableContents"/>
            </w:pPr>
            <w:r>
              <w:t>HSESC Manager and Project Manager</w:t>
            </w:r>
          </w:p>
        </w:tc>
        <w:tc>
          <w:tcPr/>
          <w:p>
            <w:pPr>
              <w:pStyle w:val="TableContents"/>
            </w:pPr>
            <w:r>
              <w:t>Within 24 hours</w:t>
            </w:r>
          </w:p>
        </w:tc>
        <w:tc>
          <w:tcPr/>
          <w:p>
            <w:pPr>
              <w:pStyle w:val="TableContents"/>
            </w:pPr>
            <w:r>
              <w:t>Yes — per RTPR-HSE-PRO-0009</w:t>
            </w:r>
          </w:p>
        </w:tc>
      </w:tr>
      <w:tr>
        <w:tc>
          <w:tcPr/>
          <w:p>
            <w:pPr>
              <w:pStyle w:val="TableContents"/>
            </w:pPr>
            <w:r>
              <w:t>Community grievance arising from security operations</w:t>
            </w:r>
          </w:p>
        </w:tc>
        <w:tc>
          <w:tcPr/>
          <w:p>
            <w:pPr>
              <w:pStyle w:val="TableContents"/>
            </w:pPr>
            <w:r>
              <w:t>Site Security Champion and Community and Social Performance representative</w:t>
            </w:r>
          </w:p>
        </w:tc>
        <w:tc>
          <w:tcPr/>
          <w:p>
            <w:pPr>
              <w:pStyle w:val="TableContents"/>
            </w:pPr>
            <w:r>
              <w:t>Within 48 hours</w:t>
            </w:r>
          </w:p>
        </w:tc>
        <w:tc>
          <w:tcPr/>
          <w:p>
            <w:pPr>
              <w:pStyle w:val="TableContents"/>
            </w:pPr>
            <w:r>
              <w:t>Yes — joint HSESC and CSP investigation</w:t>
            </w:r>
          </w:p>
        </w:tc>
      </w:tr>
      <w:tr>
        <w:tc>
          <w:tcPr/>
          <w:p>
            <w:pPr>
              <w:pStyle w:val="TableContents"/>
            </w:pPr>
            <w:r>
              <w:rPr>
                <w:b/>
                <w:bCs/>
                <w:color w:val="0059D1"/>
              </w:rPr>
              <w:t>[INSERT: project-specific incident type]</w:t>
            </w:r>
          </w:p>
        </w:tc>
        <w:tc>
          <w:tcPr/>
          <w:p>
            <w:pPr>
              <w:pStyle w:val="TableContents"/>
            </w:pPr>
            <w:r>
              <w:rPr>
                <w:b/>
                <w:bCs/>
                <w:color w:val="0059D1"/>
              </w:rPr>
              <w:t>[INSERT: notification requirement]</w:t>
            </w:r>
          </w:p>
        </w:tc>
        <w:tc>
          <w:tcPr/>
          <w:p>
            <w:pPr>
              <w:pStyle w:val="TableContents"/>
            </w:pPr>
            <w:r>
              <w:rPr>
                <w:b/>
                <w:bCs/>
                <w:color w:val="0059D1"/>
              </w:rPr>
              <w:t>[INSERT: timeframe]</w:t>
            </w:r>
          </w:p>
        </w:tc>
        <w:tc>
          <w:tcPr/>
          <w:p>
            <w:pPr>
              <w:pStyle w:val="TableContents"/>
            </w:pPr>
            <w:r>
              <w:rPr>
                <w:b/>
                <w:bCs/>
                <w:color w:val="0059D1"/>
              </w:rPr>
              <w:t>[INSERT: investigation requirement]</w:t>
            </w:r>
          </w:p>
        </w:tc>
      </w:tr>
    </w:tbl>
    <w:p>
      <w:pPr>
        <w:pStyle w:val="Default"/>
      </w:pPr>
    </w:p>
    <w:p>
      <w:pPr>
        <w:pStyle w:val="Heading1Numbered"/>
      </w:pPr>
      <w:r>
        <w:t>9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Security and Community — the integrated management framework governing all HSESC-related activities on Rio Tinto owner-led projects.</w:t>
            </w:r>
          </w:p>
        </w:tc>
      </w:tr>
      <w:tr>
        <w:tc>
          <w:tcPr/>
          <w:p>
            <w:pPr>
              <w:pStyle w:val="TableContents"/>
            </w:pPr>
            <w:r>
              <w:t>SRA</w:t>
            </w:r>
          </w:p>
        </w:tc>
        <w:tc>
          <w:tcPr/>
          <w:p>
            <w:pPr>
              <w:pStyle w:val="TableContents"/>
            </w:pPr>
            <w:r>
              <w:t>Security Risk Assessment — a structured process to identify, evaluate and treat security threats and vulnerabilities that may affect personnel, assets, information or operations.</w:t>
            </w:r>
          </w:p>
        </w:tc>
      </w:tr>
      <w:tr>
        <w:tc>
          <w:tcPr/>
          <w:p>
            <w:pPr>
              <w:pStyle w:val="TableContents"/>
            </w:pPr>
            <w:r>
              <w:t>SSMP</w:t>
            </w:r>
          </w:p>
        </w:tc>
        <w:tc>
          <w:tcPr/>
          <w:p>
            <w:pPr>
              <w:pStyle w:val="TableContents"/>
            </w:pPr>
            <w:r>
              <w:t>Site Security Management Plan — a site-specific document that defines security controls, procedures, roles and response arrangements for a project site.</w:t>
            </w:r>
          </w:p>
        </w:tc>
      </w:tr>
      <w:tr>
        <w:tc>
          <w:tcPr/>
          <w:p>
            <w:pPr>
              <w:pStyle w:val="TableContents"/>
            </w:pPr>
            <w:r>
              <w:t>RT</w:t>
            </w:r>
          </w:p>
        </w:tc>
        <w:tc>
          <w:tcPr/>
          <w:p>
            <w:pPr>
              <w:pStyle w:val="TableContents"/>
            </w:pPr>
            <w:r>
              <w:t>Rio Tinto — the parent company whose standards, frameworks and policies govern all owner-led project activities.</w:t>
            </w:r>
          </w:p>
        </w:tc>
      </w:tr>
      <w:tr>
        <w:tc>
          <w:tcPr/>
          <w:p>
            <w:pPr>
              <w:pStyle w:val="TableContents"/>
            </w:pPr>
            <w:r>
              <w:t>RTPR</w:t>
            </w:r>
          </w:p>
        </w:tc>
        <w:tc>
          <w:tcPr/>
          <w:p>
            <w:pPr>
              <w:pStyle w:val="TableContents"/>
            </w:pPr>
            <w:r>
              <w:t>Rio Tinto Projects — the project delivery function responsible for managing owner-led capital projects on behalf of Rio Tinto.</w:t>
            </w:r>
          </w:p>
        </w:tc>
      </w:tr>
      <w:tr>
        <w:tc>
          <w:tcPr/>
          <w:p>
            <w:pPr>
              <w:pStyle w:val="TableContents"/>
            </w:pPr>
            <w:r>
              <w:t>HSE</w:t>
            </w:r>
          </w:p>
        </w:tc>
        <w:tc>
          <w:tcPr/>
          <w:p>
            <w:pPr>
              <w:pStyle w:val="TableContents"/>
            </w:pPr>
            <w:r>
              <w:t>Health, Safety and Environment — the discipline encompassing occupational health, safety management and environmental protection on project sites.</w:t>
            </w:r>
          </w:p>
        </w:tc>
      </w:tr>
      <w:tr>
        <w:tc>
          <w:tcPr/>
          <w:p>
            <w:pPr>
              <w:pStyle w:val="TableContents"/>
            </w:pPr>
            <w:r>
              <w:t>PRO</w:t>
            </w:r>
          </w:p>
        </w:tc>
        <w:tc>
          <w:tcPr/>
          <w:p>
            <w:pPr>
              <w:pStyle w:val="TableContents"/>
            </w:pPr>
            <w:r>
              <w:t>Procedure — a controlled document that defines the mandatory steps, responsibilities and requirements for carrying out a specific management activity.</w:t>
            </w:r>
          </w:p>
        </w:tc>
      </w:tr>
      <w:tr>
        <w:tc>
          <w:tcPr/>
          <w:p>
            <w:pPr>
              <w:pStyle w:val="TableContents"/>
            </w:pPr>
            <w:r>
              <w:t>VCA</w:t>
            </w:r>
          </w:p>
        </w:tc>
        <w:tc>
          <w:tcPr/>
          <w:p>
            <w:pPr>
              <w:pStyle w:val="TableContents"/>
            </w:pPr>
            <w:r>
              <w:t>Vulnerability and Criticality Assessment — an analytical technique used within a Security Risk Assessment to determine the susceptibility of assets or operations to security threats.</w:t>
            </w:r>
          </w:p>
        </w:tc>
      </w:tr>
      <w:tr>
        <w:tc>
          <w:tcPr/>
          <w:p>
            <w:pPr>
              <w:pStyle w:val="TableContents"/>
            </w:pPr>
            <w:r>
              <w:t>TRA</w:t>
            </w:r>
          </w:p>
        </w:tc>
        <w:tc>
          <w:tcPr/>
          <w:p>
            <w:pPr>
              <w:pStyle w:val="TableContents"/>
            </w:pPr>
            <w:r>
              <w:t>Threat and Risk Assessment — a component of the Security Risk Assessment process that identifies and evaluates the likelihood and consequence of security-related threats.</w:t>
            </w:r>
          </w:p>
        </w:tc>
      </w:tr>
      <w:tr>
        <w:tc>
          <w:tcPr/>
          <w:p>
            <w:pPr>
              <w:pStyle w:val="TableContents"/>
            </w:pPr>
            <w:r>
              <w:t>PMT</w:t>
            </w:r>
          </w:p>
        </w:tc>
        <w:tc>
          <w:tcPr/>
          <w:p>
            <w:pPr>
              <w:pStyle w:val="TableContents"/>
            </w:pPr>
            <w:r>
              <w:t>Project Management Team — the group of Rio Tinto owner-side personnel responsible for delivering the project, including oversight of security management obligations.</w:t>
            </w:r>
          </w:p>
        </w:tc>
      </w:tr>
      <w:tr>
        <w:tc>
          <w:tcPr/>
          <w:p>
            <w:pPr>
              <w:pStyle w:val="TableContents"/>
            </w:pPr>
            <w:r>
              <w:t>PSO</w:t>
            </w:r>
          </w:p>
        </w:tc>
        <w:tc>
          <w:tcPr/>
          <w:p>
            <w:pPr>
              <w:pStyle w:val="TableContents"/>
            </w:pPr>
            <w:r>
              <w:t>Project Security Officer — the nominated individual within the Project Management Team accountable for implementing and maintaining the Site Security Management Plan.</w:t>
            </w:r>
          </w:p>
        </w:tc>
      </w:tr>
      <w:tr>
        <w:tc>
          <w:tcPr/>
          <w:p>
            <w:pPr>
              <w:pStyle w:val="TableContents"/>
            </w:pPr>
            <w:r>
              <w:t>PSP</w:t>
            </w:r>
          </w:p>
        </w:tc>
        <w:tc>
          <w:tcPr/>
          <w:p>
            <w:pPr>
              <w:pStyle w:val="TableContents"/>
            </w:pPr>
            <w:r>
              <w:t>Private Security Provider — a contracted third-party organisation supplying security services, including guarding and access control, to a project site.</w:t>
            </w:r>
          </w:p>
        </w:tc>
      </w:tr>
      <w:tr>
        <w:tc>
          <w:tcPr/>
          <w:p>
            <w:pPr>
              <w:pStyle w:val="TableContents"/>
            </w:pPr>
            <w:r>
              <w:t>VPs</w:t>
            </w:r>
          </w:p>
        </w:tc>
        <w:tc>
          <w:tcPr/>
          <w:p>
            <w:pPr>
              <w:pStyle w:val="TableContents"/>
            </w:pPr>
            <w:r>
              <w:t>Voluntary Principles — the Voluntary Principles on Security and Human Rights, an international framework guiding the conduct of security operations involving private and public security forces.</w:t>
            </w:r>
          </w:p>
        </w:tc>
      </w:tr>
      <w:tr>
        <w:tc>
          <w:tcPr/>
          <w:p>
            <w:pPr>
              <w:pStyle w:val="TableContents"/>
            </w:pPr>
            <w:r>
              <w:t>VPSHRs</w:t>
            </w:r>
          </w:p>
        </w:tc>
        <w:tc>
          <w:tcPr/>
          <w:p>
            <w:pPr>
              <w:pStyle w:val="TableContents"/>
            </w:pPr>
            <w:r>
              <w:t>Voluntary Principles on Security and Human Rights — a multi-stakeholder initiative that provides guidance to extractive-sector companies on maintaining the safety and security of operations while respecting human rights.</w:t>
            </w:r>
          </w:p>
        </w:tc>
      </w:tr>
      <w:tr>
        <w:tc>
          <w:tcPr/>
          <w:p>
            <w:pPr>
              <w:pStyle w:val="TableContents"/>
            </w:pPr>
            <w:r>
              <w:t>ICoC</w:t>
            </w:r>
          </w:p>
        </w:tc>
        <w:tc>
          <w:tcPr/>
          <w:p>
            <w:pPr>
              <w:pStyle w:val="TableContents"/>
            </w:pPr>
            <w:r>
              <w:t>International Code of Conduct for Private Security Service Providers — a globally recognised standard establishing principles of conduct for private security companies operating in complex environments.</w:t>
            </w:r>
          </w:p>
        </w:tc>
      </w:tr>
      <w:tr>
        <w:tc>
          <w:tcPr/>
          <w:p>
            <w:pPr>
              <w:pStyle w:val="TableContents"/>
            </w:pPr>
            <w:r>
              <w:t>PSA</w:t>
            </w:r>
          </w:p>
        </w:tc>
        <w:tc>
          <w:tcPr/>
          <w:p>
            <w:pPr>
              <w:pStyle w:val="TableContents"/>
            </w:pPr>
            <w:r>
              <w:t>Private Security Agreement — the contractual instrument governing the engagement, conduct and performance standards of a Private Security Provider on a project site.</w:t>
            </w:r>
          </w:p>
        </w:tc>
      </w:tr>
      <w:tr>
        <w:tc>
          <w:tcPr/>
          <w:p>
            <w:pPr>
              <w:pStyle w:val="TableContents"/>
            </w:pPr>
            <w:r>
              <w:t>SOP</w:t>
            </w:r>
          </w:p>
        </w:tc>
        <w:tc>
          <w:tcPr/>
          <w:p>
            <w:pPr>
              <w:pStyle w:val="TableContents"/>
            </w:pPr>
            <w:r>
              <w:t>Standard Operating Procedure — a documented set of step-by-step instructions used by security personnel to carry out routine and emergency security tasks.</w:t>
            </w:r>
          </w:p>
        </w:tc>
      </w:tr>
      <w:tr>
        <w:tc>
          <w:tcPr/>
          <w:p>
            <w:pPr>
              <w:pStyle w:val="TableContents"/>
            </w:pPr>
            <w:r>
              <w:t>ROE</w:t>
            </w:r>
          </w:p>
        </w:tc>
        <w:tc>
          <w:tcPr/>
          <w:p>
            <w:pPr>
              <w:pStyle w:val="TableContents"/>
            </w:pPr>
            <w:r>
              <w:t>Rules of Engagement — clearly defined directives that specify the circumstances and limitations under which security personnel may use force or take other security actions.</w:t>
            </w:r>
          </w:p>
        </w:tc>
      </w:tr>
      <w:tr>
        <w:tc>
          <w:tcPr/>
          <w:p>
            <w:pPr>
              <w:pStyle w:val="TableContents"/>
            </w:pPr>
            <w:r>
              <w:t>UoF</w:t>
            </w:r>
          </w:p>
        </w:tc>
        <w:tc>
          <w:tcPr/>
          <w:p>
            <w:pPr>
              <w:pStyle w:val="TableContents"/>
            </w:pPr>
            <w:r>
              <w:t>Use of Force — the application of physical or coercive measures by security personnel, subject to the Rules of Engagement, legal requirements and human rights obligations.</w:t>
            </w:r>
          </w:p>
        </w:tc>
      </w:tr>
      <w:tr>
        <w:tc>
          <w:tcPr/>
          <w:p>
            <w:pPr>
              <w:pStyle w:val="TableContents"/>
            </w:pPr>
            <w:r>
              <w:t>CCTV</w:t>
            </w:r>
          </w:p>
        </w:tc>
        <w:tc>
          <w:tcPr/>
          <w:p>
            <w:pPr>
              <w:pStyle w:val="TableContents"/>
            </w:pPr>
            <w:r>
              <w:t>Closed-Circuit Television — a video surveillance system used as a physical security control to monitor and record activity in and around project site areas.</w:t>
            </w:r>
          </w:p>
        </w:tc>
      </w:tr>
      <w:tr>
        <w:tc>
          <w:tcPr/>
          <w:p>
            <w:pPr>
              <w:pStyle w:val="TableContents"/>
            </w:pPr>
            <w:r>
              <w:t>ACP</w:t>
            </w:r>
          </w:p>
        </w:tc>
        <w:tc>
          <w:tcPr/>
          <w:p>
            <w:pPr>
              <w:pStyle w:val="TableContents"/>
            </w:pPr>
            <w:r>
              <w:t>Access Control Point — a designated location on a project site where the entry and exit of personnel and vehicles is monitored, screened and controlled.</w:t>
            </w:r>
          </w:p>
        </w:tc>
      </w:tr>
      <w:tr>
        <w:tc>
          <w:tcPr/>
          <w:p>
            <w:pPr>
              <w:pStyle w:val="TableContents"/>
            </w:pPr>
            <w:r>
              <w:t>KPI</w:t>
            </w:r>
          </w:p>
        </w:tc>
        <w:tc>
          <w:tcPr/>
          <w:p>
            <w:pPr>
              <w:pStyle w:val="TableContents"/>
            </w:pPr>
            <w:r>
              <w:t>Key Performance Indicator — a quantifiable measure used to evaluate the effectiveness and performance of security management activities against defined targets.</w:t>
            </w:r>
          </w:p>
        </w:tc>
      </w:tr>
      <w:tr>
        <w:tc>
          <w:tcPr/>
          <w:p>
            <w:pPr>
              <w:pStyle w:val="TableContents"/>
            </w:pPr>
            <w:r>
              <w:t>BCP</w:t>
            </w:r>
          </w:p>
        </w:tc>
        <w:tc>
          <w:tcPr/>
          <w:p>
            <w:pPr>
              <w:pStyle w:val="TableContents"/>
            </w:pPr>
            <w:r>
              <w:t>Business Continuity Plan — a plan that outlines procedures and resources required to ensure the continuity of critical project operations following a disruptive security event.</w:t>
            </w:r>
          </w:p>
        </w:tc>
      </w:tr>
      <w:tr>
        <w:tc>
          <w:tcPr/>
          <w:p>
            <w:pPr>
              <w:pStyle w:val="TableContents"/>
            </w:pPr>
            <w:r>
              <w:t>ERP</w:t>
            </w:r>
          </w:p>
        </w:tc>
        <w:tc>
          <w:tcPr/>
          <w:p>
            <w:pPr>
              <w:pStyle w:val="TableContents"/>
            </w:pPr>
            <w:r>
              <w:t>Emergency Response Plan — a document specifying the actions, roles and resources required to respond to emergency scenarios, including those arising from security incidents.</w:t>
            </w:r>
          </w:p>
        </w:tc>
      </w:tr>
      <w:tr>
        <w:tc>
          <w:tcPr/>
          <w:p>
            <w:pPr>
              <w:pStyle w:val="TableContents"/>
            </w:pPr>
            <w:r>
              <w:t>SIRT</w:t>
            </w:r>
          </w:p>
        </w:tc>
        <w:tc>
          <w:tcPr/>
          <w:p>
            <w:pPr>
              <w:pStyle w:val="TableContents"/>
            </w:pPr>
            <w:r>
              <w:t>Security Incident Response Team — the designated group of personnel responsible for coordinating the immediate response to and investigation of security incidents on a project site.</w:t>
            </w:r>
          </w:p>
        </w:tc>
      </w:tr>
      <w:tr>
        <w:tc>
          <w:tcPr/>
          <w:p>
            <w:pPr>
              <w:pStyle w:val="TableContents"/>
            </w:pPr>
            <w:r>
              <w:t>HRIS</w:t>
            </w:r>
          </w:p>
        </w:tc>
        <w:tc>
          <w:tcPr/>
          <w:p>
            <w:pPr>
              <w:pStyle w:val="TableContents"/>
            </w:pPr>
            <w:r>
              <w:t>Human Resources Information System — the information management system used to maintain personnel records, including security clearance status and training completion data.</w:t>
            </w:r>
          </w:p>
        </w:tc>
      </w:tr>
      <w:tr>
        <w:tc>
          <w:tcPr/>
          <w:p>
            <w:pPr>
              <w:pStyle w:val="TableContents"/>
            </w:pPr>
            <w:r>
              <w:t>MOU</w:t>
            </w:r>
          </w:p>
        </w:tc>
        <w:tc>
          <w:tcPr/>
          <w:p>
            <w:pPr>
              <w:pStyle w:val="TableContents"/>
            </w:pPr>
            <w:r>
              <w:t>Memorandum of Understanding — a formal agreement between Rio Tinto and public security forces or government agencies that defines the terms of cooperation and engagement on security matters.</w:t>
            </w:r>
          </w:p>
        </w:tc>
      </w:tr>
      <w:tr>
        <w:tc>
          <w:tcPr/>
          <w:p>
            <w:pPr>
              <w:pStyle w:val="TableContents"/>
            </w:pPr>
            <w:r>
              <w:t>LMA</w:t>
            </w:r>
          </w:p>
        </w:tc>
        <w:tc>
          <w:tcPr/>
          <w:p>
            <w:pPr>
              <w:pStyle w:val="TableContents"/>
            </w:pPr>
            <w:r>
              <w:t>Local Management Authority — the government or regulatory body with jurisdictional oversight of security operations and licensing requirements at the project location.</w:t>
            </w:r>
          </w:p>
        </w:tc>
      </w:tr>
      <w:tr>
        <w:tc>
          <w:tcPr/>
          <w:p>
            <w:pPr>
              <w:pStyle w:val="TableContents"/>
            </w:pPr>
            <w:r>
              <w:t>LSMS</w:t>
            </w:r>
          </w:p>
        </w:tc>
        <w:tc>
          <w:tcPr/>
          <w:p>
            <w:pPr>
              <w:pStyle w:val="TableContents"/>
            </w:pPr>
            <w:r>
              <w:t>London Statement on Mine Safety — the international commitment framework referenced in Rio Tinto's approach to safety and security management at operational sites.</w:t>
            </w:r>
          </w:p>
        </w:tc>
      </w:tr>
      <w:tr>
        <w:tc>
          <w:tcPr/>
          <w:p>
            <w:pPr>
              <w:pStyle w:val="TableContents"/>
            </w:pPr>
            <w:r>
              <w:t>GCR</w:t>
            </w:r>
          </w:p>
        </w:tc>
        <w:tc>
          <w:tcPr/>
          <w:p>
            <w:pPr>
              <w:pStyle w:val="TableContents"/>
            </w:pPr>
            <w:r>
              <w:t>Global Control Room — Rio Tinto's centralised monitoring and coordination facility that receives security alerts, incident notifications and escalations from project sites globally.</w:t>
            </w:r>
          </w:p>
        </w:tc>
      </w:tr>
      <w:tr>
        <w:tc>
          <w:tcPr/>
          <w:p>
            <w:pPr>
              <w:pStyle w:val="TableContents"/>
            </w:pPr>
            <w:r>
              <w:t>RTSS</w:t>
            </w:r>
          </w:p>
        </w:tc>
        <w:tc>
          <w:tcPr/>
          <w:p>
            <w:pPr>
              <w:pStyle w:val="TableContents"/>
            </w:pPr>
            <w:r>
              <w:t>Rio Tinto Security Standard — the corporate standard issued by Rio Tinto that establishes mandatory minimum requirements for security management across all operations and projects.</w:t>
            </w:r>
          </w:p>
        </w:tc>
      </w:tr>
      <w:tr>
        <w:tc>
          <w:tcPr/>
          <w:p>
            <w:pPr>
              <w:pStyle w:val="TableContents"/>
            </w:pPr>
            <w:r>
              <w:t>PDCA</w:t>
            </w:r>
          </w:p>
        </w:tc>
        <w:tc>
          <w:tcPr/>
          <w:p>
            <w:pPr>
              <w:pStyle w:val="TableContents"/>
            </w:pPr>
            <w:r>
              <w:t>Plan-Do-Check-Act — a continuous improvement cycle applied to security management to ensure that security controls are regularly reviewed, monitored and improved.</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10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Business Resilience Procedure</w:t>
            </w:r>
          </w:p>
        </w:tc>
        <w:tc>
          <w:tcPr/>
          <w:p>
            <w:pPr>
              <w:pStyle w:val="TableContents"/>
            </w:pPr>
            <w:r>
              <w:t>RTPR-HSE-PRO-0041</w:t>
            </w:r>
          </w:p>
        </w:tc>
        <w:tc>
          <w:tcPr/>
          <w:p>
            <w:pPr>
              <w:pStyle w:val="TableContents"/>
            </w:pPr>
            <w:r>
              <w:t>Internal procedure</w:t>
            </w:r>
          </w:p>
        </w:tc>
      </w:tr>
      <w:tr>
        <w:tc>
          <w:tcPr/>
          <w:p>
            <w:pPr>
              <w:pStyle w:val="TableContents"/>
            </w:pPr>
            <w:r>
              <w:t>Communication Procedure</w:t>
            </w:r>
          </w:p>
        </w:tc>
        <w:tc>
          <w:tcPr/>
          <w:p>
            <w:pPr>
              <w:pStyle w:val="TableContents"/>
            </w:pPr>
            <w:r>
              <w:t>RTPR-HSE-PRO-0011</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w:t>
            </w:r>
          </w:p>
        </w:tc>
        <w:tc>
          <w:tcPr/>
          <w:p>
            <w:pPr>
              <w:pStyle w:val="TableContents"/>
            </w:pPr>
            <w:r>
              <w:t>RT Risk Management Standard Appendix C C-1</w:t>
            </w:r>
          </w:p>
        </w:tc>
        <w:tc>
          <w:tcPr/>
          <w:p>
            <w:pPr>
              <w:pStyle w:val="TableContents"/>
            </w:pPr>
            <w:r>
              <w:t>External RT</w:t>
            </w:r>
          </w:p>
        </w:tc>
      </w:tr>
      <w:tr>
        <w:tc>
          <w:tcPr/>
          <w:p>
            <w:pPr>
              <w:pStyle w:val="TableContents"/>
            </w:pPr>
            <w:r>
              <w:t>Rio Tinto Security Standard</w:t>
            </w:r>
          </w:p>
        </w:tc>
        <w:tc>
          <w:tcPr/>
          <w:p>
            <w:pPr>
              <w:pStyle w:val="TableContents"/>
            </w:pPr>
            <w:r>
              <w:t>RTSS</w:t>
            </w:r>
          </w:p>
        </w:tc>
        <w:tc>
          <w:tcPr/>
          <w:p>
            <w:pPr>
              <w:pStyle w:val="TableContents"/>
            </w:pPr>
            <w:r>
              <w:t>External RT</w:t>
            </w:r>
          </w:p>
        </w:tc>
      </w:tr>
      <w:tr>
        <w:tc>
          <w:tcPr/>
          <w:p>
            <w:pPr>
              <w:pStyle w:val="TableContents"/>
            </w:pPr>
            <w:r>
              <w:t>Rio Tinto Human Rights Policy</w:t>
            </w:r>
          </w:p>
        </w:tc>
        <w:tc>
          <w:tcPr/>
          <w:p>
            <w:pPr>
              <w:pStyle w:val="TableContents"/>
            </w:pPr>
            <w:r>
              <w:t>RT Human Rights Policy</w:t>
            </w:r>
          </w:p>
        </w:tc>
        <w:tc>
          <w:tcPr/>
          <w:p>
            <w:pPr>
              <w:pStyle w:val="TableContents"/>
            </w:pPr>
            <w:r>
              <w:t>External RT</w:t>
            </w:r>
          </w:p>
        </w:tc>
      </w:tr>
      <w:tr>
        <w:tc>
          <w:tcPr/>
          <w:p>
            <w:pPr>
              <w:pStyle w:val="TableContents"/>
            </w:pPr>
            <w:r>
              <w:t>Voluntary Principles on Security and Human Rights</w:t>
            </w:r>
          </w:p>
        </w:tc>
        <w:tc>
          <w:tcPr/>
          <w:p>
            <w:pPr>
              <w:pStyle w:val="TableContents"/>
            </w:pPr>
            <w:r>
              <w:t>VPSHRs (2000, as updated)</w:t>
            </w:r>
          </w:p>
        </w:tc>
        <w:tc>
          <w:tcPr/>
          <w:p>
            <w:pPr>
              <w:pStyle w:val="TableContents"/>
            </w:pPr>
            <w:r>
              <w:t>External framework</w:t>
            </w:r>
          </w:p>
        </w:tc>
      </w:tr>
      <w:tr>
        <w:tc>
          <w:tcPr/>
          <w:p>
            <w:pPr>
              <w:pStyle w:val="TableContents"/>
            </w:pPr>
            <w:r>
              <w:t>International Code of Conduct for Private Security Service Providers</w:t>
            </w:r>
          </w:p>
        </w:tc>
        <w:tc>
          <w:tcPr/>
          <w:p>
            <w:pPr>
              <w:pStyle w:val="TableContents"/>
            </w:pPr>
            <w:r>
              <w:t>ICoC (2010, as updated)</w:t>
            </w:r>
          </w:p>
        </w:tc>
        <w:tc>
          <w:tcPr/>
          <w:p>
            <w:pPr>
              <w:pStyle w:val="TableContents"/>
            </w:pPr>
            <w:r>
              <w:t>External framework</w:t>
            </w:r>
          </w:p>
        </w:tc>
      </w:tr>
      <w:tr>
        <w:tc>
          <w:tcPr/>
          <w:p>
            <w:pPr>
              <w:pStyle w:val="TableContents"/>
            </w:pPr>
            <w:r>
              <w:t>ISO 31000 — Risk Management: Guidelines</w:t>
            </w:r>
          </w:p>
        </w:tc>
        <w:tc>
          <w:tcPr/>
          <w:p>
            <w:pPr>
              <w:pStyle w:val="TableContents"/>
            </w:pPr>
            <w:r>
              <w:t>ISO 31000:2018</w:t>
            </w:r>
          </w:p>
        </w:tc>
        <w:tc>
          <w:tcPr/>
          <w:p>
            <w:pPr>
              <w:pStyle w:val="TableContents"/>
            </w:pPr>
            <w:r>
              <w:t>External framework</w:t>
            </w:r>
          </w:p>
        </w:tc>
      </w:tr>
      <w:tr>
        <w:tc>
          <w:tcPr/>
          <w:p>
            <w:pPr>
              <w:pStyle w:val="TableContents"/>
            </w:pPr>
            <w:r>
              <w:t>ISO 18788 — Management System for Private Security Operations</w:t>
            </w:r>
          </w:p>
        </w:tc>
        <w:tc>
          <w:tcPr/>
          <w:p>
            <w:pPr>
              <w:pStyle w:val="TableContents"/>
            </w:pPr>
            <w:r>
              <w:t>ISO 18788:2015</w:t>
            </w:r>
          </w:p>
        </w:tc>
        <w:tc>
          <w:tcPr/>
          <w:p>
            <w:pPr>
              <w:pStyle w:val="TableContents"/>
            </w:pPr>
            <w:r>
              <w:t>External framework</w:t>
            </w:r>
          </w:p>
        </w:tc>
      </w:tr>
      <w:tr>
        <w:tc>
          <w:tcPr/>
          <w:p>
            <w:pPr>
              <w:pStyle w:val="TableContents"/>
            </w:pPr>
            <w:r>
              <w:t>United Nations Guiding Principles on Business and Human Rights</w:t>
            </w:r>
          </w:p>
        </w:tc>
        <w:tc>
          <w:tcPr/>
          <w:p>
            <w:pPr>
              <w:pStyle w:val="TableContents"/>
            </w:pPr>
            <w:r>
              <w:t>UNGP (2011)</w:t>
            </w:r>
          </w:p>
        </w:tc>
        <w:tc>
          <w:tcPr/>
          <w:p>
            <w:pPr>
              <w:pStyle w:val="TableContents"/>
            </w:pPr>
            <w:r>
              <w:t>External framework</w:t>
            </w:r>
          </w:p>
        </w:tc>
      </w:tr>
      <w:tr>
        <w:tc>
          <w:tcPr/>
          <w:p>
            <w:pPr>
              <w:pStyle w:val="TableContents"/>
            </w:pPr>
            <w:r>
              <w:t>ASIS International — General Security Risk Assessment Guideline</w:t>
            </w:r>
          </w:p>
        </w:tc>
        <w:tc>
          <w:tcPr/>
          <w:p>
            <w:pPr>
              <w:pStyle w:val="TableContents"/>
            </w:pPr>
            <w:r>
              <w:t>ASIS GSRA (2012)</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11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12  Source Requirements Traceability (DELETE BEFORE ISSUE)</w:t>
      </w:r>
    </w:p>
    <w:p>
      <w:pPr>
        <w:pStyle w:val="Heading2Numbered"/>
      </w:pPr>
      <w:r>
        <w:t>12.1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C-1 §33.1</w:t>
            </w:r>
          </w:p>
        </w:tc>
        <w:tc>
          <w:tcPr/>
          <w:p>
            <w:pPr>
              <w:pStyle w:val="TableContents"/>
            </w:pPr>
            <w:r>
              <w:t>Requires a comprehensive security risk assessment covering all work locations, transportation routes, subcontractors, and supply chain nodes, submitted to the project owner within 90 days of the Effective Date and revalidated annually.</w:t>
            </w:r>
          </w:p>
        </w:tc>
        <w:tc>
          <w:tcPr/>
          <w:p>
            <w:pPr>
              <w:pStyle w:val="TableContents"/>
            </w:pPr>
            <w:r>
              <w:t>Full</w:t>
            </w:r>
          </w:p>
        </w:tc>
      </w:tr>
      <w:tr>
        <w:tc>
          <w:tcPr/>
          <w:p>
            <w:pPr>
              <w:pStyle w:val="TableContents"/>
            </w:pPr>
            <w:r>
              <w:rPr>
                <w:b/>
                <w:bCs/>
                <w:color w:val="0059D1"/>
              </w:rPr>
              <w:t>[INSERT: section]</w:t>
            </w:r>
          </w:p>
        </w:tc>
        <w:tc>
          <w:tcPr/>
          <w:p>
            <w:pPr>
              <w:pStyle w:val="TableContents"/>
            </w:pPr>
            <w:r>
              <w:t>Appendix C C-1 §33.2</w:t>
            </w:r>
          </w:p>
        </w:tc>
        <w:tc>
          <w:tcPr/>
          <w:p>
            <w:pPr>
              <w:pStyle w:val="TableContents"/>
            </w:pPr>
            <w:r>
              <w:t>Requires development of a Site Security Management Plan based on risk assessment outcomes, submitted to the project owner 60 days before commencement of work and revalidated annually.</w:t>
            </w:r>
          </w:p>
        </w:tc>
        <w:tc>
          <w:tcPr/>
          <w:p>
            <w:pPr>
              <w:pStyle w:val="TableContents"/>
            </w:pPr>
            <w:r>
              <w:t>Full</w:t>
            </w:r>
          </w:p>
        </w:tc>
      </w:tr>
      <w:tr>
        <w:tc>
          <w:tcPr/>
          <w:p>
            <w:pPr>
              <w:pStyle w:val="TableContents"/>
            </w:pPr>
            <w:r>
              <w:rPr>
                <w:b/>
                <w:bCs/>
                <w:color w:val="0059D1"/>
              </w:rPr>
              <w:t>[INSERT: section]</w:t>
            </w:r>
          </w:p>
        </w:tc>
        <w:tc>
          <w:tcPr/>
          <w:p>
            <w:pPr>
              <w:pStyle w:val="TableContents"/>
            </w:pPr>
            <w:r>
              <w:t>Appendix C C-1 §33.3</w:t>
            </w:r>
          </w:p>
        </w:tc>
        <w:tc>
          <w:tcPr/>
          <w:p>
            <w:pPr>
              <w:pStyle w:val="TableContents"/>
            </w:pPr>
            <w:r>
              <w:t>Requires security suppliers to be legally authorised and security personnel to hold appropriate training and licences, including mandatory training on Security and Human Rights per the Voluntary Principles.</w:t>
            </w:r>
          </w:p>
        </w:tc>
        <w:tc>
          <w:tcPr/>
          <w:p>
            <w:pPr>
              <w:pStyle w:val="TableContents"/>
            </w:pPr>
            <w:r>
              <w:t>Full</w:t>
            </w:r>
          </w:p>
        </w:tc>
      </w:tr>
      <w:tr>
        <w:tc>
          <w:tcPr/>
          <w:p>
            <w:pPr>
              <w:pStyle w:val="TableContents"/>
            </w:pPr>
            <w:r>
              <w:rPr>
                <w:b/>
                <w:bCs/>
                <w:color w:val="0059D1"/>
              </w:rPr>
              <w:t>[INSERT: section]</w:t>
            </w:r>
          </w:p>
        </w:tc>
        <w:tc>
          <w:tcPr/>
          <w:p>
            <w:pPr>
              <w:pStyle w:val="TableContents"/>
            </w:pPr>
            <w:r>
              <w:t>Appendix C C-1 §33.6</w:t>
            </w:r>
          </w:p>
        </w:tc>
        <w:tc>
          <w:tcPr/>
          <w:p>
            <w:pPr>
              <w:pStyle w:val="TableContents"/>
            </w:pPr>
            <w:r>
              <w:t>Requires all security personnel to be trained per the SMP including human rights, ethical practices, and emergency response protocols, with refresher training after significant changes to security risks.</w:t>
            </w:r>
          </w:p>
        </w:tc>
        <w:tc>
          <w:tcPr/>
          <w:p>
            <w:pPr>
              <w:pStyle w:val="TableContents"/>
            </w:pPr>
            <w:r>
              <w:t>Full</w:t>
            </w:r>
          </w:p>
        </w:tc>
      </w:tr>
      <w:tr>
        <w:tc>
          <w:tcPr/>
          <w:p>
            <w:pPr>
              <w:pStyle w:val="TableContents"/>
            </w:pPr>
            <w:r>
              <w:rPr>
                <w:b/>
                <w:bCs/>
                <w:color w:val="0059D1"/>
              </w:rPr>
              <w:t>[INSERT: section]</w:t>
            </w:r>
          </w:p>
        </w:tc>
        <w:tc>
          <w:tcPr/>
          <w:p>
            <w:pPr>
              <w:pStyle w:val="TableContents"/>
            </w:pPr>
            <w:r>
              <w:t>Appendix C C-1 §33.5</w:t>
            </w:r>
          </w:p>
        </w:tc>
        <w:tc>
          <w:tcPr/>
          <w:p>
            <w:pPr>
              <w:pStyle w:val="TableContents"/>
            </w:pPr>
            <w:r>
              <w:t>Requires all security incidents to be recorded, reported, and investigated per the project HSESC Incident Management procedure, and prohibits covert or clandestine information-gathering activities.</w:t>
            </w:r>
          </w:p>
        </w:tc>
        <w:tc>
          <w:tcPr/>
          <w:p>
            <w:pPr>
              <w:pStyle w:val="TableContents"/>
            </w:pPr>
            <w:r>
              <w:t>Full</w:t>
            </w:r>
          </w:p>
        </w:tc>
      </w:tr>
      <w:tr>
        <w:tc>
          <w:tcPr/>
          <w:p>
            <w:pPr>
              <w:pStyle w:val="TableContents"/>
            </w:pPr>
            <w:r>
              <w:rPr>
                <w:b/>
                <w:bCs/>
                <w:color w:val="0059D1"/>
              </w:rPr>
              <w:t>[INSERT: section]</w:t>
            </w:r>
          </w:p>
        </w:tc>
        <w:tc>
          <w:tcPr/>
          <w:p>
            <w:pPr>
              <w:pStyle w:val="TableContents"/>
            </w:pPr>
            <w:r>
              <w:t>Appendix C C-1 §33.1.2</w:t>
            </w:r>
          </w:p>
        </w:tc>
        <w:tc>
          <w:tcPr/>
          <w:p>
            <w:pPr>
              <w:pStyle w:val="TableContents"/>
            </w:pPr>
            <w:r>
              <w:t>Requires the security risk assessment to include consideration of community interfaces and potential human rights issues aligned with the Voluntary Principles on Security and Human Rights.</w:t>
            </w:r>
          </w:p>
        </w:tc>
        <w:tc>
          <w:tcPr/>
          <w:p>
            <w:pPr>
              <w:pStyle w:val="TableContents"/>
            </w:pPr>
            <w:r>
              <w:t>Full</w:t>
            </w:r>
          </w:p>
        </w:tc>
      </w:tr>
      <w:tr>
        <w:tc>
          <w:tcPr/>
          <w:p>
            <w:pPr>
              <w:pStyle w:val="TableContents"/>
            </w:pPr>
            <w:r>
              <w:rPr>
                <w:b/>
                <w:bCs/>
                <w:color w:val="0059D1"/>
              </w:rPr>
              <w:t>[INSERT: section]</w:t>
            </w:r>
          </w:p>
        </w:tc>
        <w:tc>
          <w:tcPr/>
          <w:p>
            <w:pPr>
              <w:pStyle w:val="TableContents"/>
            </w:pPr>
            <w:r>
              <w:t>Appendix C C-1 §33.1.4</w:t>
            </w:r>
          </w:p>
        </w:tc>
        <w:tc>
          <w:tcPr/>
          <w:p>
            <w:pPr>
              <w:pStyle w:val="TableContents"/>
            </w:pPr>
            <w:r>
              <w:t>Requires engagement of a multi-disciplinary stakeholder group including the Community and Social Performance function in the security risk assessment.</w:t>
            </w:r>
          </w:p>
        </w:tc>
        <w:tc>
          <w:tcPr/>
          <w:p>
            <w:pPr>
              <w:pStyle w:val="TableContents"/>
            </w:pPr>
            <w:r>
              <w:t>Full</w:t>
            </w:r>
          </w:p>
        </w:tc>
      </w:tr>
      <w:tr>
        <w:tc>
          <w:tcPr/>
          <w:p>
            <w:pPr>
              <w:pStyle w:val="TableContents"/>
            </w:pPr>
            <w:r>
              <w:rPr>
                <w:b/>
                <w:bCs/>
                <w:color w:val="0059D1"/>
              </w:rPr>
              <w:t>[INSERT: section]</w:t>
            </w:r>
          </w:p>
        </w:tc>
        <w:tc>
          <w:tcPr/>
          <w:p>
            <w:pPr>
              <w:pStyle w:val="TableContents"/>
            </w:pPr>
            <w:r>
              <w:t>Appendix C C-1 §33.3.3</w:t>
            </w:r>
          </w:p>
        </w:tc>
        <w:tc>
          <w:tcPr/>
          <w:p>
            <w:pPr>
              <w:pStyle w:val="TableContents"/>
            </w:pPr>
            <w:r>
              <w:t>Requires that all security personnel are trained and licensed, with mandatory training on security and human rights in accordance with the Voluntary Principles on Security and Human Rights.</w:t>
            </w:r>
          </w:p>
        </w:tc>
        <w:tc>
          <w:tcPr/>
          <w:p>
            <w:pPr>
              <w:pStyle w:val="TableContents"/>
            </w:pPr>
            <w:r>
              <w:t>Full</w:t>
            </w:r>
          </w:p>
        </w:tc>
      </w:tr>
      <w:tr>
        <w:tc>
          <w:tcPr/>
          <w:p>
            <w:pPr>
              <w:pStyle w:val="TableContents"/>
            </w:pPr>
            <w:r>
              <w:rPr>
                <w:b/>
                <w:bCs/>
                <w:color w:val="0059D1"/>
              </w:rPr>
              <w:t>[INSERT: section]</w:t>
            </w:r>
          </w:p>
        </w:tc>
        <w:tc>
          <w:tcPr/>
          <w:p>
            <w:pPr>
              <w:pStyle w:val="TableContents"/>
            </w:pPr>
            <w:r>
              <w:t>Appendix C C-1 §33.4.1</w:t>
            </w:r>
          </w:p>
        </w:tc>
        <w:tc>
          <w:tcPr/>
          <w:p>
            <w:pPr>
              <w:pStyle w:val="TableContents"/>
            </w:pPr>
            <w:r>
              <w:t>Requires prior written Company approval before deployment of any armed security personnel, with deployment based on the site security risk assessment and documented with specific authority approval.</w:t>
            </w:r>
          </w:p>
        </w:tc>
        <w:tc>
          <w:tcPr/>
          <w:p>
            <w:pPr>
              <w:pStyle w:val="TableContents"/>
            </w:pPr>
            <w:r>
              <w:t>Full</w:t>
            </w:r>
          </w:p>
        </w:tc>
      </w:tr>
      <w:tr>
        <w:tc>
          <w:tcPr/>
          <w:p>
            <w:pPr>
              <w:pStyle w:val="TableContents"/>
            </w:pPr>
            <w:r>
              <w:rPr>
                <w:b/>
                <w:bCs/>
                <w:color w:val="0059D1"/>
              </w:rPr>
              <w:t>[INSERT: section]</w:t>
            </w:r>
          </w:p>
        </w:tc>
        <w:tc>
          <w:tcPr/>
          <w:p>
            <w:pPr>
              <w:pStyle w:val="TableContents"/>
            </w:pPr>
            <w:r>
              <w:t>IFC PS4 §13</w:t>
            </w:r>
          </w:p>
        </w:tc>
        <w:tc>
          <w:tcPr/>
          <w:p>
            <w:pPr>
              <w:pStyle w:val="TableContents"/>
            </w:pPr>
            <w:r>
              <w:t>Requires the security risk assessment to explicitly address community interface risks and potential human rights issues consistent with the Voluntary Principles on Security and Human Rights.</w:t>
            </w:r>
          </w:p>
        </w:tc>
        <w:tc>
          <w:tcPr/>
          <w:p>
            <w:pPr>
              <w:pStyle w:val="TableContents"/>
            </w:pPr>
            <w:r>
              <w:t>Full</w:t>
            </w:r>
          </w:p>
        </w:tc>
      </w:tr>
      <w:tr>
        <w:tc>
          <w:tcPr/>
          <w:p>
            <w:pPr>
              <w:pStyle w:val="TableContents"/>
            </w:pPr>
            <w:r>
              <w:rPr>
                <w:b/>
                <w:bCs/>
                <w:color w:val="0059D1"/>
              </w:rPr>
              <w:t>[INSERT: section]</w:t>
            </w:r>
          </w:p>
        </w:tc>
        <w:tc>
          <w:tcPr/>
          <w:p>
            <w:pPr>
              <w:pStyle w:val="TableContents"/>
            </w:pPr>
            <w:r>
              <w:t>IFC PS4 §12–14</w:t>
            </w:r>
          </w:p>
        </w:tc>
        <w:tc>
          <w:tcPr/>
          <w:p>
            <w:pPr>
              <w:pStyle w:val="TableContents"/>
            </w:pPr>
            <w:r>
              <w:t>Requires that armed security personnel are engaged only as a last resort after other risk management measures have been assessed and found insufficient, and that their deployment is consistent with the Voluntary Principles.</w:t>
            </w:r>
          </w:p>
        </w:tc>
        <w:tc>
          <w:tcPr/>
          <w:p>
            <w:pPr>
              <w:pStyle w:val="TableContents"/>
            </w:pPr>
            <w:r>
              <w:t>Full</w:t>
            </w:r>
          </w:p>
        </w:tc>
      </w:tr>
      <w:tr>
        <w:tc>
          <w:tcPr/>
          <w:p>
            <w:pPr>
              <w:pStyle w:val="TableContents"/>
            </w:pPr>
            <w:r>
              <w:rPr>
                <w:b/>
                <w:bCs/>
                <w:color w:val="0059D1"/>
              </w:rPr>
              <w:t>[INSERT: section]</w:t>
            </w:r>
          </w:p>
        </w:tc>
        <w:tc>
          <w:tcPr/>
          <w:p>
            <w:pPr>
              <w:pStyle w:val="TableContents"/>
            </w:pPr>
            <w:r>
              <w:t>RT Standard RT Group Security Standard</w:t>
            </w:r>
          </w:p>
        </w:tc>
        <w:tc>
          <w:tcPr/>
          <w:p>
            <w:pPr>
              <w:pStyle w:val="TableContents"/>
            </w:pPr>
            <w:r>
              <w:t>Requires consultation with the RT Group Security Standard to determine site security risk classification, additional requirements applicable to that classification, and project owner approval before deployment of armed personnel.</w:t>
            </w:r>
          </w:p>
        </w:tc>
        <w:tc>
          <w:tcPr/>
          <w:p>
            <w:pPr>
              <w:pStyle w:val="TableContents"/>
            </w:pPr>
            <w:r>
              <w:t>Full</w:t>
            </w:r>
          </w:p>
        </w:tc>
      </w:tr>
    </w:tbl>
    <w:p>
      <w:pPr>
        <w:pStyle w:val="Default"/>
      </w:pPr>
    </w:p>
    <w:p>
      <w:pPr>
        <w:pStyle w:val="Heading2Numbered"/>
      </w:pPr>
      <w:r>
        <w:t>12.2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