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Air Quality</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Air Quality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air quality impacts from project activities including particulate and gaseous emissions, dust, and associated stressors (noise, vibration, light, odour) that may affect worker health and surrounding communities.</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air quality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air quality domains it governs, and the lifecycle phases and activities to which it applies from Execution through to Handover.</w:t>
      </w:r>
    </w:p>
    <w:p>
      <w:pPr>
        <w:pStyle w:val="Heading2Numbered"/>
      </w:pPr>
      <w:r>
        <w:t>3.1  Purpose of This Document</w:t>
      </w:r>
    </w:p>
    <w:p>
      <w:pPr>
        <w:pStyle w:val="NormalNumberedtext"/>
      </w:pPr>
      <w:r>
        <w:t>This section states what this procedure establishes, which standards it operationalises, and which project activities it governs.</w:t>
      </w:r>
    </w:p>
    <w:p>
      <w:pPr>
        <w:pStyle w:val="NormalNumberedtext"/>
      </w:pPr>
      <w:r>
        <w:t>This procedure meets the following purpose requirements:</w:t>
      </w:r>
    </w:p>
    <w:p>
      <w:pPr>
        <w:pStyle w:val="NormalNumberedtext"/>
      </w:pPr>
      <w:r>
        <w:t>This procedure applies to [INSERT: project name] and establishes requirements for:</w:t>
      </w:r>
    </w:p>
    <w:p>
      <w:pPr>
        <w:pStyle w:val="NumberedBulletL1"/>
      </w:pPr>
      <w:r>
        <w:t>Developing and maintaining an emission inventory for all significant air emission sources.</w:t>
      </w:r>
    </w:p>
    <w:p>
      <w:pPr>
        <w:pStyle w:val="NumberedBulletL1"/>
      </w:pPr>
      <w:r>
        <w:t>Applying dispersion modelling to predict air quality impacts at sensitive receptors.</w:t>
      </w:r>
    </w:p>
    <w:p>
      <w:pPr>
        <w:pStyle w:val="NumberedBulletL1"/>
      </w:pPr>
      <w:r>
        <w:t>Implementing dust suppression controls for all dust-generating activities.</w:t>
      </w:r>
    </w:p>
    <w:p>
      <w:pPr>
        <w:pStyle w:val="NumberedBulletL1"/>
      </w:pPr>
      <w:r>
        <w:t>Managing community noise, vibration, light, and odour as associated stressors.</w:t>
      </w:r>
    </w:p>
    <w:p>
      <w:pPr>
        <w:pStyle w:val="NumberedBulletL1"/>
      </w:pPr>
      <w:r>
        <w:t>Operating an air quality monitoring programme sufficient to verify compliance and performance criteria.</w:t>
      </w:r>
    </w:p>
    <w:p>
      <w:pPr>
        <w:pStyle w:val="NumberedBulletL1"/>
      </w:pPr>
      <w:r>
        <w:t>Defining trigger levels, escalation actions, and community notification thresholds for exceedances.</w:t>
      </w:r>
    </w:p>
    <w:p>
      <w:pPr>
        <w:pStyle w:val="NormalNumberedtext"/>
      </w:pPr>
      <w:r>
        <w:t>This procedure operationalises the RT Environment and Nature Air Quality Standard and the IFC EHS General Guidelines §1.1, §1.7, §2.9, and §3.1 into a documented, project-specific process. It applies to all Rio Tinto staff, contractor organisations, and subcontractors working on the project.</w:t>
      </w:r>
    </w:p>
    <w:p>
      <w:pPr>
        <w:pStyle w:val="NormalNumberedtext"/>
      </w:pPr>
      <w:r>
        <w:t>Air quality licence conditions that govern this project are identified and tracked under RTPR-HSE-PRO-0001. Air quality risk assessment inputs and outcomes are managed under RTPR-HSE-PRO-0002. Emissions arising from waste management activities are addressed under RTPR-HSE-PRO-0039. Occupational noise exposure is governed by RTPR-HSE-PRO-0013; community noise management is owned by this procedure.</w:t>
      </w:r>
    </w:p>
    <w:p>
      <w:pPr>
        <w:pStyle w:val="Heading2Numbered"/>
      </w:pPr>
      <w:r>
        <w:t>3.2  Scope of This Document</w:t>
      </w:r>
    </w:p>
    <w:p>
      <w:pPr>
        <w:pStyle w:val="NormalNumberedtext"/>
      </w:pPr>
      <w:r>
        <w:t>This section defines which activities, emission sources, and project phases are governed by this procedure.</w:t>
      </w:r>
    </w:p>
    <w:p>
      <w:pPr>
        <w:pStyle w:val="NormalNumberedtext"/>
      </w:pPr>
      <w:r>
        <w:t>This procedure applies the following scope requirements:</w:t>
      </w:r>
    </w:p>
    <w:p>
      <w:pPr>
        <w:pStyle w:val="NormalNumberedtext"/>
      </w:pPr>
      <w:r>
        <w:t>This procedure governs air quality management activities during the following project phases:</w:t>
      </w:r>
    </w:p>
    <w:p>
      <w:pPr>
        <w:pStyle w:val="NumberedBulletL1"/>
      </w:pPr>
      <w:r>
        <w:t>Pre-construction: baseline characterisation, emission inventory development, dispersion modelling, and monitoring network establishment.</w:t>
      </w:r>
    </w:p>
    <w:p>
      <w:pPr>
        <w:pStyle w:val="NumberedBulletL1"/>
      </w:pPr>
      <w:r>
        <w:t>Construction: dust suppression, stressor management, monitoring programme operation, and incident reporting.</w:t>
      </w:r>
    </w:p>
    <w:p>
      <w:pPr>
        <w:pStyle w:val="NumberedBulletL1"/>
      </w:pPr>
      <w:r>
        <w:t>Commissioning and Handover: performance verification, final reporting, and transfer of records to the receiving operations team.</w:t>
      </w:r>
    </w:p>
    <w:p>
      <w:pPr>
        <w:pStyle w:val="NormalNumberedtext"/>
      </w:pPr>
      <w:r>
        <w:t>The emission sources within scope include, but are not limited to:</w:t>
      </w:r>
    </w:p>
    <w:p>
      <w:pPr>
        <w:pStyle w:val="NumberedBulletL1"/>
      </w:pPr>
      <w:r>
        <w:rPr>
          <w:color w:val="C55A11"/>
        </w:rPr>
        <w:t>Haul roads, access tracks, and laydown areas generating fugitive dust.</w:t>
      </w:r>
    </w:p>
    <w:p>
      <w:pPr>
        <w:pStyle w:val="NumberedBulletL1"/>
      </w:pPr>
      <w:r>
        <w:rPr>
          <w:color w:val="C55A11"/>
        </w:rPr>
        <w:t>Crushing, screening, and material handling operations.</w:t>
      </w:r>
    </w:p>
    <w:p>
      <w:pPr>
        <w:pStyle w:val="NumberedBulletL1"/>
      </w:pPr>
      <w:r>
        <w:rPr>
          <w:color w:val="C55A11"/>
        </w:rPr>
        <w:t>Blasting activities generating particulate and gaseous emissions.</w:t>
      </w:r>
    </w:p>
    <w:p>
      <w:pPr>
        <w:pStyle w:val="NumberedBulletL1"/>
      </w:pPr>
      <w:r>
        <w:rPr>
          <w:color w:val="C55A11"/>
        </w:rPr>
        <w:t>Plant stack emissions from generators, processing equipment, and combustion sources.</w:t>
      </w:r>
    </w:p>
    <w:p>
      <w:pPr>
        <w:pStyle w:val="NumberedBulletL1"/>
      </w:pPr>
      <w:r>
        <w:rPr>
          <w:b/>
          <w:bCs/>
          <w:color w:val="0059D1"/>
        </w:rPr>
        <w:t>[INSERT: additional_emission_sources]</w:t>
      </w:r>
    </w:p>
    <w:p>
      <w:pPr>
        <w:pStyle w:val="NormalNumberedtext"/>
      </w:pPr>
      <w:r>
        <w:t>Air quality monitoring conducted as part of the broader environmental monitoring programme is addressed in RTPR-HSE-PRO-0042. This procedure defines the project-specific monitoring network parameters, locations, and trigger levels that feed into that programme.</w:t>
      </w:r>
    </w:p>
    <w:p>
      <w:pPr>
        <w:pStyle w:val="Heading1Numbered"/>
      </w:pPr>
      <w:r>
        <w:t>4  Roles and Responsibilities</w:t>
      </w:r>
    </w:p>
    <w:p>
      <w:pPr>
        <w:pStyle w:val="NormalNumberedtext"/>
      </w:pPr>
      <w:r>
        <w:t>This section defines air quality management responsibilities for all project roles covering the Rio Tinto project team and all contractor organisations.</w:t>
      </w:r>
    </w:p>
    <w:p>
      <w:pPr>
        <w:pStyle w:val="NormalNumberedtext"/>
      </w:pPr>
      <w:r>
        <w:t>Responsibilities are assigned as follows:</w:t>
      </w:r>
    </w:p>
    <w:p>
      <w:pPr>
        <w:pStyle w:val="NormalNumberedtext"/>
      </w:pPr>
      <w:r>
        <w:t>Table 1: Air Quality Roles and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rPr>
                <w:b/>
                <w:bCs/>
                <w:color w:val="0059D1"/>
              </w:rPr>
              <w:t>[INSERT: Project Director / Project Manager]</w:t>
            </w:r>
          </w:p>
        </w:tc>
        <w:tc>
          <w:tcPr/>
          <w:p>
            <w:pPr>
              <w:pStyle w:val="TableContents"/>
            </w:pPr>
            <w:r>
              <w:t>Accountable for overall air quality performance. Approves the emission inventory, dispersion modelling reports, and community notification actions for exceedances.</w:t>
            </w:r>
          </w:p>
        </w:tc>
      </w:tr>
      <w:tr>
        <w:tc>
          <w:tcPr/>
          <w:p>
            <w:pPr>
              <w:pStyle w:val="TableContents"/>
            </w:pPr>
            <w:r>
              <w:rPr>
                <w:b/>
                <w:bCs/>
                <w:color w:val="0059D1"/>
              </w:rPr>
              <w:t>[INSERT: HSESC Manager]</w:t>
            </w:r>
          </w:p>
        </w:tc>
        <w:tc>
          <w:tcPr/>
          <w:p>
            <w:pPr>
              <w:pStyle w:val="TableContents"/>
            </w:pPr>
            <w:r>
              <w:t>Responsible for implementing and maintaining this procedure. Reviews monitoring data, initiates escalation actions per the TARP, and reports air quality performance to internal and external stakeholders.</w:t>
            </w:r>
          </w:p>
        </w:tc>
      </w:tr>
      <w:tr>
        <w:tc>
          <w:tcPr/>
          <w:p>
            <w:pPr>
              <w:pStyle w:val="TableContents"/>
            </w:pPr>
            <w:r>
              <w:rPr>
                <w:b/>
                <w:bCs/>
                <w:color w:val="0059D1"/>
              </w:rPr>
              <w:t>[INSERT: Environmental Advisor / Air Quality Specialist]</w:t>
            </w:r>
          </w:p>
        </w:tc>
        <w:tc>
          <w:tcPr/>
          <w:p>
            <w:pPr>
              <w:pStyle w:val="TableContents"/>
            </w:pPr>
            <w:r>
              <w:t>Develops and updates the emission inventory and dispersion modelling inputs. Manages the monitoring network and reviews performance against trigger levels. Coordinates stressor assessments for light, vibration, and odour.</w:t>
            </w:r>
          </w:p>
        </w:tc>
      </w:tr>
      <w:tr>
        <w:tc>
          <w:tcPr/>
          <w:p>
            <w:pPr>
              <w:pStyle w:val="TableContents"/>
            </w:pPr>
            <w:r>
              <w:rPr>
                <w:b/>
                <w:bCs/>
                <w:color w:val="0059D1"/>
              </w:rPr>
              <w:t>[INSERT: Construction Manager]</w:t>
            </w:r>
          </w:p>
        </w:tc>
        <w:tc>
          <w:tcPr/>
          <w:p>
            <w:pPr>
              <w:pStyle w:val="TableContents"/>
            </w:pPr>
            <w:r>
              <w:t>Responsible for implementing dust suppression controls and stressor management requirements in the field. Confirms controls are applied before dust-generating activities commence.</w:t>
            </w:r>
          </w:p>
        </w:tc>
      </w:tr>
      <w:tr>
        <w:tc>
          <w:tcPr/>
          <w:p>
            <w:pPr>
              <w:pStyle w:val="TableContents"/>
            </w:pPr>
            <w:r>
              <w:rPr>
                <w:b/>
                <w:bCs/>
                <w:color w:val="0059D1"/>
              </w:rPr>
              <w:t>[INSERT: Contractor Site Supervisor]</w:t>
            </w:r>
          </w:p>
        </w:tc>
        <w:tc>
          <w:tcPr/>
          <w:p>
            <w:pPr>
              <w:pStyle w:val="TableContents"/>
            </w:pPr>
            <w:r>
              <w:t>Ensures work crews apply dust suppression controls and comply with speed limits, load cover requirements, and water application rates defined in this procedure. Reports non-compliance and monitoring exceedances immediately.</w:t>
            </w:r>
          </w:p>
        </w:tc>
      </w:tr>
      <w:tr>
        <w:tc>
          <w:tcPr/>
          <w:p>
            <w:pPr>
              <w:pStyle w:val="TableContents"/>
            </w:pPr>
            <w:r>
              <w:t>insert</w:t>
            </w:r>
          </w:p>
        </w:tc>
        <w:tc>
          <w:tcPr/>
          <w:p>
            <w:pPr>
              <w:pStyle w:val="TableContents"/>
            </w:pPr>
            <w:r>
              <w:t>field</w:t>
            </w:r>
          </w:p>
        </w:tc>
        <w:tc>
          <w:tcPr/>
          <w:p>
            <w:pPr>
              <w:pStyle w:val="TableContents"/>
            </w:pPr>
            <w:r>
              <w:t>hint</w:t>
            </w:r>
          </w:p>
        </w:tc>
      </w:tr>
    </w:tbl>
    <w:p>
      <w:pPr>
        <w:pStyle w:val="Default"/>
      </w:pPr>
    </w:p>
    <w:p>
      <w:pPr>
        <w:pStyle w:val="Heading1Numbered"/>
      </w:pPr>
      <w:r>
        <w:t>5  Emission Inventory and Baseline</w:t>
      </w:r>
    </w:p>
    <w:p>
      <w:pPr>
        <w:pStyle w:val="NormalNumberedtext"/>
      </w:pPr>
      <w:r>
        <w:t>This section defines requirements for developing and maintaining the project emission inventory, conducting dispersion modelling, and establishing the air quality baseline at sensitive receptors.</w:t>
      </w:r>
    </w:p>
    <w:p>
      <w:pPr>
        <w:pStyle w:val="Heading2Numbered"/>
      </w:pPr>
      <w:r>
        <w:t>5.1  Emission Inventory</w:t>
      </w:r>
    </w:p>
    <w:p>
      <w:pPr>
        <w:pStyle w:val="NormalNumberedtext"/>
      </w:pPr>
      <w:r>
        <w:t>This section defines the content requirements for the project emission inventory and the schedule for its development and maintenance.</w:t>
      </w:r>
    </w:p>
    <w:p>
      <w:pPr>
        <w:pStyle w:val="NormalNumberedtext"/>
      </w:pPr>
      <w:r>
        <w:t>The RT Environment and Nature Air Quality Standard requires an emission inventory to be developed and maintained for all significant air emission sources on the project. The inventory must be completed before construction commences and updated whenever a significant change to project scope or activities occurs.</w:t>
      </w:r>
    </w:p>
    <w:p>
      <w:pPr>
        <w:pStyle w:val="NormalNumberedtext"/>
      </w:pPr>
      <w:r>
        <w:t>The emission inventory must document for each source:</w:t>
      </w:r>
    </w:p>
    <w:p>
      <w:pPr>
        <w:pStyle w:val="NumberedBulletL1"/>
      </w:pPr>
      <w:r>
        <w:t>Source type, location, and operational status.</w:t>
      </w:r>
    </w:p>
    <w:p>
      <w:pPr>
        <w:pStyle w:val="NumberedBulletL1"/>
      </w:pPr>
      <w:r>
        <w:t>Emission type (particulate, gaseous, or other) and estimated emission rate.</w:t>
      </w:r>
    </w:p>
    <w:p>
      <w:pPr>
        <w:pStyle w:val="NumberedBulletL1"/>
      </w:pPr>
      <w:r>
        <w:t>Control measures applied and their estimated effectiveness.</w:t>
      </w:r>
    </w:p>
    <w:p>
      <w:pPr>
        <w:pStyle w:val="NumberedBulletL1"/>
      </w:pPr>
      <w:r>
        <w:t>Applicable performance criteria or licence limits.</w:t>
      </w:r>
    </w:p>
    <w:p>
      <w:pPr>
        <w:pStyle w:val="NumberedBulletL1"/>
      </w:pPr>
      <w:r>
        <w:rPr>
          <w:color w:val="C55A11"/>
        </w:rPr>
        <w:t>Emission rates expressed as kg per hour and tonnes per annum where practicable.</w:t>
      </w:r>
    </w:p>
    <w:tbl>
      <w:tblPr>
        <w:tblStyle w:val="TableOption1"/>
        <w:tblW w:type="pct" w:w="5000"/>
      </w:tblPr>
      <w:tr>
        <w:tc>
          <w:tcPr>
            <w:shd w:val="clear" w:color="auto" w:fill="FFF2CC"/>
          </w:tcPr>
          <w:p>
            <w:pPr>
              <w:pStyle w:val="Instructions"/>
            </w:pPr>
            <w:r>
              <w:rPr>
                <w:b/>
                <w:bCs/>
                <w:color w:val="C55A11"/>
              </w:rPr>
              <w:t>PROJECT COMPLETION GUIDANCE: Develop the project emission inventory before construction commences. Identify all significant emission sources including crushing, blasting, haul roads, and plant stack emissions. Insert the completed inventory or a reference to the inventory document below.</w:t>
            </w:r>
          </w:p>
        </w:tc>
      </w:tr>
    </w:tbl>
    <w:p>
      <w:pPr>
        <w:pStyle w:val="Default"/>
      </w:pPr>
    </w:p>
    <w:p>
      <w:pPr>
        <w:pStyle w:val="NormalNumberedtext"/>
      </w:pPr>
      <w:r>
        <w:rPr>
          <w:b/>
          <w:bCs/>
          <w:color w:val="0059D1"/>
        </w:rPr>
        <w:t>[INSERT: emission_inventory_reference] — Insert the title and document number of the project emission inventory, or embed the inventory table here.</w:t>
      </w:r>
    </w:p>
    <w:p>
      <w:pPr>
        <w:pStyle w:val="NormalNumberedtext"/>
      </w:pPr>
      <w:r>
        <w:t>The IFC EHS General Guidelines §1.1 and §3.1 require an air quality impact assessment to be conducted as part of the project environmental assessment. The assessment identifies significant sources and receptors and sets performance criteria based on WHO air quality guidelines or applicable national standards, whichever is more stringent. Applicable licence conditions are identified and tracked under RTPR-HSE-PRO-0001.</w:t>
      </w:r>
    </w:p>
    <w:tbl>
      <w:tblPr>
        <w:tblStyle w:val="TableOption1"/>
        <w:tblW w:type="pct" w:w="5000"/>
      </w:tblPr>
      <w:tr>
        <w:tc>
          <w:tcPr>
            <w:shd w:val="clear" w:color="auto" w:fill="FFF2CC"/>
          </w:tcPr>
          <w:p>
            <w:pPr>
              <w:pStyle w:val="Instructions"/>
            </w:pPr>
            <w:r>
              <w:rPr>
                <w:b/>
                <w:bCs/>
                <w:color w:val="C55A11"/>
              </w:rPr>
              <w:t>APPC REQUIREMENT [Appendix C, C-4 §92.2.8]: The project must actively identify, assess, and report greenhouse gas emission reduction and energy efficiency opportunities identified in relation to the Works or its execution. Outcomes must be reported to the Company as part of air quality and environmental performance reporting.</w:t>
            </w:r>
          </w:p>
        </w:tc>
      </w:tr>
    </w:tbl>
    <w:p>
      <w:pPr>
        <w:pStyle w:val="Default"/>
      </w:pPr>
    </w:p>
    <w:p>
      <w:pPr>
        <w:pStyle w:val="NormalNumberedtext"/>
      </w:pPr>
      <w:r>
        <w:t>In accordance with the TSM Climate Change Protocol, the emission inventory and planning documents consider cumulative and climate-related contributions to local airshed conditions. The Environmental Advisor confirms that climate variability factors relevant to dispersion are reviewed when the inventory is updated.</w:t>
      </w:r>
    </w:p>
    <w:p>
      <w:pPr>
        <w:pStyle w:val="Heading2Numbered"/>
      </w:pPr>
      <w:r>
        <w:t>5.2  Dispersion Modelling</w:t>
      </w:r>
    </w:p>
    <w:p>
      <w:pPr>
        <w:pStyle w:val="NormalNumberedtext"/>
      </w:pPr>
      <w:r>
        <w:t>This section defines dispersion modelling requirements for predicting air quality impacts at sensitive receptors and documenting model assumptions.</w:t>
      </w:r>
    </w:p>
    <w:p>
      <w:pPr>
        <w:pStyle w:val="NormalNumberedtext"/>
      </w:pPr>
      <w:r>
        <w:t>The RT Environment and Nature Air Quality Standard requires dispersion modelling to predict air quality impacts at sensitive receptors before construction commences. The modelling must be updated when significant changes to source terms, meteorological inputs, or receptor locations occur.</w:t>
      </w:r>
    </w:p>
    <w:p>
      <w:pPr>
        <w:pStyle w:val="NormalNumberedtext"/>
      </w:pPr>
      <w:r>
        <w:t>The dispersion modelling report must document:</w:t>
      </w:r>
    </w:p>
    <w:p>
      <w:pPr>
        <w:pStyle w:val="NumberedBulletL1"/>
      </w:pPr>
      <w:r>
        <w:t>Model selected and justification for its selection.</w:t>
      </w:r>
    </w:p>
    <w:p>
      <w:pPr>
        <w:pStyle w:val="NumberedBulletL1"/>
      </w:pPr>
      <w:r>
        <w:t>Input data sources including meteorological data, source parameters, and terrain data.</w:t>
      </w:r>
    </w:p>
    <w:p>
      <w:pPr>
        <w:pStyle w:val="NumberedBulletL1"/>
      </w:pPr>
      <w:r>
        <w:t>Assumptions made and their basis.</w:t>
      </w:r>
    </w:p>
    <w:p>
      <w:pPr>
        <w:pStyle w:val="NumberedBulletL1"/>
      </w:pPr>
      <w:r>
        <w:t>Uncertainty ranges for predicted concentrations.</w:t>
      </w:r>
    </w:p>
    <w:p>
      <w:pPr>
        <w:pStyle w:val="NumberedBulletL1"/>
      </w:pPr>
      <w:r>
        <w:t>Predicted concentrations at all identified sensitive receptors.</w:t>
      </w:r>
    </w:p>
    <w:p>
      <w:pPr>
        <w:pStyle w:val="NumberedBulletL1"/>
      </w:pPr>
      <w:r>
        <w:t>Comparison of predictions against applicable performance criteria.</w:t>
      </w:r>
    </w:p>
    <w:p>
      <w:pPr>
        <w:pStyle w:val="NormalNumberedtext"/>
      </w:pPr>
      <w:r>
        <w:rPr>
          <w:b/>
          <w:bCs/>
          <w:color w:val="0059D1"/>
        </w:rPr>
        <w:t>[INSERT: dispersion_modelling_report_reference] — Insert the title and document number of the project dispersion modelling report.</w:t>
      </w:r>
    </w:p>
    <w:p>
      <w:pPr>
        <w:pStyle w:val="NormalNumberedtext"/>
      </w:pPr>
      <w:r>
        <w:t>Model assumptions, uncertainty ranges, monitoring exceedances, incidents, and corrective actions are documented in the air quality performance record and reported annually to internal stakeholders and to external stakeholders where required by permit conditions. Permit reporting obligations are managed under RTPR-HSE-PRO-0001.</w:t>
      </w:r>
    </w:p>
    <w:p>
      <w:pPr>
        <w:pStyle w:val="Heading1Numbered"/>
      </w:pPr>
      <w:r>
        <w:t>6  Emission Controls</w:t>
      </w:r>
    </w:p>
    <w:p>
      <w:pPr>
        <w:pStyle w:val="NormalNumberedtext"/>
      </w:pPr>
      <w:r>
        <w:t>This section defines the control hierarchy and specific control requirements for particulate, gaseous, and other emissions from all project activities.</w:t>
      </w:r>
    </w:p>
    <w:p>
      <w:pPr>
        <w:pStyle w:val="Heading2Numbered"/>
      </w:pPr>
      <w:r>
        <w:t>6.1  Control Hierarchy</w:t>
      </w:r>
    </w:p>
    <w:p>
      <w:pPr>
        <w:pStyle w:val="NormalNumberedtext"/>
      </w:pPr>
      <w:r>
        <w:t>This section defines the order in which emission controls must be applied to all significant emission sources.</w:t>
      </w:r>
    </w:p>
    <w:p>
      <w:pPr>
        <w:pStyle w:val="NormalNumberedtext"/>
      </w:pPr>
      <w:r>
        <w:t>The RT Environment and Nature Air Quality Standard requires facility and equipment controls to minimise particulate, gas, and other emissions to the lowest practicable level. Controls are applied in the following order:</w:t>
      </w:r>
    </w:p>
    <w:p>
      <w:pPr>
        <w:pStyle w:val="NormalNumberedtext"/>
      </w:pPr>
      <w:r>
        <w:t>The control hierarchy for air emissions is:</w:t>
      </w:r>
    </w:p>
    <w:p>
      <w:pPr>
        <w:pStyle w:val="NumberedBulletL1"/>
      </w:pPr>
      <w:r>
        <w:t>Prevent at source: eliminate the emission-generating activity or substitute with a lower-emission method.</w:t>
      </w:r>
    </w:p>
    <w:p>
      <w:pPr>
        <w:pStyle w:val="NumberedBulletL1"/>
      </w:pPr>
      <w:r>
        <w:t>Minimise through design and operation: optimise process parameters, scheduling, and equipment selection to reduce emissions.</w:t>
      </w:r>
    </w:p>
    <w:p>
      <w:pPr>
        <w:pStyle w:val="NumberedBulletL1"/>
      </w:pPr>
      <w:r>
        <w:t>Treat before release: apply capture, filtration, or suppression systems to emissions before they reach the atmosphere.</w:t>
      </w:r>
    </w:p>
    <w:p>
      <w:pPr>
        <w:pStyle w:val="NumberedBulletL1"/>
      </w:pPr>
      <w:r>
        <w:t>Supplementary controls: apply water application, chemical suppressants, or administrative controls as a last resort where higher-order controls are not practicable.</w:t>
      </w:r>
    </w:p>
    <w:p>
      <w:pPr>
        <w:pStyle w:val="NormalNumberedtext"/>
      </w:pPr>
      <w:r>
        <w:t>The Environmental Advisor reviews the effectiveness of controls applied at each source at intervals defined in the monitoring programme. Where controls are found to be ineffective, a corrective action is raised and tracked to closure in the project risk register, managed under RTPR-HSE-PRO-0002.</w:t>
      </w:r>
    </w:p>
    <w:p>
      <w:pPr>
        <w:pStyle w:val="Heading2Numbered"/>
      </w:pPr>
      <w:r>
        <w:t>6.2  Dust Suppression Controls</w:t>
      </w:r>
    </w:p>
    <w:p>
      <w:pPr>
        <w:pStyle w:val="NormalNumberedtext"/>
      </w:pPr>
      <w:r>
        <w:t>This section defines specific dust suppression requirements for each dust-generating activity type on the project.</w:t>
      </w:r>
    </w:p>
    <w:p>
      <w:pPr>
        <w:pStyle w:val="NormalNumberedtext"/>
      </w:pPr>
      <w:r>
        <w:t>The IFC EHS General Guidelines §1.1 require specific dust suppression controls to be defined for each dust-generating activity and their effectiveness to be reviewed at defined intervals. Controls must be applied before the activity commences and maintained throughout the activity duration.</w:t>
      </w:r>
    </w:p>
    <w:tbl>
      <w:tblPr>
        <w:tblStyle w:val="TableOption1"/>
        <w:tblW w:type="pct" w:w="5000"/>
      </w:tblPr>
      <w:tr>
        <w:tc>
          <w:tcPr>
            <w:shd w:val="clear" w:color="auto" w:fill="FFF2CC"/>
          </w:tcPr>
          <w:p>
            <w:pPr>
              <w:pStyle w:val="Instructions"/>
            </w:pPr>
            <w:r>
              <w:rPr>
                <w:b/>
                <w:bCs/>
                <w:color w:val="C55A11"/>
              </w:rPr>
              <w:t>PROJECT COMPLETION GUIDANCE: Define project-specific dust suppression controls for each dust-generating activity type. Complete or amend the table below to reflect actual project conditions, equipment, and road types.</w:t>
            </w:r>
          </w:p>
        </w:tc>
      </w:tr>
    </w:tbl>
    <w:p>
      <w:pPr>
        <w:pStyle w:val="Default"/>
      </w:pPr>
    </w:p>
    <w:p>
      <w:pPr>
        <w:pStyle w:val="NormalNumberedtext"/>
      </w:pPr>
      <w:r>
        <w:t>Table 2: Dust Suppression Controls by Activity Type.</w:t>
      </w:r>
    </w:p>
    <w:tbl>
      <w:tblPr>
        <w:tblStyle w:val="TableOption2"/>
        <w:tblW w:type="pct" w:w="5000"/>
      </w:tblPr>
      <w:tr>
        <w:trPr>
          <w:tblHeader/>
        </w:trPr>
        <w:tc>
          <w:tcPr>
            <w:shd w:val="clear" w:color="auto" w:fill="1F3864"/>
          </w:tcPr>
          <w:p>
            <w:pPr>
              <w:pStyle w:val="TableContents"/>
            </w:pPr>
            <w:r>
              <w:rPr>
                <w:b/>
                <w:bCs/>
                <w:color w:val="FFFFFF"/>
              </w:rPr>
              <w:t>Activity / Source Type</w:t>
            </w:r>
          </w:p>
        </w:tc>
        <w:tc>
          <w:tcPr>
            <w:shd w:val="clear" w:color="auto" w:fill="1F3864"/>
          </w:tcPr>
          <w:p>
            <w:pPr>
              <w:pStyle w:val="TableContents"/>
            </w:pPr>
            <w:r>
              <w:rPr>
                <w:b/>
                <w:bCs/>
                <w:color w:val="FFFFFF"/>
              </w:rPr>
              <w:t>Primary Control</w:t>
            </w:r>
          </w:p>
        </w:tc>
        <w:tc>
          <w:tcPr>
            <w:shd w:val="clear" w:color="auto" w:fill="1F3864"/>
          </w:tcPr>
          <w:p>
            <w:pPr>
              <w:pStyle w:val="TableContents"/>
            </w:pPr>
            <w:r>
              <w:rPr>
                <w:b/>
                <w:bCs/>
                <w:color w:val="FFFFFF"/>
              </w:rPr>
              <w:t>Supplementary Control</w:t>
            </w:r>
          </w:p>
        </w:tc>
        <w:tc>
          <w:tcPr>
            <w:shd w:val="clear" w:color="auto" w:fill="1F3864"/>
          </w:tcPr>
          <w:p>
            <w:pPr>
              <w:pStyle w:val="TableContents"/>
            </w:pPr>
            <w:r>
              <w:rPr>
                <w:b/>
                <w:bCs/>
                <w:color w:val="FFFFFF"/>
              </w:rPr>
              <w:t>Review Interval</w:t>
            </w:r>
          </w:p>
        </w:tc>
      </w:tr>
      <w:tr>
        <w:tc>
          <w:tcPr/>
          <w:p>
            <w:pPr>
              <w:pStyle w:val="TableContents"/>
            </w:pPr>
            <w:r>
              <w:t>Unsealed haul roads</w:t>
            </w:r>
          </w:p>
        </w:tc>
        <w:tc>
          <w:tcPr/>
          <w:p>
            <w:pPr>
              <w:pStyle w:val="TableContents"/>
            </w:pPr>
            <w:r>
              <w:t>{'text': 'Water cart application at a minimum frequency of [INSERT: frequency, e.g. every 2 hours in dry conditions]', 'suggested': True}</w:t>
            </w:r>
          </w:p>
        </w:tc>
        <w:tc>
          <w:tcPr/>
          <w:p>
            <w:pPr>
              <w:pStyle w:val="TableContents"/>
            </w:pPr>
            <w:r>
              <w:t>{'text': 'Chemical dust suppressant applied to high-traffic sections', 'suggested': True}</w:t>
            </w:r>
          </w:p>
        </w:tc>
        <w:tc>
          <w:tcPr/>
          <w:p>
            <w:pPr>
              <w:pStyle w:val="TableContents"/>
            </w:pPr>
            <w:r>
              <w:t>{'text': 'Weekly inspection by Environmental Advisor', 'suggested': True}</w:t>
            </w:r>
          </w:p>
        </w:tc>
      </w:tr>
      <w:tr>
        <w:tc>
          <w:tcPr/>
          <w:p>
            <w:pPr>
              <w:pStyle w:val="TableContents"/>
            </w:pPr>
            <w:r>
              <w:t>Unsealed access tracks and laydown areas</w:t>
            </w:r>
          </w:p>
        </w:tc>
        <w:tc>
          <w:tcPr/>
          <w:p>
            <w:pPr>
              <w:pStyle w:val="TableContents"/>
            </w:pPr>
            <w:r>
              <w:t>{'text': 'Water application before and during dry or windy conditions', 'suggested': True}</w:t>
            </w:r>
          </w:p>
        </w:tc>
        <w:tc>
          <w:tcPr/>
          <w:p>
            <w:pPr>
              <w:pStyle w:val="TableContents"/>
            </w:pPr>
            <w:r>
              <w:t>{'text': 'Speed limit of [INSERT: speed limit, e.g. 25 km/h] enforced on all unsealed surfaces', 'suggested': True}</w:t>
            </w:r>
          </w:p>
        </w:tc>
        <w:tc>
          <w:tcPr/>
          <w:p>
            <w:pPr>
              <w:pStyle w:val="TableContents"/>
            </w:pPr>
            <w:r>
              <w:t>{'text': 'Weekly inspection', 'suggested': True}</w:t>
            </w:r>
          </w:p>
        </w:tc>
      </w:tr>
      <w:tr>
        <w:tc>
          <w:tcPr/>
          <w:p>
            <w:pPr>
              <w:pStyle w:val="TableContents"/>
            </w:pPr>
            <w:r>
              <w:t>Crushing and screening operations</w:t>
            </w:r>
          </w:p>
        </w:tc>
        <w:tc>
          <w:tcPr/>
          <w:p>
            <w:pPr>
              <w:pStyle w:val="TableContents"/>
            </w:pPr>
            <w:r>
              <w:t>{'text': 'Enclosed transfer points with water sprays or misting systems', 'suggested': True}</w:t>
            </w:r>
          </w:p>
        </w:tc>
        <w:tc>
          <w:tcPr/>
          <w:p>
            <w:pPr>
              <w:pStyle w:val="TableContents"/>
            </w:pPr>
            <w:r>
              <w:t>{'text': 'Operational pause during wind speeds exceeding [INSERT: threshold, e.g. 7 m/s at the source]', 'suggested': True}</w:t>
            </w:r>
          </w:p>
        </w:tc>
        <w:tc>
          <w:tcPr/>
          <w:p>
            <w:pPr>
              <w:pStyle w:val="TableContents"/>
            </w:pPr>
            <w:r>
              <w:t>{'text': 'Daily review during operations', 'suggested': True}</w:t>
            </w:r>
          </w:p>
        </w:tc>
      </w:tr>
      <w:tr>
        <w:tc>
          <w:tcPr/>
          <w:p>
            <w:pPr>
              <w:pStyle w:val="TableContents"/>
            </w:pPr>
            <w:r>
              <w:t>Blasting</w:t>
            </w:r>
          </w:p>
        </w:tc>
        <w:tc>
          <w:tcPr/>
          <w:p>
            <w:pPr>
              <w:pStyle w:val="TableContents"/>
            </w:pPr>
            <w:r>
              <w:t>{'text': 'Pre-blast wetting of blast face and muck pile', 'suggested': True}</w:t>
            </w:r>
          </w:p>
        </w:tc>
        <w:tc>
          <w:tcPr/>
          <w:p>
            <w:pPr>
              <w:pStyle w:val="TableContents"/>
            </w:pPr>
            <w:r>
              <w:t>{'text': 'Blast timing restricted to conditions outside adverse meteorological windows defined in the TARP', 'suggested': True}</w:t>
            </w:r>
          </w:p>
        </w:tc>
        <w:tc>
          <w:tcPr/>
          <w:p>
            <w:pPr>
              <w:pStyle w:val="TableContents"/>
            </w:pPr>
            <w:r>
              <w:t>{'text': 'Post-blast inspection before resuming activities', 'suggested': True}</w:t>
            </w:r>
          </w:p>
        </w:tc>
      </w:tr>
      <w:tr>
        <w:tc>
          <w:tcPr/>
          <w:p>
            <w:pPr>
              <w:pStyle w:val="TableContents"/>
            </w:pPr>
            <w:r>
              <w:t>Truck loading and unloading</w:t>
            </w:r>
          </w:p>
        </w:tc>
        <w:tc>
          <w:tcPr/>
          <w:p>
            <w:pPr>
              <w:pStyle w:val="TableContents"/>
            </w:pPr>
            <w:r>
              <w:t>{'text': 'Load covers fitted to all vehicles carrying fine material on public or shared roads', 'suggested': True}</w:t>
            </w:r>
          </w:p>
        </w:tc>
        <w:tc>
          <w:tcPr/>
          <w:p>
            <w:pPr>
              <w:pStyle w:val="TableContents"/>
            </w:pPr>
            <w:r>
              <w:t>{'text': 'Wheel wash at site exit points', 'suggested': True}</w:t>
            </w:r>
          </w:p>
        </w:tc>
        <w:tc>
          <w:tcPr/>
          <w:p>
            <w:pPr>
              <w:pStyle w:val="TableContents"/>
            </w:pPr>
            <w:r>
              <w:t>{'text': 'Daily supervisor check', 'suggested': True}</w:t>
            </w:r>
          </w:p>
        </w:tc>
      </w:tr>
      <w:tr>
        <w:tc>
          <w:tcPr/>
          <w:p>
            <w:pPr>
              <w:pStyle w:val="TableContents"/>
            </w:pPr>
            <w:r>
              <w:rPr>
                <w:b/>
                <w:bCs/>
                <w:color w:val="0059D1"/>
              </w:rPr>
              <w:t>[INSERT: activity type]</w:t>
            </w:r>
          </w:p>
        </w:tc>
        <w:tc>
          <w:tcPr/>
          <w:p>
            <w:pPr>
              <w:pStyle w:val="TableContents"/>
            </w:pPr>
            <w:r>
              <w:rPr>
                <w:b/>
                <w:bCs/>
                <w:color w:val="0059D1"/>
              </w:rPr>
              <w:t>[INSERT: primary control]</w:t>
            </w:r>
          </w:p>
        </w:tc>
        <w:tc>
          <w:tcPr/>
          <w:p>
            <w:pPr>
              <w:pStyle w:val="TableContents"/>
            </w:pPr>
            <w:r>
              <w:rPr>
                <w:b/>
                <w:bCs/>
                <w:color w:val="0059D1"/>
              </w:rPr>
              <w:t>[INSERT: supplementary control]</w:t>
            </w:r>
          </w:p>
        </w:tc>
        <w:tc>
          <w:tcPr/>
          <w:p>
            <w:pPr>
              <w:pStyle w:val="TableContents"/>
            </w:pPr>
            <w:r>
              <w:rPr>
                <w:b/>
                <w:bCs/>
                <w:color w:val="0059D1"/>
              </w:rPr>
              <w:t>[INSERT: review interval]</w:t>
            </w:r>
          </w:p>
        </w:tc>
      </w:tr>
    </w:tbl>
    <w:p>
      <w:pPr>
        <w:pStyle w:val="Default"/>
      </w:pPr>
    </w:p>
    <w:p>
      <w:pPr>
        <w:pStyle w:val="NormalNumberedtext"/>
      </w:pPr>
      <w:r>
        <w:t>Contractors are responsible for maintaining dust suppression equipment in operational condition. The Construction Manager confirms that suppression equipment is inspected before each shift on which dust-generating activities are planned. Non-operational equipment is reported to the HSESC Manager and the activity does not commence until the control is restored or an equivalent alternative is in place.</w:t>
      </w:r>
    </w:p>
    <w:tbl>
      <w:tblPr>
        <w:tblStyle w:val="TableOption1"/>
        <w:tblW w:type="pct" w:w="5000"/>
      </w:tblPr>
      <w:tr>
        <w:tc>
          <w:tcPr>
            <w:shd w:val="clear" w:color="auto" w:fill="FFF2CC"/>
          </w:tcPr>
          <w:p>
            <w:pPr>
              <w:pStyle w:val="Instructions"/>
            </w:pPr>
            <w:r>
              <w:rPr>
                <w:b/>
                <w:bCs/>
                <w:color w:val="C55A11"/>
              </w:rPr>
              <w:t>APPC REQUIREMENT [Appendix C, C-4 §92.2.6]: Work activities may be temporarily stopped or relocated if directed by the Company in response to predicted adverse weather conditions or monitoring result exceedances. The TARP in Section 6 defines the conditions and escalation process for this action.</w:t>
            </w:r>
          </w:p>
        </w:tc>
      </w:tr>
    </w:tbl>
    <w:p>
      <w:pPr>
        <w:pStyle w:val="Default"/>
      </w:pPr>
    </w:p>
    <w:p>
      <w:pPr>
        <w:pStyle w:val="Heading1Numbered"/>
      </w:pPr>
      <w:r>
        <w:t>7  Stressors — Noise, Vibration, Light and Odour</w:t>
      </w:r>
    </w:p>
    <w:p>
      <w:pPr>
        <w:pStyle w:val="NormalNumberedtext"/>
      </w:pPr>
      <w:r>
        <w:t>This section defines management requirements for associated stressors including community noise, vibration, artificial light, and odour arising from project activities.</w:t>
      </w:r>
    </w:p>
    <w:p>
      <w:pPr>
        <w:pStyle w:val="Heading2Numbered"/>
      </w:pPr>
      <w:r>
        <w:t>7.1  Stressor Assessment and Control Framework</w:t>
      </w:r>
    </w:p>
    <w:p>
      <w:pPr>
        <w:pStyle w:val="NormalNumberedtext"/>
      </w:pPr>
      <w:r>
        <w:t>This section defines how stressor impacts are assessed, how controls and performance criteria are set, and which roles are accountable.</w:t>
      </w:r>
    </w:p>
    <w:p>
      <w:pPr>
        <w:pStyle w:val="NormalNumberedtext"/>
      </w:pPr>
      <w:r>
        <w:t>The RT Environment and Nature Air Quality Standard requires stressor impacts from light, noise, odour, and vibration to be documented following risk and impact assessment that considers effects on ecosystems, human health, and community wellbeing. Controls and performance criteria are defined for each stressor and reviewed whenever the risk assessment is updated under RTPR-HSE-PRO-0002.</w:t>
      </w:r>
    </w:p>
    <w:p>
      <w:pPr>
        <w:pStyle w:val="NormalNumberedtext"/>
      </w:pPr>
      <w:r>
        <w:t>The IFC EHS General Guidelines §1.7 require community noise and vibration to be managed to meet WHO guidelines and applicable national standards. A community complaint monitoring system is maintained for all air quality and stressor impacts. Occupational noise exposure is governed separately under RTPR-HSE-PRO-0013.</w:t>
      </w:r>
    </w:p>
    <w:p>
      <w:pPr>
        <w:pStyle w:val="NormalNumberedtext"/>
      </w:pPr>
      <w:r>
        <w:t>For each stressor, the following must be documented:</w:t>
      </w:r>
    </w:p>
    <w:p>
      <w:pPr>
        <w:pStyle w:val="NumberedBulletL1"/>
      </w:pPr>
      <w:r>
        <w:t>Applicable performance criteria derived from WHO guidelines or national standards, whichever is more stringent.</w:t>
      </w:r>
    </w:p>
    <w:p>
      <w:pPr>
        <w:pStyle w:val="NumberedBulletL1"/>
      </w:pPr>
      <w:r>
        <w:t>Identified sensitive receptors and their proximity to project activities.</w:t>
      </w:r>
    </w:p>
    <w:p>
      <w:pPr>
        <w:pStyle w:val="NumberedBulletL1"/>
      </w:pPr>
      <w:r>
        <w:t>Controls applied and the basis for their selection.</w:t>
      </w:r>
    </w:p>
    <w:p>
      <w:pPr>
        <w:pStyle w:val="NumberedBulletL1"/>
      </w:pPr>
      <w:r>
        <w:t>Monitoring method and frequency.</w:t>
      </w:r>
    </w:p>
    <w:p>
      <w:pPr>
        <w:pStyle w:val="NumberedBulletL1"/>
      </w:pPr>
      <w:r>
        <w:t>Trigger levels and escalation actions consistent with the TARP in Section 6.</w:t>
      </w:r>
    </w:p>
    <w:p>
      <w:pPr>
        <w:pStyle w:val="Heading2Numbered"/>
      </w:pPr>
      <w:r>
        <w:t>7.2  Community Noise</w:t>
      </w:r>
    </w:p>
    <w:p>
      <w:pPr>
        <w:pStyle w:val="NormalNumberedtext"/>
      </w:pPr>
      <w:r>
        <w:t>This section defines project-specific community noise limits, controls, and the community complaint response process.</w:t>
      </w:r>
    </w:p>
    <w:tbl>
      <w:tblPr>
        <w:tblStyle w:val="TableOption1"/>
        <w:tblW w:type="pct" w:w="5000"/>
      </w:tblPr>
      <w:tr>
        <w:tc>
          <w:tcPr>
            <w:shd w:val="clear" w:color="auto" w:fill="FFF2CC"/>
          </w:tcPr>
          <w:p>
            <w:pPr>
              <w:pStyle w:val="Instructions"/>
            </w:pPr>
            <w:r>
              <w:rPr>
                <w:b/>
                <w:bCs/>
                <w:color w:val="C55A11"/>
              </w:rPr>
              <w:t>PROJECT COMPLETION GUIDANCE: Define project community noise limits based on applicable permit conditions and community agreements. Complete the table below with project-specific limits by time period and sensitive receptor location.</w:t>
            </w:r>
          </w:p>
        </w:tc>
      </w:tr>
    </w:tbl>
    <w:p>
      <w:pPr>
        <w:pStyle w:val="Default"/>
      </w:pPr>
    </w:p>
    <w:p>
      <w:pPr>
        <w:pStyle w:val="NormalNumberedtext"/>
      </w:pPr>
      <w:r>
        <w:t>Table 3: Project Community Noise Limits by Time Period and Receptor.</w:t>
      </w:r>
    </w:p>
    <w:tbl>
      <w:tblPr>
        <w:tblStyle w:val="TableOption2"/>
        <w:tblW w:type="pct" w:w="5000"/>
      </w:tblPr>
      <w:tr>
        <w:trPr>
          <w:tblHeader/>
        </w:trPr>
        <w:tc>
          <w:tcPr>
            <w:shd w:val="clear" w:color="auto" w:fill="1F3864"/>
          </w:tcPr>
          <w:p>
            <w:pPr>
              <w:pStyle w:val="TableContents"/>
            </w:pPr>
            <w:r>
              <w:rPr>
                <w:b/>
                <w:bCs/>
                <w:color w:val="FFFFFF"/>
              </w:rPr>
              <w:t>Sensitive Receptor / Location</w:t>
            </w:r>
          </w:p>
        </w:tc>
        <w:tc>
          <w:tcPr>
            <w:shd w:val="clear" w:color="auto" w:fill="1F3864"/>
          </w:tcPr>
          <w:p>
            <w:pPr>
              <w:pStyle w:val="TableContents"/>
            </w:pPr>
            <w:r>
              <w:rPr>
                <w:b/>
                <w:bCs/>
                <w:color w:val="FFFFFF"/>
              </w:rPr>
              <w:t>Day Limit dB(A)</w:t>
            </w:r>
          </w:p>
        </w:tc>
        <w:tc>
          <w:tcPr>
            <w:shd w:val="clear" w:color="auto" w:fill="1F3864"/>
          </w:tcPr>
          <w:p>
            <w:pPr>
              <w:pStyle w:val="TableContents"/>
            </w:pPr>
            <w:r>
              <w:rPr>
                <w:b/>
                <w:bCs/>
                <w:color w:val="FFFFFF"/>
              </w:rPr>
              <w:t>Evening Limit dB(A)</w:t>
            </w:r>
          </w:p>
        </w:tc>
        <w:tc>
          <w:tcPr>
            <w:shd w:val="clear" w:color="auto" w:fill="1F3864"/>
          </w:tcPr>
          <w:p>
            <w:pPr>
              <w:pStyle w:val="TableContents"/>
            </w:pPr>
            <w:r>
              <w:rPr>
                <w:b/>
                <w:bCs/>
                <w:color w:val="FFFFFF"/>
              </w:rPr>
              <w:t>Night Limit dB(A)</w:t>
            </w:r>
          </w:p>
        </w:tc>
        <w:tc>
          <w:tcPr>
            <w:shd w:val="clear" w:color="auto" w:fill="1F3864"/>
          </w:tcPr>
          <w:p>
            <w:pPr>
              <w:pStyle w:val="TableContents"/>
            </w:pPr>
            <w:r>
              <w:rPr>
                <w:b/>
                <w:bCs/>
                <w:color w:val="FFFFFF"/>
              </w:rPr>
              <w:t>Basis (Permit / Agreement / WHO)</w:t>
            </w:r>
          </w:p>
        </w:tc>
      </w:tr>
      <w:tr>
        <w:tc>
          <w:tcPr/>
          <w:p>
            <w:pPr>
              <w:pStyle w:val="TableContents"/>
            </w:pPr>
            <w:r>
              <w:t>insert</w:t>
            </w:r>
          </w:p>
        </w:tc>
        <w:tc>
          <w:tcPr/>
          <w:p>
            <w:pPr>
              <w:pStyle w:val="TableContents"/>
            </w:pPr>
            <w:r>
              <w:t>field</w:t>
            </w:r>
          </w:p>
        </w:tc>
        <w:tc>
          <w:tcPr/>
          <w:p>
            <w:pPr>
              <w:pStyle w:val="TableContents"/>
            </w:pPr>
            <w:r>
              <w:t>hint</w:t>
            </w:r>
          </w:p>
        </w:tc>
      </w:tr>
      <w:tr>
        <w:tc>
          <w:tcPr/>
          <w:p>
            <w:pPr>
              <w:pStyle w:val="TableContents"/>
            </w:pPr>
            <w:r>
              <w:t>insert</w:t>
            </w:r>
          </w:p>
        </w:tc>
        <w:tc>
          <w:tcPr/>
          <w:p>
            <w:pPr>
              <w:pStyle w:val="TableContents"/>
            </w:pPr>
            <w:r>
              <w:t>field</w:t>
            </w:r>
          </w:p>
        </w:tc>
        <w:tc>
          <w:tcPr/>
          <w:p>
            <w:pPr>
              <w:pStyle w:val="TableContents"/>
            </w:pPr>
            <w:r>
              <w:t>hint</w:t>
            </w:r>
          </w:p>
        </w:tc>
      </w:tr>
    </w:tbl>
    <w:p>
      <w:pPr>
        <w:pStyle w:val="Default"/>
      </w:pPr>
    </w:p>
    <w:p>
      <w:pPr>
        <w:pStyle w:val="NormalNumberedtext"/>
      </w:pPr>
      <w:r>
        <w:t>The HSESC Manager maintains a community complaint register for noise and all other stressor impacts. Each complaint is logged with the date, nature of the complaint, receptor location, and the response action taken. The register is reviewed monthly and outcomes are reported as part of the annual air quality performance report.</w:t>
      </w:r>
    </w:p>
    <w:p>
      <w:pPr>
        <w:pStyle w:val="NormalNumberedtext"/>
      </w:pPr>
      <w:r>
        <w:t>Report all incidents and near misses related to stressor exceedances per project requirements, refer RTPR-HSE-PRO-0009.</w:t>
      </w:r>
    </w:p>
    <w:p>
      <w:pPr>
        <w:pStyle w:val="Heading2Numbered"/>
      </w:pPr>
      <w:r>
        <w:t>7.3  Vibration, Artificial Light, and Odour</w:t>
      </w:r>
    </w:p>
    <w:p>
      <w:pPr>
        <w:pStyle w:val="NormalNumberedtext"/>
      </w:pPr>
      <w:r>
        <w:t>This section defines management requirements for vibration, artificial light, and odour as associated stressors.</w:t>
      </w:r>
    </w:p>
    <w:p>
      <w:pPr>
        <w:pStyle w:val="NormalNumberedtext"/>
      </w:pPr>
      <w:r>
        <w:t>The following stressor-specific controls apply:</w:t>
      </w:r>
    </w:p>
    <w:p>
      <w:pPr>
        <w:pStyle w:val="NumberedBulletL1"/>
      </w:pPr>
      <w:r>
        <w:rPr>
          <w:color w:val="C55A11"/>
        </w:rPr>
        <w:t>Vibration: blasting and compaction activities are scheduled to avoid night-time and evening periods at sensitive receptors. Ground vibration limits are set at [INSERT: limit, e.g. 5 mm/s PPV at the nearest receptor] consistent with applicable standards. Vibration monitoring is conducted during blasting events at receptors within [INSERT: distance] of the blast location.</w:t>
      </w:r>
    </w:p>
    <w:p>
      <w:pPr>
        <w:pStyle w:val="NumberedBulletL1"/>
      </w:pPr>
      <w:r>
        <w:rPr>
          <w:color w:val="C55A11"/>
        </w:rPr>
        <w:t>Artificial light: project lighting is directed inward and downward using shielded luminaires to prevent spill beyond the project boundary. Lighting intensity and hours of operation are reviewed against community agreements and permit conditions at [INSERT: frequency, e.g. quarterly].</w:t>
      </w:r>
    </w:p>
    <w:p>
      <w:pPr>
        <w:pStyle w:val="NumberedBulletL1"/>
      </w:pPr>
      <w:r>
        <w:rPr>
          <w:color w:val="C55A11"/>
        </w:rPr>
        <w:t>Odour: odour-generating activities including fuel storage, waste handling, and chemical use are managed in accordance with RTPR-HSE-PRO-0039. Odour complaints are logged in the community complaint register and investigated within [INSERT: timeframe, e.g. 24 hours] of receipt.</w:t>
      </w:r>
    </w:p>
    <w:p>
      <w:pPr>
        <w:pStyle w:val="NumberedBulletL1"/>
      </w:pPr>
      <w:r>
        <w:rPr>
          <w:b/>
          <w:bCs/>
          <w:color w:val="0059D1"/>
        </w:rPr>
        <w:t>[INSERT: additional_stressor_controls]</w:t>
      </w:r>
    </w:p>
    <w:p>
      <w:pPr>
        <w:pStyle w:val="NormalNumberedtext"/>
      </w:pPr>
      <w:r>
        <w:t>Performance criteria for vibration, light, and odour are documented in the stressor assessment record referenced below and reviewed whenever a significant change to project activities or receptor conditions occurs.</w:t>
      </w:r>
    </w:p>
    <w:p>
      <w:pPr>
        <w:pStyle w:val="NormalNumberedtext"/>
      </w:pPr>
      <w:r>
        <w:rPr>
          <w:b/>
          <w:bCs/>
          <w:color w:val="0059D1"/>
        </w:rPr>
        <w:t>[INSERT: stressor_assessment_reference] — Insert the title and document number of the project stressor assessment record or impact assessment.</w:t>
      </w:r>
    </w:p>
    <w:p>
      <w:pPr>
        <w:pStyle w:val="Heading1Numbered"/>
      </w:pPr>
      <w:r>
        <w:t>8  Air Quality Monitoring Programme</w:t>
      </w:r>
    </w:p>
    <w:p>
      <w:pPr>
        <w:pStyle w:val="NormalNumberedtext"/>
      </w:pPr>
      <w:r>
        <w:t>This section defines the project air quality monitoring network, parameters, measurement frequency, equipment requirements, and data management obligations.</w:t>
      </w:r>
    </w:p>
    <w:p>
      <w:pPr>
        <w:pStyle w:val="Heading2Numbered"/>
      </w:pPr>
      <w:r>
        <w:t>8.1  Monitoring Network</w:t>
      </w:r>
    </w:p>
    <w:p>
      <w:pPr>
        <w:pStyle w:val="NormalNumberedtext"/>
      </w:pPr>
      <w:r>
        <w:t>This section defines monitoring locations, parameters, equipment types, and measurement frequency for the project monitoring network.</w:t>
      </w:r>
    </w:p>
    <w:p>
      <w:pPr>
        <w:pStyle w:val="NormalNumberedtext"/>
      </w:pPr>
      <w:r>
        <w:t>The RT Environment and Nature Air Quality Standard requires a monitoring network sufficient to verify performance criteria and compliance obligations. The network is established before construction commences and maintained throughout the project lifecycle. Monitoring data and outputs feed into the broader environmental monitoring programme governed by RTPR-HSE-PRO-0042.</w:t>
      </w:r>
    </w:p>
    <w:tbl>
      <w:tblPr>
        <w:tblStyle w:val="TableOption1"/>
        <w:tblW w:type="pct" w:w="5000"/>
      </w:tblPr>
      <w:tr>
        <w:tc>
          <w:tcPr>
            <w:shd w:val="clear" w:color="auto" w:fill="FFF2CC"/>
          </w:tcPr>
          <w:p>
            <w:pPr>
              <w:pStyle w:val="Instructions"/>
            </w:pPr>
            <w:r>
              <w:rPr>
                <w:b/>
                <w:bCs/>
                <w:color w:val="C55A11"/>
              </w:rPr>
              <w:t>PROJECT COMPLETION GUIDANCE: Define the project air quality monitoring network below. Complete the table with monitoring locations, parameters, measurement frequency, and equipment types before construction commences.</w:t>
            </w:r>
          </w:p>
        </w:tc>
      </w:tr>
    </w:tbl>
    <w:p>
      <w:pPr>
        <w:pStyle w:val="Default"/>
      </w:pPr>
    </w:p>
    <w:tbl>
      <w:tblPr>
        <w:tblStyle w:val="TableOption1"/>
        <w:tblW w:type="pct" w:w="5000"/>
      </w:tblPr>
      <w:tr>
        <w:tc>
          <w:tcPr>
            <w:shd w:val="clear" w:color="auto" w:fill="FFF2CC"/>
          </w:tcPr>
          <w:p>
            <w:pPr>
              <w:pStyle w:val="Instructions"/>
            </w:pPr>
            <w:r>
              <w:rPr>
                <w:b/>
                <w:bCs/>
                <w:color w:val="C55A11"/>
              </w:rPr>
              <w:t>APPC REQUIREMENT [Appendix C, C-4 §92.2.4]: Upon request of the Company, the project must install and operate real-time or depositional-type dust or emission monitoring systems. Monitoring data and reports must be provided to the Company upon request. The monitoring network design must accommodate this requirement.</w:t>
            </w:r>
          </w:p>
        </w:tc>
      </w:tr>
    </w:tbl>
    <w:p>
      <w:pPr>
        <w:pStyle w:val="Default"/>
      </w:pPr>
    </w:p>
    <w:p>
      <w:pPr>
        <w:pStyle w:val="NormalNumberedtext"/>
      </w:pPr>
      <w:r>
        <w:t>Table 4: Air Quality Monitoring Network.</w:t>
      </w:r>
    </w:p>
    <w:tbl>
      <w:tblPr>
        <w:tblStyle w:val="TableOption2"/>
        <w:tblW w:type="pct" w:w="5000"/>
      </w:tblPr>
      <w:tr>
        <w:trPr>
          <w:tblHeader/>
        </w:trPr>
        <w:tc>
          <w:tcPr>
            <w:shd w:val="clear" w:color="auto" w:fill="1F3864"/>
          </w:tcPr>
          <w:p>
            <w:pPr>
              <w:pStyle w:val="TableContents"/>
            </w:pPr>
            <w:r>
              <w:rPr>
                <w:b/>
                <w:bCs/>
                <w:color w:val="FFFFFF"/>
              </w:rPr>
              <w:t>Monitoring Location</w:t>
            </w:r>
          </w:p>
        </w:tc>
        <w:tc>
          <w:tcPr>
            <w:shd w:val="clear" w:color="auto" w:fill="1F3864"/>
          </w:tcPr>
          <w:p>
            <w:pPr>
              <w:pStyle w:val="TableContents"/>
            </w:pPr>
            <w:r>
              <w:rPr>
                <w:b/>
                <w:bCs/>
                <w:color w:val="FFFFFF"/>
              </w:rPr>
              <w:t>Parameter(s)</w:t>
            </w:r>
          </w:p>
        </w:tc>
        <w:tc>
          <w:tcPr>
            <w:shd w:val="clear" w:color="auto" w:fill="1F3864"/>
          </w:tcPr>
          <w:p>
            <w:pPr>
              <w:pStyle w:val="TableContents"/>
            </w:pPr>
            <w:r>
              <w:rPr>
                <w:b/>
                <w:bCs/>
                <w:color w:val="FFFFFF"/>
              </w:rPr>
              <w:t>Measurement Method / Equipment</w:t>
            </w:r>
          </w:p>
        </w:tc>
        <w:tc>
          <w:tcPr>
            <w:shd w:val="clear" w:color="auto" w:fill="1F3864"/>
          </w:tcPr>
          <w:p>
            <w:pPr>
              <w:pStyle w:val="TableContents"/>
            </w:pPr>
            <w:r>
              <w:rPr>
                <w:b/>
                <w:bCs/>
                <w:color w:val="FFFFFF"/>
              </w:rPr>
              <w:t>Measurement Frequency</w:t>
            </w:r>
          </w:p>
        </w:tc>
        <w:tc>
          <w:tcPr>
            <w:shd w:val="clear" w:color="auto" w:fill="1F3864"/>
          </w:tcPr>
          <w:p>
            <w:pPr>
              <w:pStyle w:val="TableContents"/>
            </w:pPr>
            <w:r>
              <w:rPr>
                <w:b/>
                <w:bCs/>
                <w:color w:val="FFFFFF"/>
              </w:rPr>
              <w:t>Responsible Role</w:t>
            </w:r>
          </w:p>
        </w:tc>
      </w:tr>
      <w:tr>
        <w:tc>
          <w:tcPr/>
          <w:p>
            <w:pPr>
              <w:pStyle w:val="TableContents"/>
            </w:pPr>
            <w:r>
              <w:t>{'text': 'Upwind boundary monitor', 'suggested': True}</w:t>
            </w:r>
          </w:p>
        </w:tc>
        <w:tc>
          <w:tcPr/>
          <w:p>
            <w:pPr>
              <w:pStyle w:val="TableContents"/>
            </w:pPr>
            <w:r>
              <w:t>{'text': 'PM10, PM2.5, TSP', 'suggested': True}</w:t>
            </w:r>
          </w:p>
        </w:tc>
        <w:tc>
          <w:tcPr/>
          <w:p>
            <w:pPr>
              <w:pStyle w:val="TableContents"/>
            </w:pPr>
            <w:r>
              <w:t>{'text': 'High-volume sampler or real-time monitor', 'suggested': True}</w:t>
            </w:r>
          </w:p>
        </w:tc>
        <w:tc>
          <w:tcPr/>
          <w:p>
            <w:pPr>
              <w:pStyle w:val="TableContents"/>
            </w:pPr>
            <w:r>
              <w:t>{'text': 'Continuous during active construction', 'suggested': True}</w:t>
            </w:r>
          </w:p>
        </w:tc>
        <w:tc>
          <w:tcPr/>
          <w:p>
            <w:pPr>
              <w:pStyle w:val="TableContents"/>
            </w:pPr>
            <w:r>
              <w:t>{'text': '[INSERT: Environmental Advisor]', 'suggested': True}</w:t>
            </w:r>
          </w:p>
        </w:tc>
      </w:tr>
      <w:tr>
        <w:tc>
          <w:tcPr/>
          <w:p>
            <w:pPr>
              <w:pStyle w:val="TableContents"/>
            </w:pPr>
            <w:r>
              <w:t>{'text': 'Downwind boundary monitor nearest to sensitive receptor', 'suggested': True}</w:t>
            </w:r>
          </w:p>
        </w:tc>
        <w:tc>
          <w:tcPr/>
          <w:p>
            <w:pPr>
              <w:pStyle w:val="TableContents"/>
            </w:pPr>
            <w:r>
              <w:t>{'text': 'PM10, PM2.5, TSP', 'suggested': True}</w:t>
            </w:r>
          </w:p>
        </w:tc>
        <w:tc>
          <w:tcPr/>
          <w:p>
            <w:pPr>
              <w:pStyle w:val="TableContents"/>
            </w:pPr>
            <w:r>
              <w:t>{'text': 'High-volume sampler or real-time monitor', 'suggested': True}</w:t>
            </w:r>
          </w:p>
        </w:tc>
        <w:tc>
          <w:tcPr/>
          <w:p>
            <w:pPr>
              <w:pStyle w:val="TableContents"/>
            </w:pPr>
            <w:r>
              <w:t>{'text': 'Continuous during active construction', 'suggested': True}</w:t>
            </w:r>
          </w:p>
        </w:tc>
        <w:tc>
          <w:tcPr/>
          <w:p>
            <w:pPr>
              <w:pStyle w:val="TableContents"/>
            </w:pPr>
            <w:r>
              <w:t>{'text': '[INSERT: Environmental Advisor]', 'suggested': True}</w:t>
            </w:r>
          </w:p>
        </w:tc>
      </w:tr>
      <w:tr>
        <w:tc>
          <w:tcPr/>
          <w:p>
            <w:pPr>
              <w:pStyle w:val="TableContents"/>
            </w:pPr>
            <w:r>
              <w:t>{'text': 'Sensitive receptor location', 'suggested': True}</w:t>
            </w:r>
          </w:p>
        </w:tc>
        <w:tc>
          <w:tcPr/>
          <w:p>
            <w:pPr>
              <w:pStyle w:val="TableContents"/>
            </w:pPr>
            <w:r>
              <w:t>{'text': 'PM10, PM2.5, dustfall', 'suggested': True}</w:t>
            </w:r>
          </w:p>
        </w:tc>
        <w:tc>
          <w:tcPr/>
          <w:p>
            <w:pPr>
              <w:pStyle w:val="TableContents"/>
            </w:pPr>
            <w:r>
              <w:t>{'text': 'Depositional gauge or passive sampler', 'suggested': True}</w:t>
            </w:r>
          </w:p>
        </w:tc>
        <w:tc>
          <w:tcPr/>
          <w:p>
            <w:pPr>
              <w:pStyle w:val="TableContents"/>
            </w:pPr>
            <w:r>
              <w:t>{'text': 'Monthly collection and analysis', 'suggested': True}</w:t>
            </w:r>
          </w:p>
        </w:tc>
        <w:tc>
          <w:tcPr/>
          <w:p>
            <w:pPr>
              <w:pStyle w:val="TableContents"/>
            </w:pPr>
            <w:r>
              <w:t>{'text': '[INSERT: Environmental Advisor]', 'suggested': True}</w:t>
            </w:r>
          </w:p>
        </w:tc>
      </w:tr>
      <w:tr>
        <w:tc>
          <w:tcPr/>
          <w:p>
            <w:pPr>
              <w:pStyle w:val="TableContents"/>
            </w:pPr>
            <w:r>
              <w:rPr>
                <w:b/>
                <w:bCs/>
                <w:color w:val="0059D1"/>
              </w:rPr>
              <w:t>[INSERT: monitoring location]</w:t>
            </w:r>
          </w:p>
        </w:tc>
        <w:tc>
          <w:tcPr/>
          <w:p>
            <w:pPr>
              <w:pStyle w:val="TableContents"/>
            </w:pPr>
            <w:r>
              <w:rPr>
                <w:b/>
                <w:bCs/>
                <w:color w:val="0059D1"/>
              </w:rPr>
              <w:t>[INSERT: parameter(s)]</w:t>
            </w:r>
          </w:p>
        </w:tc>
        <w:tc>
          <w:tcPr/>
          <w:p>
            <w:pPr>
              <w:pStyle w:val="TableContents"/>
            </w:pPr>
            <w:r>
              <w:rPr>
                <w:b/>
                <w:bCs/>
                <w:color w:val="0059D1"/>
              </w:rPr>
              <w:t>[INSERT: equipment type]</w:t>
            </w:r>
          </w:p>
        </w:tc>
        <w:tc>
          <w:tcPr/>
          <w:p>
            <w:pPr>
              <w:pStyle w:val="TableContents"/>
            </w:pPr>
            <w:r>
              <w:rPr>
                <w:b/>
                <w:bCs/>
                <w:color w:val="0059D1"/>
              </w:rPr>
              <w:t>[INSERT: frequency]</w:t>
            </w:r>
          </w:p>
        </w:tc>
        <w:tc>
          <w:tcPr/>
          <w:p>
            <w:pPr>
              <w:pStyle w:val="TableContents"/>
            </w:pPr>
            <w:r>
              <w:rPr>
                <w:b/>
                <w:bCs/>
                <w:color w:val="0059D1"/>
              </w:rPr>
              <w:t>[INSERT: responsible role]</w:t>
            </w:r>
          </w:p>
        </w:tc>
      </w:tr>
    </w:tbl>
    <w:p>
      <w:pPr>
        <w:pStyle w:val="Default"/>
      </w:pPr>
    </w:p>
    <w:p>
      <w:pPr>
        <w:pStyle w:val="NormalNumberedtext"/>
      </w:pPr>
      <w:r>
        <w:t>Monitoring equipment is calibrated and maintained in accordance with the manufacturer's specifications and applicable standards. Calibration records are retained in the project document management system. Equipment faults are reported to the Environmental Advisor and repaired within a timeframe that does not create a gap in the monitoring record exceeding [INSERT: maximum acceptable gap, e.g. 48 hours].</w:t>
      </w:r>
    </w:p>
    <w:p>
      <w:pPr>
        <w:pStyle w:val="Heading2Numbered"/>
      </w:pPr>
      <w:r>
        <w:t>8.2  Data Management and Reporting</w:t>
      </w:r>
    </w:p>
    <w:p>
      <w:pPr>
        <w:pStyle w:val="NormalNumberedtext"/>
      </w:pPr>
      <w:r>
        <w:t>This section defines how monitoring data is stored, reviewed, and reported to internal and external stakeholders.</w:t>
      </w:r>
    </w:p>
    <w:p>
      <w:pPr>
        <w:pStyle w:val="NormalNumberedtext"/>
      </w:pPr>
      <w:r>
        <w:t>The RT Environment and Nature Air Quality Standard and the IFC EHS General Guidelines §2.9 require monitoring exceedances, incidents, and corrective actions to be documented and reported. The Environmental Advisor reviews monitoring data at the frequency defined in Table 4 and reports results against applicable performance criteria.</w:t>
      </w:r>
    </w:p>
    <w:p>
      <w:pPr>
        <w:pStyle w:val="NormalNumberedtext"/>
      </w:pPr>
      <w:r>
        <w:t>Air quality performance is reported as follows:</w:t>
      </w:r>
    </w:p>
    <w:p>
      <w:pPr>
        <w:pStyle w:val="NumberedBulletL1"/>
      </w:pPr>
      <w:r>
        <w:t>Internal reporting: monthly summary of monitoring results, exceedances, and corrective actions reported to the HSESC Manager.</w:t>
      </w:r>
    </w:p>
    <w:p>
      <w:pPr>
        <w:pStyle w:val="NumberedBulletL1"/>
      </w:pPr>
      <w:r>
        <w:t>Annual performance report: compiled by the Environmental Advisor, reviewed by the HSESC Manager, and submitted to internal stakeholders and to external stakeholders where required by permit conditions.</w:t>
      </w:r>
    </w:p>
    <w:p>
      <w:pPr>
        <w:pStyle w:val="NumberedBulletL1"/>
      </w:pPr>
      <w:r>
        <w:rPr>
          <w:color w:val="C55A11"/>
        </w:rPr>
        <w:t>Real-time data access: monitoring data is made available to the HSESC Manager and Construction Manager via [INSERT: monitoring platform or data system] on a continuous basis.</w:t>
      </w:r>
    </w:p>
    <w:p>
      <w:pPr>
        <w:pStyle w:val="NumberedBulletL1"/>
      </w:pPr>
      <w:r>
        <w:rPr>
          <w:b/>
          <w:bCs/>
          <w:color w:val="0059D1"/>
        </w:rPr>
        <w:t>[INSERT: additional_reporting_obligations]</w:t>
      </w:r>
    </w:p>
    <w:p>
      <w:pPr>
        <w:pStyle w:val="NormalNumberedtext"/>
      </w:pPr>
      <w:r>
        <w:t>Model assumptions, uncertainty ranges, monitoring exceedances, incidents, and corrective actions are documented in the air quality performance record and retained for the duration of the project and for the post-project period required by applicable permit conditions. Corrective actions are tracked to closure in the project risk register under RTPR-HSE-PRO-0002.</w:t>
      </w:r>
    </w:p>
    <w:p>
      <w:pPr>
        <w:pStyle w:val="NormalNumberedtext"/>
      </w:pPr>
      <w:r>
        <w:t>The TSM Climate Change Protocol requires cumulative and climate-related contributions to local airshed conditions to be considered in emission assessments and planning documents. The Environmental Advisor confirms that climate variability and cumulative airshed loading are assessed when the emission inventory and dispersion modelling are reviewed.</w:t>
      </w:r>
    </w:p>
    <w:p>
      <w:pPr>
        <w:pStyle w:val="Heading1Numbered"/>
      </w:pPr>
      <w:r>
        <w:t>9  Trigger Action Response Plan</w:t>
      </w:r>
    </w:p>
    <w:p>
      <w:pPr>
        <w:pStyle w:val="NormalNumberedtext"/>
      </w:pPr>
      <w:r>
        <w:t>This section defines air quality trigger levels, escalation actions, notification requirements, and conditions under which work activities may be stopped or relocated.</w:t>
      </w:r>
    </w:p>
    <w:p>
      <w:pPr>
        <w:pStyle w:val="Heading2Numbered"/>
      </w:pPr>
      <w:r>
        <w:t>9.1  TARP Structure and Trigger Levels</w:t>
      </w:r>
    </w:p>
    <w:p>
      <w:pPr>
        <w:pStyle w:val="NormalNumberedtext"/>
      </w:pPr>
      <w:r>
        <w:t>This section defines the trigger levels and escalation actions for PM10, PM2.5, and other monitored parameters.</w:t>
      </w:r>
    </w:p>
    <w:p>
      <w:pPr>
        <w:pStyle w:val="NormalNumberedtext"/>
      </w:pPr>
      <w:r>
        <w:t>The IFC EHS General Guidelines §1.1 and §2.9 require air quality monitoring trigger levels and adaptive management responses to be defined for exceedances, including escalation actions and community notification thresholds. The TARP applies to all monitored parameters and is reviewed whenever monitoring results indicate a systematic exceedance or when project activities change.</w:t>
      </w:r>
    </w:p>
    <w:tbl>
      <w:tblPr>
        <w:tblStyle w:val="TableOption1"/>
        <w:tblW w:type="pct" w:w="5000"/>
      </w:tblPr>
      <w:tr>
        <w:tc>
          <w:tcPr>
            <w:shd w:val="clear" w:color="auto" w:fill="FFF2CC"/>
          </w:tcPr>
          <w:p>
            <w:pPr>
              <w:pStyle w:val="Instructions"/>
            </w:pPr>
            <w:r>
              <w:rPr>
                <w:b/>
                <w:bCs/>
                <w:color w:val="C55A11"/>
              </w:rPr>
              <w:t>PROJECT COMPLETION GUIDANCE: Define the project TARP for air quality exceedances. Complete the table below with trigger levels for PM10, PM2.5, and other relevant parameters, escalation actions, and notification requirements.</w:t>
            </w:r>
          </w:p>
        </w:tc>
      </w:tr>
    </w:tbl>
    <w:p>
      <w:pPr>
        <w:pStyle w:val="Default"/>
      </w:pPr>
    </w:p>
    <w:tbl>
      <w:tblPr>
        <w:tblStyle w:val="TableOption1"/>
        <w:tblW w:type="pct" w:w="5000"/>
      </w:tblPr>
      <w:tr>
        <w:tc>
          <w:tcPr>
            <w:shd w:val="clear" w:color="auto" w:fill="FFF2CC"/>
          </w:tcPr>
          <w:p>
            <w:pPr>
              <w:pStyle w:val="Instructions"/>
            </w:pPr>
            <w:r>
              <w:rPr>
                <w:b/>
                <w:bCs/>
                <w:color w:val="C55A11"/>
              </w:rPr>
              <w:t>APPC REQUIREMENT [Appendix C, C-4 §92.2.6]: The project must allow for the potential to temporarily stop work or relocate activities if directed by the Company in response to predicted adverse weather conditions or monitoring result exceedances. The TARP must include this as a defined escalation action.</w:t>
            </w:r>
          </w:p>
        </w:tc>
      </w:tr>
    </w:tbl>
    <w:p>
      <w:pPr>
        <w:pStyle w:val="Default"/>
      </w:pPr>
    </w:p>
    <w:p>
      <w:pPr>
        <w:pStyle w:val="NormalNumberedtext"/>
      </w:pPr>
      <w:r>
        <w:t>Table 5: Air Quality Trigger Action Response Plan.</w:t>
      </w:r>
    </w:p>
    <w:tbl>
      <w:tblPr>
        <w:tblStyle w:val="TableOption2"/>
        <w:tblW w:type="pct" w:w="5000"/>
      </w:tblPr>
      <w:tr>
        <w:trPr>
          <w:tblHeader/>
        </w:trPr>
        <w:tc>
          <w:tcPr>
            <w:shd w:val="clear" w:color="auto" w:fill="1F3864"/>
          </w:tcPr>
          <w:p>
            <w:pPr>
              <w:pStyle w:val="TableContents"/>
            </w:pPr>
            <w:r>
              <w:rPr>
                <w:b/>
                <w:bCs/>
                <w:color w:val="FFFFFF"/>
              </w:rPr>
              <w:t>Parameter</w:t>
            </w:r>
          </w:p>
        </w:tc>
        <w:tc>
          <w:tcPr>
            <w:shd w:val="clear" w:color="auto" w:fill="1F3864"/>
          </w:tcPr>
          <w:p>
            <w:pPr>
              <w:pStyle w:val="TableContents"/>
            </w:pPr>
            <w:r>
              <w:rPr>
                <w:b/>
                <w:bCs/>
                <w:color w:val="FFFFFF"/>
              </w:rPr>
              <w:t>Trigger Level — Alert</w:t>
            </w:r>
          </w:p>
        </w:tc>
        <w:tc>
          <w:tcPr>
            <w:shd w:val="clear" w:color="auto" w:fill="1F3864"/>
          </w:tcPr>
          <w:p>
            <w:pPr>
              <w:pStyle w:val="TableContents"/>
            </w:pPr>
            <w:r>
              <w:rPr>
                <w:b/>
                <w:bCs/>
                <w:color w:val="FFFFFF"/>
              </w:rPr>
              <w:t>Trigger Level — Action</w:t>
            </w:r>
          </w:p>
        </w:tc>
        <w:tc>
          <w:tcPr>
            <w:shd w:val="clear" w:color="auto" w:fill="1F3864"/>
          </w:tcPr>
          <w:p>
            <w:pPr>
              <w:pStyle w:val="TableContents"/>
            </w:pPr>
            <w:r>
              <w:rPr>
                <w:b/>
                <w:bCs/>
                <w:color w:val="FFFFFF"/>
              </w:rPr>
              <w:t>Escalation Action</w:t>
            </w:r>
          </w:p>
        </w:tc>
        <w:tc>
          <w:tcPr>
            <w:shd w:val="clear" w:color="auto" w:fill="1F3864"/>
          </w:tcPr>
          <w:p>
            <w:pPr>
              <w:pStyle w:val="TableContents"/>
            </w:pPr>
            <w:r>
              <w:rPr>
                <w:b/>
                <w:bCs/>
                <w:color w:val="FFFFFF"/>
              </w:rPr>
              <w:t>Notification Requirement</w:t>
            </w:r>
          </w:p>
        </w:tc>
        <w:tc>
          <w:tcPr>
            <w:shd w:val="clear" w:color="auto" w:fill="1F3864"/>
          </w:tcPr>
          <w:p>
            <w:pPr>
              <w:pStyle w:val="TableContents"/>
            </w:pPr>
            <w:r>
              <w:rPr>
                <w:b/>
                <w:bCs/>
                <w:color w:val="FFFFFF"/>
              </w:rPr>
              <w:t>Responsible Role</w:t>
            </w:r>
          </w:p>
        </w:tc>
      </w:tr>
      <w:tr>
        <w:tc>
          <w:tcPr/>
          <w:p>
            <w:pPr>
              <w:pStyle w:val="TableContents"/>
            </w:pPr>
            <w:r>
              <w:t>PM10 (24-hour average)</w:t>
            </w:r>
          </w:p>
        </w:tc>
        <w:tc>
          <w:tcPr/>
          <w:p>
            <w:pPr>
              <w:pStyle w:val="TableContents"/>
            </w:pPr>
            <w:r>
              <w:t>{'text': '[INSERT: e.g. 100 µg/m³]', 'suggested': True}</w:t>
            </w:r>
          </w:p>
        </w:tc>
        <w:tc>
          <w:tcPr/>
          <w:p>
            <w:pPr>
              <w:pStyle w:val="TableContents"/>
            </w:pPr>
            <w:r>
              <w:t>{'text': '[INSERT: e.g. 150 µg/m³]', 'suggested': True}</w:t>
            </w:r>
          </w:p>
        </w:tc>
        <w:tc>
          <w:tcPr/>
          <w:p>
            <w:pPr>
              <w:pStyle w:val="TableContents"/>
            </w:pPr>
            <w:r>
              <w:t>{'text': 'Alert: increase dust suppression frequency and inspect controls. Action: suspend dust-generating activities and notify HSESC Manager.', 'suggested': True}</w:t>
            </w:r>
          </w:p>
        </w:tc>
        <w:tc>
          <w:tcPr/>
          <w:p>
            <w:pPr>
              <w:pStyle w:val="TableContents"/>
            </w:pPr>
            <w:r>
              <w:t>{'text': 'Action trigger: notify [INSERT: regulatory authority] within [INSERT: timeframe] and notify affected community receptors.', 'suggested': True}</w:t>
            </w:r>
          </w:p>
        </w:tc>
        <w:tc>
          <w:tcPr/>
          <w:p>
            <w:pPr>
              <w:pStyle w:val="TableContents"/>
            </w:pPr>
            <w:r>
              <w:t>{'text': '[INSERT: Environmental Advisor]', 'suggested': True}</w:t>
            </w:r>
          </w:p>
        </w:tc>
      </w:tr>
      <w:tr>
        <w:tc>
          <w:tcPr/>
          <w:p>
            <w:pPr>
              <w:pStyle w:val="TableContents"/>
            </w:pPr>
            <w:r>
              <w:t>PM2.5 (24-hour average)</w:t>
            </w:r>
          </w:p>
        </w:tc>
        <w:tc>
          <w:tcPr/>
          <w:p>
            <w:pPr>
              <w:pStyle w:val="TableContents"/>
            </w:pPr>
            <w:r>
              <w:t>{'text': '[INSERT: e.g. 25 µg/m³]', 'suggested': True}</w:t>
            </w:r>
          </w:p>
        </w:tc>
        <w:tc>
          <w:tcPr/>
          <w:p>
            <w:pPr>
              <w:pStyle w:val="TableContents"/>
            </w:pPr>
            <w:r>
              <w:t>{'text': '[INSERT: e.g. 37.5 µg/m³]', 'suggested': True}</w:t>
            </w:r>
          </w:p>
        </w:tc>
        <w:tc>
          <w:tcPr/>
          <w:p>
            <w:pPr>
              <w:pStyle w:val="TableContents"/>
            </w:pPr>
            <w:r>
              <w:t>{'text': 'Alert: review emission sources and increase monitoring frequency. Action: suspend relevant activities and review controls.', 'suggested': True}</w:t>
            </w:r>
          </w:p>
        </w:tc>
        <w:tc>
          <w:tcPr/>
          <w:p>
            <w:pPr>
              <w:pStyle w:val="TableContents"/>
            </w:pPr>
            <w:r>
              <w:t>{'text': 'Action trigger: notify [INSERT: regulatory authority] and community within [INSERT: timeframe].', 'suggested': True}</w:t>
            </w:r>
          </w:p>
        </w:tc>
        <w:tc>
          <w:tcPr/>
          <w:p>
            <w:pPr>
              <w:pStyle w:val="TableContents"/>
            </w:pPr>
            <w:r>
              <w:t>{'text': '[INSERT: Environmental Advisor]', 'suggested': True}</w:t>
            </w:r>
          </w:p>
        </w:tc>
      </w:tr>
      <w:tr>
        <w:tc>
          <w:tcPr/>
          <w:p>
            <w:pPr>
              <w:pStyle w:val="TableContents"/>
            </w:pPr>
            <w:r>
              <w:t>TSP / Dustfall</w:t>
            </w:r>
          </w:p>
        </w:tc>
        <w:tc>
          <w:tcPr/>
          <w:p>
            <w:pPr>
              <w:pStyle w:val="TableContents"/>
            </w:pPr>
            <w:r>
              <w:rPr>
                <w:b/>
                <w:bCs/>
                <w:color w:val="0059D1"/>
              </w:rPr>
              <w:t>[INSERT: alert level]</w:t>
            </w:r>
          </w:p>
        </w:tc>
        <w:tc>
          <w:tcPr/>
          <w:p>
            <w:pPr>
              <w:pStyle w:val="TableContents"/>
            </w:pPr>
            <w:r>
              <w:rPr>
                <w:b/>
                <w:bCs/>
                <w:color w:val="0059D1"/>
              </w:rPr>
              <w:t>[INSERT: action level]</w:t>
            </w:r>
          </w:p>
        </w:tc>
        <w:tc>
          <w:tcPr/>
          <w:p>
            <w:pPr>
              <w:pStyle w:val="TableContents"/>
            </w:pPr>
            <w:r>
              <w:rPr>
                <w:b/>
                <w:bCs/>
                <w:color w:val="0059D1"/>
              </w:rPr>
              <w:t>[INSERT: escalation action]</w:t>
            </w:r>
          </w:p>
        </w:tc>
        <w:tc>
          <w:tcPr/>
          <w:p>
            <w:pPr>
              <w:pStyle w:val="TableContents"/>
            </w:pPr>
            <w:r>
              <w:rPr>
                <w:b/>
                <w:bCs/>
                <w:color w:val="0059D1"/>
              </w:rPr>
              <w:t>[INSERT: notification requirement]</w:t>
            </w:r>
          </w:p>
        </w:tc>
        <w:tc>
          <w:tcPr/>
          <w:p>
            <w:pPr>
              <w:pStyle w:val="TableContents"/>
            </w:pPr>
            <w:r>
              <w:rPr>
                <w:b/>
                <w:bCs/>
                <w:color w:val="0059D1"/>
              </w:rPr>
              <w:t>[INSERT: responsible role]</w:t>
            </w:r>
          </w:p>
        </w:tc>
      </w:tr>
      <w:tr>
        <w:tc>
          <w:tcPr/>
          <w:p>
            <w:pPr>
              <w:pStyle w:val="TableContents"/>
            </w:pPr>
            <w:r>
              <w:t>Adverse meteorological condition (wind speed)</w:t>
            </w:r>
          </w:p>
        </w:tc>
        <w:tc>
          <w:tcPr/>
          <w:p>
            <w:pPr>
              <w:pStyle w:val="TableContents"/>
            </w:pPr>
            <w:r>
              <w:t>{'text': '[INSERT: e.g. wind speed exceeding 7 m/s at the source]', 'suggested': True}</w:t>
            </w:r>
          </w:p>
        </w:tc>
        <w:tc>
          <w:tcPr/>
          <w:p>
            <w:pPr>
              <w:pStyle w:val="TableContents"/>
            </w:pPr>
            <w:r>
              <w:t>{'text': '[INSERT: e.g. wind speed exceeding 10 m/s or forecast adverse dispersion conditions]', 'suggested': True}</w:t>
            </w:r>
          </w:p>
        </w:tc>
        <w:tc>
          <w:tcPr/>
          <w:p>
            <w:pPr>
              <w:pStyle w:val="TableContents"/>
            </w:pPr>
            <w:r>
              <w:t>{'text': 'Alert: implement enhanced dust suppression. Action: suspend blasting and high-intensity dust-generating activities. Company direction to stop work or relocate activities is followed immediately.', 'suggested': True}</w:t>
            </w:r>
          </w:p>
        </w:tc>
        <w:tc>
          <w:tcPr/>
          <w:p>
            <w:pPr>
              <w:pStyle w:val="TableContents"/>
            </w:pPr>
            <w:r>
              <w:t>{'text': 'Notify HSESC Manager and Construction Manager immediately.', 'suggested': True}</w:t>
            </w:r>
          </w:p>
        </w:tc>
        <w:tc>
          <w:tcPr/>
          <w:p>
            <w:pPr>
              <w:pStyle w:val="TableContents"/>
            </w:pPr>
            <w:r>
              <w:t>{'text': '[INSERT: Construction Manager]', 'suggested': True}</w:t>
            </w:r>
          </w:p>
        </w:tc>
      </w:tr>
      <w:tr>
        <w:tc>
          <w:tcPr/>
          <w:p>
            <w:pPr>
              <w:pStyle w:val="TableContents"/>
            </w:pPr>
            <w:r>
              <w:rPr>
                <w:b/>
                <w:bCs/>
                <w:color w:val="0059D1"/>
              </w:rPr>
              <w:t>[INSERT: parameter]</w:t>
            </w:r>
          </w:p>
        </w:tc>
        <w:tc>
          <w:tcPr/>
          <w:p>
            <w:pPr>
              <w:pStyle w:val="TableContents"/>
            </w:pPr>
            <w:r>
              <w:rPr>
                <w:b/>
                <w:bCs/>
                <w:color w:val="0059D1"/>
              </w:rPr>
              <w:t>[INSERT: alert level]</w:t>
            </w:r>
          </w:p>
        </w:tc>
        <w:tc>
          <w:tcPr/>
          <w:p>
            <w:pPr>
              <w:pStyle w:val="TableContents"/>
            </w:pPr>
            <w:r>
              <w:rPr>
                <w:b/>
                <w:bCs/>
                <w:color w:val="0059D1"/>
              </w:rPr>
              <w:t>[INSERT: action level]</w:t>
            </w:r>
          </w:p>
        </w:tc>
        <w:tc>
          <w:tcPr/>
          <w:p>
            <w:pPr>
              <w:pStyle w:val="TableContents"/>
            </w:pPr>
            <w:r>
              <w:rPr>
                <w:b/>
                <w:bCs/>
                <w:color w:val="0059D1"/>
              </w:rPr>
              <w:t>[INSERT: escalation action]</w:t>
            </w:r>
          </w:p>
        </w:tc>
        <w:tc>
          <w:tcPr/>
          <w:p>
            <w:pPr>
              <w:pStyle w:val="TableContents"/>
            </w:pPr>
            <w:r>
              <w:rPr>
                <w:b/>
                <w:bCs/>
                <w:color w:val="0059D1"/>
              </w:rPr>
              <w:t>[INSERT: notification requirement]</w:t>
            </w:r>
          </w:p>
        </w:tc>
        <w:tc>
          <w:tcPr/>
          <w:p>
            <w:pPr>
              <w:pStyle w:val="TableContents"/>
            </w:pPr>
            <w:r>
              <w:rPr>
                <w:b/>
                <w:bCs/>
                <w:color w:val="0059D1"/>
              </w:rPr>
              <w:t>[INSERT: responsible role]</w:t>
            </w:r>
          </w:p>
        </w:tc>
      </w:tr>
    </w:tbl>
    <w:p>
      <w:pPr>
        <w:pStyle w:val="Default"/>
      </w:pPr>
    </w:p>
    <w:p>
      <w:pPr>
        <w:pStyle w:val="NormalNumberedtext"/>
      </w:pPr>
      <w:r>
        <w:t>All exceedances of Action trigger levels are recorded as environmental incidents and reported per project requirements, refer RTPR-HSE-PRO-0009. Corrective actions are raised, assigned, and tracked to closure in the project risk register under RTPR-HSE-PRO-0002.</w:t>
      </w:r>
    </w:p>
    <w:p>
      <w:pPr>
        <w:pStyle w:val="Heading1Numbered"/>
      </w:pPr>
      <w:r>
        <w:t>10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AQ</w:t>
            </w:r>
          </w:p>
        </w:tc>
        <w:tc>
          <w:tcPr/>
          <w:p>
            <w:pPr>
              <w:pStyle w:val="TableContents"/>
            </w:pPr>
            <w:r>
              <w:t>Air Quality — the condition of the air within the surrounding environment, measured by the concentration of pollutants present and assessed against applicable standards and guidelines.</w:t>
            </w:r>
          </w:p>
        </w:tc>
      </w:tr>
      <w:tr>
        <w:tc>
          <w:tcPr/>
          <w:p>
            <w:pPr>
              <w:pStyle w:val="TableContents"/>
            </w:pPr>
            <w:r>
              <w:t>AQM</w:t>
            </w:r>
          </w:p>
        </w:tc>
        <w:tc>
          <w:tcPr/>
          <w:p>
            <w:pPr>
              <w:pStyle w:val="TableContents"/>
            </w:pPr>
            <w:r>
              <w:t>Air Quality Monitoring — systematic measurement and recording of airborne pollutant concentrations and meteorological parameters to assess compliance and trends.</w:t>
            </w:r>
          </w:p>
        </w:tc>
      </w:tr>
      <w:tr>
        <w:tc>
          <w:tcPr/>
          <w:p>
            <w:pPr>
              <w:pStyle w:val="TableContents"/>
            </w:pPr>
            <w:r>
              <w:t>AQMP</w:t>
            </w:r>
          </w:p>
        </w:tc>
        <w:tc>
          <w:tcPr/>
          <w:p>
            <w:pPr>
              <w:pStyle w:val="TableContents"/>
            </w:pPr>
            <w:r>
              <w:t>Air Quality Monitoring Programme — the documented programme defining monitoring locations, parameters, frequency, methods, equipment, and reporting requirements for air quality at the project site.</w:t>
            </w:r>
          </w:p>
        </w:tc>
      </w:tr>
      <w:tr>
        <w:tc>
          <w:tcPr/>
          <w:p>
            <w:pPr>
              <w:pStyle w:val="TableContents"/>
            </w:pPr>
            <w:r>
              <w:t>BAM</w:t>
            </w:r>
          </w:p>
        </w:tc>
        <w:tc>
          <w:tcPr/>
          <w:p>
            <w:pPr>
              <w:pStyle w:val="TableContents"/>
            </w:pPr>
            <w:r>
              <w:t>Beta Attenuation Monitor — a continuous ambient particulate matter monitor that measures particle mass concentration using the attenuation of beta radiation through a collected sample.</w:t>
            </w:r>
          </w:p>
        </w:tc>
      </w:tr>
      <w:tr>
        <w:tc>
          <w:tcPr/>
          <w:p>
            <w:pPr>
              <w:pStyle w:val="TableContents"/>
            </w:pPr>
            <w:r>
              <w:t>CEMS</w:t>
            </w:r>
          </w:p>
        </w:tc>
        <w:tc>
          <w:tcPr/>
          <w:p>
            <w:pPr>
              <w:pStyle w:val="TableContents"/>
            </w:pPr>
            <w:r>
              <w:t>Continuous Emission Monitoring System — an automated system for the continuous measurement and recording of pollutant concentrations and flow rates in an emission source such as a stack or vent.</w:t>
            </w:r>
          </w:p>
        </w:tc>
      </w:tr>
      <w:tr>
        <w:tc>
          <w:tcPr/>
          <w:p>
            <w:pPr>
              <w:pStyle w:val="TableContents"/>
            </w:pPr>
            <w:r>
              <w:t>dB</w:t>
            </w:r>
          </w:p>
        </w:tc>
        <w:tc>
          <w:tcPr/>
          <w:p>
            <w:pPr>
              <w:pStyle w:val="TableContents"/>
            </w:pPr>
            <w:r>
              <w:t>Decibel — a logarithmic unit used to express sound pressure level, sound power level, or sound intensity in the context of noise measurement and assessment.</w:t>
            </w:r>
          </w:p>
        </w:tc>
      </w:tr>
      <w:tr>
        <w:tc>
          <w:tcPr/>
          <w:p>
            <w:pPr>
              <w:pStyle w:val="TableContents"/>
            </w:pPr>
            <w:r>
              <w:t>dB(A)</w:t>
            </w:r>
          </w:p>
        </w:tc>
        <w:tc>
          <w:tcPr/>
          <w:p>
            <w:pPr>
              <w:pStyle w:val="TableContents"/>
            </w:pPr>
            <w:r>
              <w:t>A-weighted Decibel — a decibel measurement filtered to reflect the frequency sensitivity of the human ear, used as the standard unit for environmental and occupational noise assessment.</w:t>
            </w:r>
          </w:p>
        </w:tc>
      </w:tr>
      <w:tr>
        <w:tc>
          <w:tcPr/>
          <w:p>
            <w:pPr>
              <w:pStyle w:val="TableContents"/>
            </w:pPr>
            <w:r>
              <w:t>DM</w:t>
            </w:r>
          </w:p>
        </w:tc>
        <w:tc>
          <w:tcPr/>
          <w:p>
            <w:pPr>
              <w:pStyle w:val="TableContents"/>
            </w:pPr>
            <w:r>
              <w:t>Dust Management — the suite of controls, practices, and monitoring activities applied to prevent, reduce, and manage the generation and dispersion of dust from project activities.</w:t>
            </w:r>
          </w:p>
        </w:tc>
      </w:tr>
      <w:tr>
        <w:tc>
          <w:tcPr/>
          <w:p>
            <w:pPr>
              <w:pStyle w:val="TableContents"/>
            </w:pPr>
            <w:r>
              <w:t>EI</w:t>
            </w:r>
          </w:p>
        </w:tc>
        <w:tc>
          <w:tcPr/>
          <w:p>
            <w:pPr>
              <w:pStyle w:val="TableContents"/>
            </w:pPr>
            <w:r>
              <w:t>Emission Inventory — a comprehensive accounting of all sources, types, quantities, and rates of pollutants emitted to the atmosphere from project activities during a defined period.</w:t>
            </w:r>
          </w:p>
        </w:tc>
      </w:tr>
      <w:tr>
        <w:tc>
          <w:tcPr/>
          <w:p>
            <w:pPr>
              <w:pStyle w:val="TableContents"/>
            </w:pPr>
            <w:r>
              <w:t>EMP</w:t>
            </w:r>
          </w:p>
        </w:tc>
        <w:tc>
          <w:tcPr/>
          <w:p>
            <w:pPr>
              <w:pStyle w:val="TableContents"/>
            </w:pPr>
            <w:r>
              <w:t>Environmental Management Plan — a site-specific plan detailing environmental commitments, controls, monitoring, and responsibilities for managing environmental aspects and impacts of a project.</w:t>
            </w:r>
          </w:p>
        </w:tc>
      </w:tr>
      <w:tr>
        <w:tc>
          <w:tcPr/>
          <w:p>
            <w:pPr>
              <w:pStyle w:val="TableContents"/>
            </w:pPr>
            <w:r>
              <w:t>EPA</w:t>
            </w:r>
          </w:p>
        </w:tc>
        <w:tc>
          <w:tcPr/>
          <w:p>
            <w:pPr>
              <w:pStyle w:val="TableContents"/>
            </w:pPr>
            <w:r>
              <w:t>Environmental Protection Agency (or Authority) — the relevant government regulatory body responsible for setting and enforcing environmental standards and issuing environmental licences and approvals.</w:t>
            </w:r>
          </w:p>
        </w:tc>
      </w:tr>
      <w:tr>
        <w:tc>
          <w:tcPr/>
          <w:p>
            <w:pPr>
              <w:pStyle w:val="TableContents"/>
            </w:pPr>
            <w:r>
              <w:t>EPL</w:t>
            </w:r>
          </w:p>
        </w:tc>
        <w:tc>
          <w:tcPr/>
          <w:p>
            <w:pPr>
              <w:pStyle w:val="TableContents"/>
            </w:pPr>
            <w:r>
              <w:t>Environment Protection Licence — a statutory licence issued by the relevant regulatory authority specifying conditions, limits, and reporting obligations for environmental emissions and discharges.</w:t>
            </w:r>
          </w:p>
        </w:tc>
      </w:tr>
      <w:tr>
        <w:tc>
          <w:tcPr/>
          <w:p>
            <w:pPr>
              <w:pStyle w:val="TableContents"/>
            </w:pPr>
            <w:r>
              <w:t>GHG</w:t>
            </w:r>
          </w:p>
        </w:tc>
        <w:tc>
          <w:tcPr/>
          <w:p>
            <w:pPr>
              <w:pStyle w:val="TableContents"/>
            </w:pPr>
            <w:r>
              <w:t>Greenhouse Gas — gases that trap heat in the atmosphere, including carbon dioxide (CO₂), methane (CH₄), nitrous oxide (N₂O), and others, contributing to climate change.</w:t>
            </w:r>
          </w:p>
        </w:tc>
      </w:tr>
      <w:tr>
        <w:tc>
          <w:tcPr/>
          <w:p>
            <w:pPr>
              <w:pStyle w:val="TableContents"/>
            </w:pPr>
            <w:r>
              <w:t>HSEC</w:t>
            </w:r>
          </w:p>
        </w:tc>
        <w:tc>
          <w:tcPr/>
          <w:p>
            <w:pPr>
              <w:pStyle w:val="TableContents"/>
            </w:pPr>
            <w:r>
              <w:t>Health, Safety, Environment, and Community — the integrated management framework and discipline governing occupational health, safety, environmental protection, and community engagement at Rio Tinto operations.</w:t>
            </w:r>
          </w:p>
        </w:tc>
      </w:tr>
      <w:tr>
        <w:tc>
          <w:tcPr/>
          <w:p>
            <w:pPr>
              <w:pStyle w:val="TableContents"/>
            </w:pPr>
            <w:r>
              <w:t>HSEMS</w:t>
            </w:r>
          </w:p>
        </w:tc>
        <w:tc>
          <w:tcPr/>
          <w:p>
            <w:pPr>
              <w:pStyle w:val="TableContents"/>
            </w:pPr>
            <w:r>
              <w:t>Health, Safety, and Environment Management System — the structured framework of policies, procedures, standards, and tools used to manage HSEC risks and obligations across Rio Tinto projects and operations.</w:t>
            </w:r>
          </w:p>
        </w:tc>
      </w:tr>
      <w:tr>
        <w:tc>
          <w:tcPr/>
          <w:p>
            <w:pPr>
              <w:pStyle w:val="TableContents"/>
            </w:pPr>
            <w:r>
              <w:t>ID</w:t>
            </w:r>
          </w:p>
        </w:tc>
        <w:tc>
          <w:tcPr/>
          <w:p>
            <w:pPr>
              <w:pStyle w:val="TableContents"/>
            </w:pPr>
            <w:r>
              <w:t>Identification — the process of recognising and documenting emission sources, stressors, or hazards as part of the emission inventory or risk assessment process.</w:t>
            </w:r>
          </w:p>
        </w:tc>
      </w:tr>
      <w:tr>
        <w:tc>
          <w:tcPr/>
          <w:p>
            <w:pPr>
              <w:pStyle w:val="TableContents"/>
            </w:pPr>
            <w:r>
              <w:t>KPI</w:t>
            </w:r>
          </w:p>
        </w:tc>
        <w:tc>
          <w:tcPr/>
          <w:p>
            <w:pPr>
              <w:pStyle w:val="TableContents"/>
            </w:pPr>
            <w:r>
              <w:t>Key Performance Indicator — a measurable value used to evaluate the effectiveness of air quality management activities against defined targets and objectives.</w:t>
            </w:r>
          </w:p>
        </w:tc>
      </w:tr>
      <w:tr>
        <w:tc>
          <w:tcPr/>
          <w:p>
            <w:pPr>
              <w:pStyle w:val="TableContents"/>
            </w:pPr>
            <w:r>
              <w:t>LA90</w:t>
            </w:r>
          </w:p>
        </w:tc>
        <w:tc>
          <w:tcPr/>
          <w:p>
            <w:pPr>
              <w:pStyle w:val="TableContents"/>
            </w:pPr>
            <w:r>
              <w:t>The A-weighted sound pressure level exceeded for 90% of the measurement period, used as a descriptor for background noise levels in environmental noise assessments.</w:t>
            </w:r>
          </w:p>
        </w:tc>
      </w:tr>
      <w:tr>
        <w:tc>
          <w:tcPr/>
          <w:p>
            <w:pPr>
              <w:pStyle w:val="TableContents"/>
            </w:pPr>
            <w:r>
              <w:t>LAeq</w:t>
            </w:r>
          </w:p>
        </w:tc>
        <w:tc>
          <w:tcPr/>
          <w:p>
            <w:pPr>
              <w:pStyle w:val="TableContents"/>
            </w:pPr>
            <w:r>
              <w:t>Equivalent Continuous A-weighted Sound Pressure Level — the constant sound level that, over a specified period, would contain the same total acoustic energy as the actual varying sound, used as the principal metric for environmental noise.</w:t>
            </w:r>
          </w:p>
        </w:tc>
      </w:tr>
      <w:tr>
        <w:tc>
          <w:tcPr/>
          <w:p>
            <w:pPr>
              <w:pStyle w:val="TableContents"/>
            </w:pPr>
            <w:r>
              <w:t>LEQ</w:t>
            </w:r>
          </w:p>
        </w:tc>
        <w:tc>
          <w:tcPr/>
          <w:p>
            <w:pPr>
              <w:pStyle w:val="TableContents"/>
            </w:pPr>
            <w:r>
              <w:t>Equivalent Sound Level — the time-averaged, A-weighted sound pressure level representing the equivalent steady-state sound energy over a measurement period; synonymous with LAeq in practice.</w:t>
            </w:r>
          </w:p>
        </w:tc>
      </w:tr>
      <w:tr>
        <w:tc>
          <w:tcPr/>
          <w:p>
            <w:pPr>
              <w:pStyle w:val="TableContents"/>
            </w:pPr>
            <w:r>
              <w:t>LMP</w:t>
            </w:r>
          </w:p>
        </w:tc>
        <w:tc>
          <w:tcPr/>
          <w:p>
            <w:pPr>
              <w:pStyle w:val="TableContents"/>
            </w:pPr>
            <w:r>
              <w:t>Lighting Management Plan — a documented plan specifying controls, directional requirements, curfews, and monitoring measures to minimise light spill and glare impacts on surrounding receptors.</w:t>
            </w:r>
          </w:p>
        </w:tc>
      </w:tr>
      <w:tr>
        <w:tc>
          <w:tcPr/>
          <w:p>
            <w:pPr>
              <w:pStyle w:val="TableContents"/>
            </w:pPr>
            <w:r>
              <w:t>lux</w:t>
            </w:r>
          </w:p>
        </w:tc>
        <w:tc>
          <w:tcPr/>
          <w:p>
            <w:pPr>
              <w:pStyle w:val="TableContents"/>
            </w:pPr>
            <w:r>
              <w:t>The SI unit of illuminance, measuring the intensity of light falling on a surface per unit area, used to assess light spill impacts from project operations.</w:t>
            </w:r>
          </w:p>
        </w:tc>
      </w:tr>
      <w:tr>
        <w:tc>
          <w:tcPr/>
          <w:p>
            <w:pPr>
              <w:pStyle w:val="TableContents"/>
            </w:pPr>
            <w:r>
              <w:t>mg/m³</w:t>
            </w:r>
          </w:p>
        </w:tc>
        <w:tc>
          <w:tcPr/>
          <w:p>
            <w:pPr>
              <w:pStyle w:val="TableContents"/>
            </w:pPr>
            <w:r>
              <w:t>Milligrams per cubic metre — a unit of concentration used to express the mass of a pollutant, dust, or particulate matter present in a cubic metre of air.</w:t>
            </w:r>
          </w:p>
        </w:tc>
      </w:tr>
      <w:tr>
        <w:tc>
          <w:tcPr/>
          <w:p>
            <w:pPr>
              <w:pStyle w:val="TableContents"/>
            </w:pPr>
            <w:r>
              <w:t>mm/s</w:t>
            </w:r>
          </w:p>
        </w:tc>
        <w:tc>
          <w:tcPr/>
          <w:p>
            <w:pPr>
              <w:pStyle w:val="TableContents"/>
            </w:pPr>
            <w:r>
              <w:t>Millimetres per second — the unit of measurement for ground vibration velocity used in environmental and structural vibration assessment.</w:t>
            </w:r>
          </w:p>
        </w:tc>
      </w:tr>
      <w:tr>
        <w:tc>
          <w:tcPr/>
          <w:p>
            <w:pPr>
              <w:pStyle w:val="TableContents"/>
            </w:pPr>
            <w:r>
              <w:t>NAAQ</w:t>
            </w:r>
          </w:p>
        </w:tc>
        <w:tc>
          <w:tcPr/>
          <w:p>
            <w:pPr>
              <w:pStyle w:val="TableContents"/>
            </w:pPr>
            <w:r>
              <w:t>National Ambient Air Quality — refers to the national standards or guidelines defining acceptable concentrations of key air pollutants in outdoor ambient air to protect public health and the environment.</w:t>
            </w:r>
          </w:p>
        </w:tc>
      </w:tr>
      <w:tr>
        <w:tc>
          <w:tcPr/>
          <w:p>
            <w:pPr>
              <w:pStyle w:val="TableContents"/>
            </w:pPr>
            <w:r>
              <w:t>NAAQS</w:t>
            </w:r>
          </w:p>
        </w:tc>
        <w:tc>
          <w:tcPr/>
          <w:p>
            <w:pPr>
              <w:pStyle w:val="TableContents"/>
            </w:pPr>
            <w:r>
              <w:t>National Ambient Air Quality Standards — legally enforceable standards set by a national environmental authority specifying maximum permissible concentrations of criteria air pollutants in ambient air.</w:t>
            </w:r>
          </w:p>
        </w:tc>
      </w:tr>
      <w:tr>
        <w:tc>
          <w:tcPr/>
          <w:p>
            <w:pPr>
              <w:pStyle w:val="TableContents"/>
            </w:pPr>
            <w:r>
              <w:t>NO₂</w:t>
            </w:r>
          </w:p>
        </w:tc>
        <w:tc>
          <w:tcPr/>
          <w:p>
            <w:pPr>
              <w:pStyle w:val="TableContents"/>
            </w:pPr>
            <w:r>
              <w:t>Nitrogen Dioxide — a reddish-brown gaseous air pollutant produced primarily by combustion processes, subject to ambient air quality standards and a key indicator of nitrogen oxide emissions.</w:t>
            </w:r>
          </w:p>
        </w:tc>
      </w:tr>
      <w:tr>
        <w:tc>
          <w:tcPr/>
          <w:p>
            <w:pPr>
              <w:pStyle w:val="TableContents"/>
            </w:pPr>
            <w:r>
              <w:t>NOₓ</w:t>
            </w:r>
          </w:p>
        </w:tc>
        <w:tc>
          <w:tcPr/>
          <w:p>
            <w:pPr>
              <w:pStyle w:val="TableContents"/>
            </w:pPr>
            <w:r>
              <w:t>Nitrogen Oxides — a collective term for nitric oxide (NO) and nitrogen dioxide (NO₂) produced during high-temperature combustion processes, contributing to smog and acid deposition.</w:t>
            </w:r>
          </w:p>
        </w:tc>
      </w:tr>
      <w:tr>
        <w:tc>
          <w:tcPr/>
          <w:p>
            <w:pPr>
              <w:pStyle w:val="TableContents"/>
            </w:pPr>
            <w:r>
              <w:t>O&amp;M</w:t>
            </w:r>
          </w:p>
        </w:tc>
        <w:tc>
          <w:tcPr/>
          <w:p>
            <w:pPr>
              <w:pStyle w:val="TableContents"/>
            </w:pPr>
            <w:r>
              <w:t>Operations and Maintenance — the operational activities and maintenance practices associated with project infrastructure and equipment, which are relevant sources of emissions and stressors.</w:t>
            </w:r>
          </w:p>
        </w:tc>
      </w:tr>
      <w:tr>
        <w:tc>
          <w:tcPr/>
          <w:p>
            <w:pPr>
              <w:pStyle w:val="TableContents"/>
            </w:pPr>
            <w:r>
              <w:t>OEL</w:t>
            </w:r>
          </w:p>
        </w:tc>
        <w:tc>
          <w:tcPr/>
          <w:p>
            <w:pPr>
              <w:pStyle w:val="TableContents"/>
            </w:pPr>
            <w:r>
              <w:t>Occupational Exposure Limit — the maximum concentration of an airborne substance to which workers may be exposed during their working day without adverse health effects, as defined by applicable occupational health regulations.</w:t>
            </w:r>
          </w:p>
        </w:tc>
      </w:tr>
      <w:tr>
        <w:tc>
          <w:tcPr/>
          <w:p>
            <w:pPr>
              <w:pStyle w:val="TableContents"/>
            </w:pPr>
            <w:r>
              <w:t>OU</w:t>
            </w:r>
          </w:p>
        </w:tc>
        <w:tc>
          <w:tcPr/>
          <w:p>
            <w:pPr>
              <w:pStyle w:val="TableContents"/>
            </w:pPr>
            <w:r>
              <w:t>Odour Unit — a standardised unit of odour concentration defined as the amount of an odorant diluted to its detection threshold in one cubic metre of neutral gas, used in odour impact assessments.</w:t>
            </w:r>
          </w:p>
        </w:tc>
      </w:tr>
      <w:tr>
        <w:tc>
          <w:tcPr/>
          <w:p>
            <w:pPr>
              <w:pStyle w:val="TableContents"/>
            </w:pPr>
            <w:r>
              <w:t>PM</w:t>
            </w:r>
          </w:p>
        </w:tc>
        <w:tc>
          <w:tcPr/>
          <w:p>
            <w:pPr>
              <w:pStyle w:val="TableContents"/>
            </w:pPr>
            <w:r>
              <w:t>Particulate Matter — solid or liquid particles suspended in the atmosphere, classified by aerodynamic diameter (e.g., PM₁₀, PM₂.₅) and regulated under ambient air quality standards.</w:t>
            </w:r>
          </w:p>
        </w:tc>
      </w:tr>
      <w:tr>
        <w:tc>
          <w:tcPr/>
          <w:p>
            <w:pPr>
              <w:pStyle w:val="TableContents"/>
            </w:pPr>
            <w:r>
              <w:t>PM₁₀</w:t>
            </w:r>
          </w:p>
        </w:tc>
        <w:tc>
          <w:tcPr/>
          <w:p>
            <w:pPr>
              <w:pStyle w:val="TableContents"/>
            </w:pPr>
            <w:r>
              <w:t>Particulate Matter with an aerodynamic diameter of 10 micrometres or less, capable of penetrating the upper respiratory tract, subject to ambient air quality standards and a primary dust monitoring parameter.</w:t>
            </w:r>
          </w:p>
        </w:tc>
      </w:tr>
      <w:tr>
        <w:tc>
          <w:tcPr/>
          <w:p>
            <w:pPr>
              <w:pStyle w:val="TableContents"/>
            </w:pPr>
            <w:r>
              <w:t>PM₂.₅</w:t>
            </w:r>
          </w:p>
        </w:tc>
        <w:tc>
          <w:tcPr/>
          <w:p>
            <w:pPr>
              <w:pStyle w:val="TableContents"/>
            </w:pPr>
            <w:r>
              <w:t>Fine Particulate Matter with an aerodynamic diameter of 2.5 micrometres or less, capable of penetrating deep into the lungs, subject to stringent ambient air quality standards due to greater health impacts.</w:t>
            </w:r>
          </w:p>
        </w:tc>
      </w:tr>
      <w:tr>
        <w:tc>
          <w:tcPr/>
          <w:p>
            <w:pPr>
              <w:pStyle w:val="TableContents"/>
            </w:pPr>
            <w:r>
              <w:t>PPE</w:t>
            </w:r>
          </w:p>
        </w:tc>
        <w:tc>
          <w:tcPr/>
          <w:p>
            <w:pPr>
              <w:pStyle w:val="TableContents"/>
            </w:pPr>
            <w:r>
              <w:t>Personal Protective Equipment — equipment worn by workers to minimise exposure to hazards, including respiratory protective equipment (RPE) used to manage airborne dust and chemical exposure.</w:t>
            </w:r>
          </w:p>
        </w:tc>
      </w:tr>
      <w:tr>
        <w:tc>
          <w:tcPr/>
          <w:p>
            <w:pPr>
              <w:pStyle w:val="TableContents"/>
            </w:pPr>
            <w:r>
              <w:t>PPV</w:t>
            </w:r>
          </w:p>
        </w:tc>
        <w:tc>
          <w:tcPr/>
          <w:p>
            <w:pPr>
              <w:pStyle w:val="TableContents"/>
            </w:pPr>
            <w:r>
              <w:t>Peak Particle Velocity — the maximum speed at which a particle of ground or structure vibrates during a vibration event such as blasting or heavy equipment operation, used as the standard metric for vibration impact assessment.</w:t>
            </w:r>
          </w:p>
        </w:tc>
      </w:tr>
      <w:tr>
        <w:tc>
          <w:tcPr/>
          <w:p>
            <w:pPr>
              <w:pStyle w:val="TableContents"/>
            </w:pPr>
            <w:r>
              <w:t>PRO</w:t>
            </w:r>
          </w:p>
        </w:tc>
        <w:tc>
          <w:tcPr/>
          <w:p>
            <w:pPr>
              <w:pStyle w:val="TableContents"/>
            </w:pPr>
            <w:r>
              <w:t>Procedure — a documented HSEC management system document specifying the process, responsibilities, and requirements for managing a defined activity or risk.</w:t>
            </w:r>
          </w:p>
        </w:tc>
      </w:tr>
      <w:tr>
        <w:tc>
          <w:tcPr/>
          <w:p>
            <w:pPr>
              <w:pStyle w:val="TableContents"/>
            </w:pPr>
            <w:r>
              <w:t>RA</w:t>
            </w:r>
          </w:p>
        </w:tc>
        <w:tc>
          <w:tcPr/>
          <w:p>
            <w:pPr>
              <w:pStyle w:val="TableContents"/>
            </w:pPr>
            <w:r>
              <w:t>Risk Assessment — a systematic process for identifying hazards, evaluating associated risks, and determining appropriate controls, used as the basis for managing air quality and stressor impacts.</w:t>
            </w:r>
          </w:p>
        </w:tc>
      </w:tr>
      <w:tr>
        <w:tc>
          <w:tcPr/>
          <w:p>
            <w:pPr>
              <w:pStyle w:val="TableContents"/>
            </w:pPr>
            <w:r>
              <w:t>RPE</w:t>
            </w:r>
          </w:p>
        </w:tc>
        <w:tc>
          <w:tcPr/>
          <w:p>
            <w:pPr>
              <w:pStyle w:val="TableContents"/>
            </w:pPr>
            <w:r>
              <w:t>Respiratory Protective Equipment — a category of PPE designed to protect the wearer from inhalation of airborne contaminants including dust, fibres, fumes, and gases.</w:t>
            </w:r>
          </w:p>
        </w:tc>
      </w:tr>
      <w:tr>
        <w:tc>
          <w:tcPr/>
          <w:p>
            <w:pPr>
              <w:pStyle w:val="TableContents"/>
            </w:pPr>
            <w:r>
              <w:t>RT</w:t>
            </w:r>
          </w:p>
        </w:tc>
        <w:tc>
          <w:tcPr/>
          <w:p>
            <w:pPr>
              <w:pStyle w:val="TableContents"/>
            </w:pPr>
            <w:r>
              <w:t>Rio Tinto — the global mining and metals company under whose corporate standards, procedures, and governance framework this procedure is developed and implemented.</w:t>
            </w:r>
          </w:p>
        </w:tc>
      </w:tr>
      <w:tr>
        <w:tc>
          <w:tcPr/>
          <w:p>
            <w:pPr>
              <w:pStyle w:val="TableContents"/>
            </w:pPr>
            <w:r>
              <w:t>RTPR</w:t>
            </w:r>
          </w:p>
        </w:tc>
        <w:tc>
          <w:tcPr/>
          <w:p>
            <w:pPr>
              <w:pStyle w:val="TableContents"/>
            </w:pPr>
            <w:r>
              <w:t>Rio Tinto Project — prefix designating procedures, documents, and standards specific to the Rio Tinto owner-led project management system used on owner-operated project sites.</w:t>
            </w:r>
          </w:p>
        </w:tc>
      </w:tr>
      <w:tr>
        <w:tc>
          <w:tcPr/>
          <w:p>
            <w:pPr>
              <w:pStyle w:val="TableContents"/>
            </w:pPr>
            <w:r>
              <w:t>SEL</w:t>
            </w:r>
          </w:p>
        </w:tc>
        <w:tc>
          <w:tcPr/>
          <w:p>
            <w:pPr>
              <w:pStyle w:val="TableContents"/>
            </w:pPr>
            <w:r>
              <w:t>Sound Exposure Level — a single-number descriptor representing the total acoustic energy of a noise event normalised to a one-second duration, used to characterise impulsive or single noise events.</w:t>
            </w:r>
          </w:p>
        </w:tc>
      </w:tr>
      <w:tr>
        <w:tc>
          <w:tcPr/>
          <w:p>
            <w:pPr>
              <w:pStyle w:val="TableContents"/>
            </w:pPr>
            <w:r>
              <w:t>SO₂</w:t>
            </w:r>
          </w:p>
        </w:tc>
        <w:tc>
          <w:tcPr/>
          <w:p>
            <w:pPr>
              <w:pStyle w:val="TableContents"/>
            </w:pPr>
            <w:r>
              <w:t>Sulphur Dioxide — a gaseous air pollutant produced by combustion of sulphur-containing fuels and smelting operations, subject to ambient air quality standards and emission licence conditions.</w:t>
            </w:r>
          </w:p>
        </w:tc>
      </w:tr>
      <w:tr>
        <w:tc>
          <w:tcPr/>
          <w:p>
            <w:pPr>
              <w:pStyle w:val="TableContents"/>
            </w:pPr>
            <w:r>
              <w:t>TARP</w:t>
            </w:r>
          </w:p>
        </w:tc>
        <w:tc>
          <w:tcPr/>
          <w:p>
            <w:pPr>
              <w:pStyle w:val="TableContents"/>
            </w:pPr>
            <w:r>
              <w:t>Trigger Action Response Plan — a predefined management tool specifying monitoring trigger levels (action, alert, and exceedance levels) and the corresponding escalating response actions required when those levels are reached.</w:t>
            </w:r>
          </w:p>
        </w:tc>
      </w:tr>
      <w:tr>
        <w:tc>
          <w:tcPr/>
          <w:p>
            <w:pPr>
              <w:pStyle w:val="TableContents"/>
            </w:pPr>
            <w:r>
              <w:t>TSP</w:t>
            </w:r>
          </w:p>
        </w:tc>
        <w:tc>
          <w:tcPr/>
          <w:p>
            <w:pPr>
              <w:pStyle w:val="TableContents"/>
            </w:pPr>
            <w:r>
              <w:t>Total Suspended Particles — the total mass concentration of all airborne particulate matter without size restriction, used as a broad indicator of dustiness and compared against applicable ambient standards.</w:t>
            </w:r>
          </w:p>
        </w:tc>
      </w:tr>
      <w:tr>
        <w:tc>
          <w:tcPr/>
          <w:p>
            <w:pPr>
              <w:pStyle w:val="TableContents"/>
            </w:pPr>
            <w:r>
              <w:t>VOC</w:t>
            </w:r>
          </w:p>
        </w:tc>
        <w:tc>
          <w:tcPr/>
          <w:p>
            <w:pPr>
              <w:pStyle w:val="TableContents"/>
            </w:pPr>
            <w:r>
              <w:t>Volatile Organic Compound — organic chemicals that readily evaporate at ambient temperatures, emitted from fuels, solvents, and industrial processes, contributing to photochemical smog and subject to air quality controls.</w:t>
            </w:r>
          </w:p>
        </w:tc>
      </w:tr>
      <w:tr>
        <w:tc>
          <w:tcPr/>
          <w:p>
            <w:pPr>
              <w:pStyle w:val="TableContents"/>
            </w:pPr>
            <w:r>
              <w:t>WHO</w:t>
            </w:r>
          </w:p>
        </w:tc>
        <w:tc>
          <w:tcPr/>
          <w:p>
            <w:pPr>
              <w:pStyle w:val="TableContents"/>
            </w:pPr>
            <w:r>
              <w:t>World Health Organization — the United Nations agency responsible for international public health, whose air quality guidelines are used as a reference standard where national standards do not exist or are less stringent.</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11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Legal Requirements Procedure</w:t>
            </w:r>
          </w:p>
        </w:tc>
        <w:tc>
          <w:tcPr/>
          <w:p>
            <w:pPr>
              <w:pStyle w:val="TableContents"/>
            </w:pPr>
            <w:r>
              <w:t>RTPR-HSE-PRO-0001</w:t>
            </w:r>
          </w:p>
        </w:tc>
        <w:tc>
          <w:tcPr/>
          <w:p>
            <w:pPr>
              <w:pStyle w:val="TableContents"/>
            </w:pPr>
            <w:r>
              <w:t>Internal procedure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Noise Procedure</w:t>
            </w:r>
          </w:p>
        </w:tc>
        <w:tc>
          <w:tcPr/>
          <w:p>
            <w:pPr>
              <w:pStyle w:val="TableContents"/>
            </w:pPr>
            <w:r>
              <w:t>RTPR-HSE-PRO-0013</w:t>
            </w:r>
          </w:p>
        </w:tc>
        <w:tc>
          <w:tcPr/>
          <w:p>
            <w:pPr>
              <w:pStyle w:val="TableContents"/>
            </w:pPr>
            <w:r>
              <w:t>Internal procedure</w:t>
            </w:r>
          </w:p>
        </w:tc>
      </w:tr>
      <w:tr>
        <w:tc>
          <w:tcPr/>
          <w:p>
            <w:pPr>
              <w:pStyle w:val="TableContents"/>
            </w:pPr>
            <w:r>
              <w:t>Monitoring Procedure</w:t>
            </w:r>
          </w:p>
        </w:tc>
        <w:tc>
          <w:tcPr/>
          <w:p>
            <w:pPr>
              <w:pStyle w:val="TableContents"/>
            </w:pPr>
            <w:r>
              <w:t>RTPR-HSE-PRO-0042</w:t>
            </w:r>
          </w:p>
        </w:tc>
        <w:tc>
          <w:tcPr/>
          <w:p>
            <w:pPr>
              <w:pStyle w:val="TableContents"/>
            </w:pPr>
            <w:r>
              <w:t>Internal procedure</w:t>
            </w:r>
          </w:p>
        </w:tc>
      </w:tr>
      <w:tr>
        <w:tc>
          <w:tcPr/>
          <w:p>
            <w:pPr>
              <w:pStyle w:val="TableContents"/>
            </w:pPr>
            <w:r>
              <w:t>Waste Control Procedure</w:t>
            </w:r>
          </w:p>
        </w:tc>
        <w:tc>
          <w:tcPr/>
          <w:p>
            <w:pPr>
              <w:pStyle w:val="TableContents"/>
            </w:pPr>
            <w:r>
              <w:t>RTPR-HSE-PRO-0039</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Consequence and Likelihood Criteria</w:t>
            </w:r>
          </w:p>
        </w:tc>
        <w:tc>
          <w:tcPr/>
          <w:p>
            <w:pPr>
              <w:pStyle w:val="TableContents"/>
            </w:pPr>
            <w:r>
              <w:t>RT Risk Management Standard — Appendix C, C-1</w:t>
            </w:r>
          </w:p>
        </w:tc>
        <w:tc>
          <w:tcPr/>
          <w:p>
            <w:pPr>
              <w:pStyle w:val="TableContents"/>
            </w:pPr>
            <w:r>
              <w:t>External RT</w:t>
            </w:r>
          </w:p>
        </w:tc>
      </w:tr>
      <w:tr>
        <w:tc>
          <w:tcPr/>
          <w:p>
            <w:pPr>
              <w:pStyle w:val="TableContents"/>
            </w:pPr>
            <w:r>
              <w:t>Rio Tinto Health, Safety, Environment and Communities (HSEC) Policy</w:t>
            </w:r>
          </w:p>
        </w:tc>
        <w:tc>
          <w:tcPr/>
          <w:p>
            <w:pPr>
              <w:pStyle w:val="TableContents"/>
            </w:pPr>
            <w:r>
              <w:t>RT HSEC Policy</w:t>
            </w:r>
          </w:p>
        </w:tc>
        <w:tc>
          <w:tcPr/>
          <w:p>
            <w:pPr>
              <w:pStyle w:val="TableContents"/>
            </w:pPr>
            <w:r>
              <w:t>External RT</w:t>
            </w:r>
          </w:p>
        </w:tc>
      </w:tr>
      <w:tr>
        <w:tc>
          <w:tcPr/>
          <w:p>
            <w:pPr>
              <w:pStyle w:val="TableContents"/>
            </w:pPr>
            <w:r>
              <w:t>Rio Tinto Environmental Standard</w:t>
            </w:r>
          </w:p>
        </w:tc>
        <w:tc>
          <w:tcPr/>
          <w:p>
            <w:pPr>
              <w:pStyle w:val="TableContents"/>
            </w:pPr>
            <w:r>
              <w:t>RT Environmental Standard</w:t>
            </w:r>
          </w:p>
        </w:tc>
        <w:tc>
          <w:tcPr/>
          <w:p>
            <w:pPr>
              <w:pStyle w:val="TableContents"/>
            </w:pPr>
            <w:r>
              <w:t>External RT</w:t>
            </w:r>
          </w:p>
        </w:tc>
      </w:tr>
      <w:tr>
        <w:tc>
          <w:tcPr/>
          <w:p>
            <w:pPr>
              <w:pStyle w:val="TableContents"/>
            </w:pPr>
            <w:r>
              <w:t>Rio Tinto Communities and Social Performance Standard</w:t>
            </w:r>
          </w:p>
        </w:tc>
        <w:tc>
          <w:tcPr/>
          <w:p>
            <w:pPr>
              <w:pStyle w:val="TableContents"/>
            </w:pPr>
            <w:r>
              <w:t>RT CSP Standard</w:t>
            </w:r>
          </w:p>
        </w:tc>
        <w:tc>
          <w:tcPr/>
          <w:p>
            <w:pPr>
              <w:pStyle w:val="TableContents"/>
            </w:pPr>
            <w:r>
              <w:t>External RT</w:t>
            </w:r>
          </w:p>
        </w:tc>
      </w:tr>
      <w:tr>
        <w:tc>
          <w:tcPr/>
          <w:p>
            <w:pPr>
              <w:pStyle w:val="TableContents"/>
            </w:pPr>
            <w:r>
              <w:t>World Health Organization Global Air Quality Guidelines</w:t>
            </w:r>
          </w:p>
        </w:tc>
        <w:tc>
          <w:tcPr/>
          <w:p>
            <w:pPr>
              <w:pStyle w:val="TableContents"/>
            </w:pPr>
            <w:r>
              <w:t>WHO AQG 2021</w:t>
            </w:r>
          </w:p>
        </w:tc>
        <w:tc>
          <w:tcPr/>
          <w:p>
            <w:pPr>
              <w:pStyle w:val="TableContents"/>
            </w:pPr>
            <w:r>
              <w:t>External framework</w:t>
            </w:r>
          </w:p>
        </w:tc>
      </w:tr>
      <w:tr>
        <w:tc>
          <w:tcPr/>
          <w:p>
            <w:pPr>
              <w:pStyle w:val="TableContents"/>
            </w:pPr>
            <w:r>
              <w:t>World Health Organization Environmental Noise Guidelines for the European Region</w:t>
            </w:r>
          </w:p>
        </w:tc>
        <w:tc>
          <w:tcPr/>
          <w:p>
            <w:pPr>
              <w:pStyle w:val="TableContents"/>
            </w:pPr>
            <w:r>
              <w:t>WHO Environmental Noise Guidelines 2018</w:t>
            </w:r>
          </w:p>
        </w:tc>
        <w:tc>
          <w:tcPr/>
          <w:p>
            <w:pPr>
              <w:pStyle w:val="TableContents"/>
            </w:pPr>
            <w:r>
              <w:t>External framework</w:t>
            </w:r>
          </w:p>
        </w:tc>
      </w:tr>
      <w:tr>
        <w:tc>
          <w:tcPr/>
          <w:p>
            <w:pPr>
              <w:pStyle w:val="TableContents"/>
            </w:pPr>
            <w:r>
              <w:t>Equator Principles IV — Environmental and Social Risk Management for Project Finance</w:t>
            </w:r>
          </w:p>
        </w:tc>
        <w:tc>
          <w:tcPr/>
          <w:p>
            <w:pPr>
              <w:pStyle w:val="TableContents"/>
            </w:pPr>
            <w:r>
              <w:t>Equator Principles IV (2020)</w:t>
            </w:r>
          </w:p>
        </w:tc>
        <w:tc>
          <w:tcPr/>
          <w:p>
            <w:pPr>
              <w:pStyle w:val="TableContents"/>
            </w:pPr>
            <w:r>
              <w:t>External framework</w:t>
            </w:r>
          </w:p>
        </w:tc>
      </w:tr>
      <w:tr>
        <w:tc>
          <w:tcPr/>
          <w:p>
            <w:pPr>
              <w:pStyle w:val="TableContents"/>
            </w:pPr>
            <w:r>
              <w:t>IFC Environmental, Health, and Safety General Guidelines</w:t>
            </w:r>
          </w:p>
        </w:tc>
        <w:tc>
          <w:tcPr/>
          <w:p>
            <w:pPr>
              <w:pStyle w:val="TableContents"/>
            </w:pPr>
            <w:r>
              <w:t>IFC EHS General Guidelines (2007)</w:t>
            </w:r>
          </w:p>
        </w:tc>
        <w:tc>
          <w:tcPr/>
          <w:p>
            <w:pPr>
              <w:pStyle w:val="TableContents"/>
            </w:pPr>
            <w:r>
              <w:t>External framework</w:t>
            </w:r>
          </w:p>
        </w:tc>
      </w:tr>
      <w:tr>
        <w:tc>
          <w:tcPr/>
          <w:p>
            <w:pPr>
              <w:pStyle w:val="TableContents"/>
            </w:pPr>
            <w:r>
              <w:t>IFC Environmental, Health, and Safety Guidelines for Mining</w:t>
            </w:r>
          </w:p>
        </w:tc>
        <w:tc>
          <w:tcPr/>
          <w:p>
            <w:pPr>
              <w:pStyle w:val="TableContents"/>
            </w:pPr>
            <w:r>
              <w:t>IFC EHS Mining Guidelines (2007)</w:t>
            </w:r>
          </w:p>
        </w:tc>
        <w:tc>
          <w:tcPr/>
          <w:p>
            <w:pPr>
              <w:pStyle w:val="TableContents"/>
            </w:pPr>
            <w:r>
              <w:t>External framework</w:t>
            </w:r>
          </w:p>
        </w:tc>
      </w:tr>
      <w:tr>
        <w:tc>
          <w:tcPr/>
          <w:p>
            <w:pPr>
              <w:pStyle w:val="TableContents"/>
            </w:pPr>
            <w:r>
              <w:t>ISO 14001:2015 — Environmental Management Systems: Requirements with Guidance for Use</w:t>
            </w:r>
          </w:p>
        </w:tc>
        <w:tc>
          <w:tcPr/>
          <w:p>
            <w:pPr>
              <w:pStyle w:val="TableContents"/>
            </w:pPr>
            <w:r>
              <w:t>ISO 14001:2015</w:t>
            </w:r>
          </w:p>
        </w:tc>
        <w:tc>
          <w:tcPr/>
          <w:p>
            <w:pPr>
              <w:pStyle w:val="TableContents"/>
            </w:pPr>
            <w:r>
              <w:t>External framework</w:t>
            </w:r>
          </w:p>
        </w:tc>
      </w:tr>
      <w:tr>
        <w:tc>
          <w:tcPr/>
          <w:p>
            <w:pPr>
              <w:pStyle w:val="TableContents"/>
            </w:pPr>
            <w:r>
              <w:t>ISO 9613-2:1996 — Acoustics: Attenuation of Sound during Propagation Outdoors</w:t>
            </w:r>
          </w:p>
        </w:tc>
        <w:tc>
          <w:tcPr/>
          <w:p>
            <w:pPr>
              <w:pStyle w:val="TableContents"/>
            </w:pPr>
            <w:r>
              <w:t>ISO 9613-2:1996</w:t>
            </w:r>
          </w:p>
        </w:tc>
        <w:tc>
          <w:tcPr/>
          <w:p>
            <w:pPr>
              <w:pStyle w:val="TableContents"/>
            </w:pPr>
            <w:r>
              <w:t>External framework</w:t>
            </w:r>
          </w:p>
        </w:tc>
      </w:tr>
      <w:tr>
        <w:tc>
          <w:tcPr/>
          <w:p>
            <w:pPr>
              <w:pStyle w:val="TableContents"/>
            </w:pPr>
            <w:r>
              <w:t>ISO 10816 — Mechanical Vibration: Evaluation of Machine Vibration by Measurements on Non-rotating Parts</w:t>
            </w:r>
          </w:p>
        </w:tc>
        <w:tc>
          <w:tcPr/>
          <w:p>
            <w:pPr>
              <w:pStyle w:val="TableContents"/>
            </w:pPr>
            <w:r>
              <w:t>ISO 10816</w:t>
            </w:r>
          </w:p>
        </w:tc>
        <w:tc>
          <w:tcPr/>
          <w:p>
            <w:pPr>
              <w:pStyle w:val="TableContents"/>
            </w:pPr>
            <w:r>
              <w:t>External framework</w:t>
            </w:r>
          </w:p>
        </w:tc>
      </w:tr>
      <w:tr>
        <w:tc>
          <w:tcPr/>
          <w:p>
            <w:pPr>
              <w:pStyle w:val="TableContents"/>
            </w:pPr>
            <w:r>
              <w:t>AS/NZS 3580 — Methods for Sampling and Analysis of Ambient Air</w:t>
            </w:r>
          </w:p>
        </w:tc>
        <w:tc>
          <w:tcPr/>
          <w:p>
            <w:pPr>
              <w:pStyle w:val="TableContents"/>
            </w:pPr>
            <w:r>
              <w:t>AS/NZS 3580</w:t>
            </w:r>
          </w:p>
        </w:tc>
        <w:tc>
          <w:tcPr/>
          <w:p>
            <w:pPr>
              <w:pStyle w:val="TableContents"/>
            </w:pPr>
            <w:r>
              <w:t>External framework</w:t>
            </w:r>
          </w:p>
        </w:tc>
      </w:tr>
      <w:tr>
        <w:tc>
          <w:tcPr/>
          <w:p>
            <w:pPr>
              <w:pStyle w:val="TableContents"/>
            </w:pPr>
            <w:r>
              <w:t>US EPA AP-42 — Compilation of Air Emissions Factors</w:t>
            </w:r>
          </w:p>
        </w:tc>
        <w:tc>
          <w:tcPr/>
          <w:p>
            <w:pPr>
              <w:pStyle w:val="TableContents"/>
            </w:pPr>
            <w:r>
              <w:t>US EPA AP-42</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12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13  Source Requirements Traceability (DELETE BEFORE ISSUE)</w:t>
      </w:r>
    </w:p>
    <w:p>
      <w:pPr>
        <w:pStyle w:val="Heading2Numbered"/>
      </w:pPr>
      <w:r>
        <w:t>13.1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Environment and Nature – Air Quality Standard</w:t>
            </w:r>
          </w:p>
        </w:tc>
        <w:tc>
          <w:tcPr/>
          <w:p>
            <w:pPr>
              <w:pStyle w:val="TableContents"/>
            </w:pPr>
            <w:r>
              <w:t>Requires emission inventories, dispersion modelling, monitoring networks, application of the emission control hierarchy, documentation of stressor impacts, and annual reporting of air quality performance.</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§1.1</w:t>
            </w:r>
          </w:p>
        </w:tc>
        <w:tc>
          <w:tcPr/>
          <w:p>
            <w:pPr>
              <w:pStyle w:val="TableContents"/>
            </w:pPr>
            <w:r>
              <w:t>Requires an air quality impact assessment identifying significant sources and receptors, setting performance criteria against WHO guidelines or national standards whichever is more stringent, defining dust suppression controls, and establishing monitoring trigger levels with adaptive management responses.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§3.1</w:t>
            </w:r>
          </w:p>
        </w:tc>
        <w:tc>
          <w:tcPr/>
          <w:p>
            <w:pPr>
              <w:pStyle w:val="TableContents"/>
            </w:pPr>
            <w:r>
              <w:t>Requires air quality impact assessment as part of the project environmental assessment to identify significant sources and receptors.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§1.7</w:t>
            </w:r>
          </w:p>
        </w:tc>
        <w:tc>
          <w:tcPr/>
          <w:p>
            <w:pPr>
              <w:pStyle w:val="TableContents"/>
            </w:pPr>
            <w:r>
              <w:t>Requires management of community noise and vibration to meet WHO guidelines and applicable national standards, and implementation of a community complaint monitoring system for air quality and stressor impacts.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§2.9</w:t>
            </w:r>
          </w:p>
        </w:tc>
        <w:tc>
          <w:tcPr/>
          <w:p>
            <w:pPr>
              <w:pStyle w:val="TableContents"/>
            </w:pPr>
            <w:r>
              <w:t>Requires definition of air quality monitoring trigger levels and adaptive management responses for exceedances, including escalation actions and community notification thresholds.</w:t>
            </w:r>
          </w:p>
        </w:tc>
        <w:tc>
          <w:tcPr/>
          <w:p>
            <w:pPr>
              <w:pStyle w:val="TableContents"/>
            </w:pPr>
            <w:r>
              <w:t>Full</w:t>
            </w:r>
          </w:p>
        </w:tc>
      </w:tr>
      <w:tr>
        <w:tc>
          <w:tcPr/>
          <w:p>
            <w:pPr>
              <w:pStyle w:val="TableContents"/>
            </w:pPr>
            <w:r>
              <w:rPr>
                <w:b/>
                <w:bCs/>
                <w:color w:val="0059D1"/>
              </w:rPr>
              <w:t>[INSERT: section]</w:t>
            </w:r>
          </w:p>
        </w:tc>
        <w:tc>
          <w:tcPr/>
          <w:p>
            <w:pPr>
              <w:pStyle w:val="TableContents"/>
            </w:pPr>
            <w:r>
              <w:t>TSM TSM – Climate Change Protocol</w:t>
            </w:r>
          </w:p>
        </w:tc>
        <w:tc>
          <w:tcPr/>
          <w:p>
            <w:pPr>
              <w:pStyle w:val="TableContents"/>
            </w:pPr>
            <w:r>
              <w:t>Requires consideration of cumulative and climate-related contributions to local airshed conditions in emission assessments and planning documents.</w:t>
            </w:r>
          </w:p>
        </w:tc>
        <w:tc>
          <w:tcPr/>
          <w:p>
            <w:pPr>
              <w:pStyle w:val="TableContents"/>
            </w:pPr>
            <w:r>
              <w:t>Full</w:t>
            </w:r>
          </w:p>
        </w:tc>
      </w:tr>
    </w:tbl>
    <w:p>
      <w:pPr>
        <w:pStyle w:val="Default"/>
      </w:pPr>
    </w:p>
    <w:p>
      <w:pPr>
        <w:pStyle w:val="Heading2Numbered"/>
      </w:pPr>
      <w:r>
        <w:t>13.2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