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Chemically Reactive Mineral Waste Control</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Chemically Reactive Mineral Waste Control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managing chemically reactive mineral wastes — including acid rock drainage (ARD), metalliferous drainage, and other reactive tailings or waste rock — to prevent environmental contamination, protect receiving water bodies, and safeguard human health.</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chemically reactive mineral waste control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defines the purpose of this procedure, the HSESC domains within scope, and the lifecycle phases to which chemically reactive mineral waste control requirements apply.</w:t>
      </w:r>
    </w:p>
    <w:p>
      <w:pPr>
        <w:pStyle w:val="Heading2Numbered"/>
      </w:pPr>
      <w:r>
        <w:t>3.1  Purpose of This Document</w:t>
      </w:r>
    </w:p>
    <w:p>
      <w:pPr>
        <w:pStyle w:val="NormalNumberedtext"/>
      </w:pPr>
      <w:r>
        <w:t>This section states the purpose of this procedure and the requirements it establishes for reactive mineral waste management.</w:t>
      </w:r>
    </w:p>
    <w:p>
      <w:pPr>
        <w:pStyle w:val="NormalNumberedtext"/>
      </w:pPr>
      <w:r>
        <w:t>This procedure meets the following purpose requirements:</w:t>
      </w:r>
    </w:p>
    <w:p>
      <w:pPr>
        <w:pStyle w:val="NormalNumberedtext"/>
      </w:pPr>
      <w:r>
        <w:t>This procedure governs:</w:t>
      </w:r>
    </w:p>
    <w:p>
      <w:pPr>
        <w:pStyle w:val="NumberedBulletL1"/>
      </w:pPr>
      <w:r>
        <w:t>Geochemical characterisation of waste rock and tailings to identify chemically reactive materials.</w:t>
      </w:r>
    </w:p>
    <w:p>
      <w:pPr>
        <w:pStyle w:val="NumberedBulletL1"/>
      </w:pPr>
      <w:r>
        <w:t>Classification of waste material into reactive and non-reactive streams before disposal decisions are made.</w:t>
      </w:r>
    </w:p>
    <w:p>
      <w:pPr>
        <w:pStyle w:val="NumberedBulletL1"/>
      </w:pPr>
      <w:r>
        <w:t>Segregation, containment, and management requirements for reactive mineral waste.</w:t>
      </w:r>
    </w:p>
    <w:p>
      <w:pPr>
        <w:pStyle w:val="NumberedBulletL1"/>
      </w:pPr>
      <w:r>
        <w:t>Leachate, seepage, and receiving water quality monitoring downstream of reactive waste storage areas.</w:t>
      </w:r>
    </w:p>
    <w:p>
      <w:pPr>
        <w:pStyle w:val="NumberedBulletL1"/>
      </w:pPr>
      <w:r>
        <w:t>Closure design criteria for reactive waste landforms.</w:t>
      </w:r>
    </w:p>
    <w:p>
      <w:pPr>
        <w:pStyle w:val="NormalNumberedtext"/>
      </w:pPr>
      <w:r>
        <w:t>This procedure applies to all Rio Tinto personnel and contractor organisations performing work that generates, handles, transports, or places mineral waste on this project. Waste classification and general disposal requirements are governed by RTPR-HSE-PRO-0039 – Waste Control. Water quality monitoring near reactive waste areas is governed by RTPR-HSE-PRO-0034 – Water Quality. Geochemical monitoring programme requirements are governed by RTPR-HSE-PRO-0042 – Monitoring.</w:t>
      </w:r>
    </w:p>
    <w:p>
      <w:pPr>
        <w:pStyle w:val="Heading2Numbered"/>
      </w:pPr>
      <w:r>
        <w:t>3.2  Scope of This Document</w:t>
      </w:r>
    </w:p>
    <w:p>
      <w:pPr>
        <w:pStyle w:val="NormalNumberedtext"/>
      </w:pPr>
      <w:r>
        <w:t>This section defines which activities and project phases are governed by this procedure and its relationship to other project controls.</w:t>
      </w:r>
    </w:p>
    <w:p>
      <w:pPr>
        <w:pStyle w:val="NormalNumberedtext"/>
      </w:pPr>
      <w:r>
        <w:t>This procedure applies the following scope requirements:</w:t>
      </w:r>
    </w:p>
    <w:p>
      <w:pPr>
        <w:pStyle w:val="NormalNumberedtext"/>
      </w:pPr>
      <w:r>
        <w:t>This procedure applies to:</w:t>
      </w:r>
    </w:p>
    <w:p>
      <w:pPr>
        <w:pStyle w:val="NumberedBulletL1"/>
      </w:pPr>
      <w:r>
        <w:t>All waste rock excavation, transport, and placement activities from the commencement of earthworks through to project closure.</w:t>
      </w:r>
    </w:p>
    <w:p>
      <w:pPr>
        <w:pStyle w:val="NumberedBulletL1"/>
      </w:pPr>
      <w:r>
        <w:t>All tailings deposition activities and tailings facility management for the life of the facility.</w:t>
      </w:r>
    </w:p>
    <w:p>
      <w:pPr>
        <w:pStyle w:val="NumberedBulletL1"/>
      </w:pPr>
      <w:r>
        <w:t>Geochemical characterisation programmes conducted before and during waste disposal operations.</w:t>
      </w:r>
    </w:p>
    <w:p>
      <w:pPr>
        <w:pStyle w:val="NumberedBulletL1"/>
      </w:pPr>
      <w:r>
        <w:t>Leachate and seepage monitoring activities at all reactive waste storage areas.</w:t>
      </w:r>
    </w:p>
    <w:p>
      <w:pPr>
        <w:pStyle w:val="NumberedBulletL1"/>
      </w:pPr>
      <w:r>
        <w:t>Closure planning and post-closure monitoring of reactive waste landforms.</w:t>
      </w:r>
    </w:p>
    <w:p>
      <w:pPr>
        <w:pStyle w:val="NormalNumberedtext"/>
      </w:pPr>
      <w:r>
        <w:t>ARD risk assessment for this project is conducted in accordance with RTPR-HSE-PRO-0002 – Risk Management. Waste landform rehabilitation design is governed by RTPR-HSE-PRO-0037 – Land Disturbance. This procedure does not reproduce requirements owned by those documents.</w:t>
      </w:r>
    </w:p>
    <w:p>
      <w:pPr>
        <w:pStyle w:val="Heading1Numbered"/>
      </w:pPr>
      <w:r>
        <w:t>4  Roles and Responsibilities</w:t>
      </w:r>
    </w:p>
    <w:p>
      <w:pPr>
        <w:pStyle w:val="NormalNumberedtext"/>
      </w:pPr>
      <w:r>
        <w:t>This section defines chemically reactive mineral waste control responsibilities for all project roles, covering the Rio Tinto project team and all contractor organisations.</w:t>
      </w:r>
    </w:p>
    <w:p>
      <w:pPr>
        <w:pStyle w:val="NormalNumberedtext"/>
      </w:pPr>
      <w:r>
        <w:t>Responsibilities are assigned across governance, geochemical programme management, field execution, and monitoring. All roles listed below hold their assigned responsibilities for the full duration of the project phase in which the associated activity occurs.</w:t>
      </w:r>
    </w:p>
    <w:p>
      <w:pPr>
        <w:pStyle w:val="NormalNumberedtext"/>
      </w:pPr>
      <w:r>
        <w:t>Table 1: Reactive Mineral Waste Control – Roles and Responsibilities</w:t>
      </w:r>
    </w:p>
    <w:tbl>
      <w:tblPr>
        <w:tblStyle w:val="TableOption2"/>
        <w:tblW w:type="pct" w:w="5000"/>
      </w:tblPr>
      <w:tr>
        <w:trPr>
          <w:tblHeader/>
        </w:trPr>
        <w:tc>
          <w:tcPr>
            <w:shd w:val="clear" w:color="auto" w:fill="1F3864"/>
          </w:tcPr>
          <w:p>
            <w:pPr>
              <w:pStyle w:val="TableContents"/>
            </w:pPr>
            <w:r>
              <w:rPr>
                <w:b/>
                <w:bCs/>
                <w:color w:val="FFFFFF"/>
              </w:rPr>
              <w:t>Role</w:t>
            </w:r>
          </w:p>
        </w:tc>
        <w:tc>
          <w:tcPr>
            <w:shd w:val="clear" w:color="auto" w:fill="1F3864"/>
          </w:tcPr>
          <w:p>
            <w:pPr>
              <w:pStyle w:val="TableContents"/>
            </w:pPr>
            <w:r>
              <w:rPr>
                <w:b/>
                <w:bCs/>
                <w:color w:val="FFFFFF"/>
              </w:rPr>
              <w:t>Responsibility</w:t>
            </w:r>
          </w:p>
        </w:tc>
      </w:tr>
      <w:tr>
        <w:tc>
          <w:tcPr/>
          <w:p>
            <w:pPr>
              <w:pStyle w:val="TableContents"/>
            </w:pPr>
            <w:r>
              <w:t>Environment Manager</w:t>
            </w:r>
          </w:p>
        </w:tc>
        <w:tc>
          <w:tcPr/>
          <w:p>
            <w:pPr>
              <w:pStyle w:val="TableContents"/>
            </w:pPr>
            <w:r>
              <w:t>Owns this procedure. Ensures geochemical characterisation is commissioned before waste disposal decisions are made. Approves the waste segregation plan and closure design criteria. Reviews and approves trigger threshold tables for ARD-affected drainage.</w:t>
            </w:r>
          </w:p>
        </w:tc>
      </w:tr>
      <w:tr>
        <w:tc>
          <w:tcPr/>
          <w:p>
            <w:pPr>
              <w:pStyle w:val="TableContents"/>
            </w:pPr>
            <w:r>
              <w:t>Qualified Geochemist (independent or project-appointed)</w:t>
            </w:r>
          </w:p>
        </w:tc>
        <w:tc>
          <w:tcPr/>
          <w:p>
            <w:pPr>
              <w:pStyle w:val="TableContents"/>
            </w:pPr>
            <w:r>
              <w:t>Designs and oversees the geochemical characterisation programme. Interprets ABA and kinetic test results. Defines site-specific water quality triggers for ARD-affected drainage in consultation with the Environment Manager. Confirms closure design criteria are geochemically sound.</w:t>
            </w:r>
          </w:p>
        </w:tc>
      </w:tr>
      <w:tr>
        <w:tc>
          <w:tcPr/>
          <w:p>
            <w:pPr>
              <w:pStyle w:val="TableContents"/>
            </w:pPr>
            <w:r>
              <w:t>{'text': 'Construction Manager', 'suggested': False}</w:t>
            </w:r>
          </w:p>
        </w:tc>
        <w:tc>
          <w:tcPr/>
          <w:p>
            <w:pPr>
              <w:pStyle w:val="TableContents"/>
            </w:pPr>
            <w:r>
              <w:t>Ensures earthworks and waste placement operations comply with the approved waste segregation plan before and during waste rock movement. Confirms engineering controls for water management across the Works area are in place before waste rock movement commences.</w:t>
            </w:r>
          </w:p>
        </w:tc>
      </w:tr>
      <w:tr>
        <w:tc>
          <w:tcPr/>
          <w:p>
            <w:pPr>
              <w:pStyle w:val="TableContents"/>
            </w:pPr>
            <w:r>
              <w:t>HSESC Manager</w:t>
            </w:r>
          </w:p>
        </w:tc>
        <w:tc>
          <w:tcPr/>
          <w:p>
            <w:pPr>
              <w:pStyle w:val="TableContents"/>
            </w:pPr>
            <w:r>
              <w:t>Monitors compliance with this procedure across all contractor organisations. Escalates non-conformances to the Environment Manager. Confirms incident reporting requirements are met for any ARD-related environmental event.</w:t>
            </w:r>
          </w:p>
        </w:tc>
      </w:tr>
      <w:tr>
        <w:tc>
          <w:tcPr/>
          <w:p>
            <w:pPr>
              <w:pStyle w:val="TableContents"/>
            </w:pPr>
            <w:r>
              <w:t>Environment Superintendent</w:t>
            </w:r>
          </w:p>
        </w:tc>
        <w:tc>
          <w:tcPr/>
          <w:p>
            <w:pPr>
              <w:pStyle w:val="TableContents"/>
            </w:pPr>
            <w:r>
              <w:t>Maintains the waste register with documented segregation plans and disposal locations. Manages the leachate, seepage, and water quality monitoring programme. Reports monitoring results against trigger thresholds and initiates adaptive management responses.</w:t>
            </w:r>
          </w:p>
        </w:tc>
      </w:tr>
      <w:tr>
        <w:tc>
          <w:tcPr/>
          <w:p>
            <w:pPr>
              <w:pStyle w:val="TableContents"/>
            </w:pPr>
            <w:r>
              <w:t>{'insert': True, 'field': 'additional_role_1'}</w:t>
            </w:r>
          </w:p>
        </w:tc>
        <w:tc>
          <w:tcPr/>
          <w:p>
            <w:pPr>
              <w:pStyle w:val="TableContents"/>
            </w:pPr>
            <w:r>
              <w:t>{'insert': True, 'field': 'additional_responsibility_1'}</w:t>
            </w:r>
          </w:p>
        </w:tc>
      </w:tr>
    </w:tbl>
    <w:p>
      <w:pPr>
        <w:pStyle w:val="Default"/>
      </w:pPr>
    </w:p>
    <w:p>
      <w:pPr>
        <w:pStyle w:val="Heading1Numbered"/>
      </w:pPr>
      <w:r>
        <w:t>5  Waste Characterisation</w:t>
      </w:r>
    </w:p>
    <w:p>
      <w:pPr>
        <w:pStyle w:val="NormalNumberedtext"/>
      </w:pPr>
      <w:r>
        <w:t>This section defines the geochemical characterisation requirements that must be completed for all waste rock and tailings before disposal decisions are made on this project.</w:t>
      </w:r>
    </w:p>
    <w:p>
      <w:pPr>
        <w:pStyle w:val="Heading2Numbered"/>
      </w:pPr>
      <w:r>
        <w:t>5.1  Geochemical Characterisation Programme</w:t>
      </w:r>
    </w:p>
    <w:p>
      <w:pPr>
        <w:pStyle w:val="NormalNumberedtext"/>
      </w:pPr>
      <w:r>
        <w:t>This section defines the programme scope, methods, and timing for characterising the acid-generating potential of all mineral waste streams.</w:t>
      </w:r>
    </w:p>
    <w:p>
      <w:pPr>
        <w:pStyle w:val="NormalNumberedtext"/>
      </w:pPr>
      <w:r>
        <w:t>Rio Tinto's Environment and Nature – Materials and Waste Standard requires geochemical characterisation of all waste rock and tailings to identify reactive materials using Acid-Base Accounting and kinetic testing where required, and requires classification of all waste material into reactive and non-reactive streams before disposal decisions are made. The IFC EHS General Guidelines §1.5 require a comprehensive waste characterisation programme to identify potentially hazardous materials and set the basis for waste management design. The TSM Tailings Management Protocol, Indicator TM2, requires site-specific tailings management systems that address geochemical characterisation of tailings and ARD potential as a core component of the tailings facility management plan.</w:t>
      </w:r>
    </w:p>
    <w:p>
      <w:pPr>
        <w:pStyle w:val="NormalNumberedtext"/>
      </w:pPr>
      <w:r>
        <w:t>The Environment Manager commissions a geochemical characterisation programme before waste disposal decisions are made. The programme applies Acid-Base Accounting as the primary screening tool and progresses to kinetic testing for materials where ABA results are inconclusive or indicate net acid-generating potential.</w:t>
      </w:r>
    </w:p>
    <w:tbl>
      <w:tblPr>
        <w:tblStyle w:val="TableOption1"/>
        <w:tblW w:type="pct" w:w="5000"/>
      </w:tblPr>
      <w:tr>
        <w:tc>
          <w:tcPr>
            <w:shd w:val="clear" w:color="auto" w:fill="FFF2CC"/>
          </w:tcPr>
          <w:p>
            <w:pPr>
              <w:pStyle w:val="Instructions"/>
            </w:pPr>
            <w:r>
              <w:rPr>
                <w:b/>
                <w:bCs/>
                <w:color w:val="C55A11"/>
              </w:rPr>
              <w:t>[INSERT: Geochemical Characterisation Programme] — Commission a geochemical characterisation programme for this project's waste rock and tailings before waste disposal decisions are made. This procedure requires this. Insert the programme scope, sampling methodology, laboratory test suite, responsible geochemist, and completion timeline below. Reference the programme results report when available.</w:t>
            </w:r>
          </w:p>
        </w:tc>
      </w:tr>
    </w:tbl>
    <w:p>
      <w:pPr>
        <w:pStyle w:val="Default"/>
      </w:pPr>
    </w:p>
    <w:p>
      <w:pPr>
        <w:pStyle w:val="NormalNumberedtext"/>
      </w:pPr>
      <w:r>
        <w:t>Table 2: Geochemical Characterisation Programme Summary</w:t>
      </w:r>
    </w:p>
    <w:tbl>
      <w:tblPr>
        <w:tblStyle w:val="TableOption2"/>
        <w:tblW w:type="pct" w:w="5000"/>
      </w:tblPr>
      <w:tr>
        <w:trPr>
          <w:tblHeader/>
        </w:trPr>
        <w:tc>
          <w:tcPr>
            <w:shd w:val="clear" w:color="auto" w:fill="1F3864"/>
          </w:tcPr>
          <w:p>
            <w:pPr>
              <w:pStyle w:val="TableContents"/>
            </w:pPr>
            <w:r>
              <w:rPr>
                <w:b/>
                <w:bCs/>
                <w:color w:val="FFFFFF"/>
              </w:rPr>
              <w:t>Parameter</w:t>
            </w:r>
          </w:p>
        </w:tc>
        <w:tc>
          <w:tcPr>
            <w:shd w:val="clear" w:color="auto" w:fill="1F3864"/>
          </w:tcPr>
          <w:p>
            <w:pPr>
              <w:pStyle w:val="TableContents"/>
            </w:pPr>
            <w:r>
              <w:rPr>
                <w:b/>
                <w:bCs/>
                <w:color w:val="FFFFFF"/>
              </w:rPr>
              <w:t>Detail</w:t>
            </w:r>
          </w:p>
        </w:tc>
      </w:tr>
      <w:tr>
        <w:tc>
          <w:tcPr/>
          <w:p>
            <w:pPr>
              <w:pStyle w:val="TableContents"/>
            </w:pPr>
            <w:r>
              <w:t>Programme scope</w:t>
            </w:r>
          </w:p>
        </w:tc>
        <w:tc>
          <w:tcPr/>
          <w:p>
            <w:pPr>
              <w:pStyle w:val="TableContents"/>
            </w:pPr>
            <w:r>
              <w:t>{'insert': True, 'field': 'characterisation_programme_scope'}</w:t>
            </w:r>
          </w:p>
        </w:tc>
      </w:tr>
      <w:tr>
        <w:tc>
          <w:tcPr/>
          <w:p>
            <w:pPr>
              <w:pStyle w:val="TableContents"/>
            </w:pPr>
            <w:r>
              <w:t>Waste rock sampling strategy</w:t>
            </w:r>
          </w:p>
        </w:tc>
        <w:tc>
          <w:tcPr/>
          <w:p>
            <w:pPr>
              <w:pStyle w:val="TableContents"/>
            </w:pPr>
            <w:r>
              <w:t>{'insert': True, 'field': 'waste_rock_sampling_strategy'}</w:t>
            </w:r>
          </w:p>
        </w:tc>
      </w:tr>
      <w:tr>
        <w:tc>
          <w:tcPr/>
          <w:p>
            <w:pPr>
              <w:pStyle w:val="TableContents"/>
            </w:pPr>
            <w:r>
              <w:t>Tailings sampling strategy</w:t>
            </w:r>
          </w:p>
        </w:tc>
        <w:tc>
          <w:tcPr/>
          <w:p>
            <w:pPr>
              <w:pStyle w:val="TableContents"/>
            </w:pPr>
            <w:r>
              <w:t>{'insert': True, 'field': 'tailings_sampling_strategy'}</w:t>
            </w:r>
          </w:p>
        </w:tc>
      </w:tr>
      <w:tr>
        <w:tc>
          <w:tcPr/>
          <w:p>
            <w:pPr>
              <w:pStyle w:val="TableContents"/>
            </w:pPr>
            <w:r>
              <w:t>{'text': 'Primary screening method', 'suggested': False}</w:t>
            </w:r>
          </w:p>
        </w:tc>
        <w:tc>
          <w:tcPr/>
          <w:p>
            <w:pPr>
              <w:pStyle w:val="TableContents"/>
            </w:pPr>
            <w:r>
              <w:t>{'text': 'Acid-Base Accounting (ABA) in accordance with industry standard methods (e.g. Sobek or modified Sobek)', 'suggested': True}</w:t>
            </w:r>
          </w:p>
        </w:tc>
      </w:tr>
      <w:tr>
        <w:tc>
          <w:tcPr/>
          <w:p>
            <w:pPr>
              <w:pStyle w:val="TableContents"/>
            </w:pPr>
            <w:r>
              <w:t>{'text': 'Kinetic testing trigger', 'suggested': False}</w:t>
            </w:r>
          </w:p>
        </w:tc>
        <w:tc>
          <w:tcPr/>
          <w:p>
            <w:pPr>
              <w:pStyle w:val="TableContents"/>
            </w:pPr>
            <w:r>
              <w:t>{'text': 'Applied where Net Neutralisation Potential (NNP) falls within the uncertain classification range or where Net Acid Generation (NAG) pH is below 4.5', 'suggested': True}</w:t>
            </w:r>
          </w:p>
        </w:tc>
      </w:tr>
      <w:tr>
        <w:tc>
          <w:tcPr/>
          <w:p>
            <w:pPr>
              <w:pStyle w:val="TableContents"/>
            </w:pPr>
            <w:r>
              <w:t>Responsible geochemist</w:t>
            </w:r>
          </w:p>
        </w:tc>
        <w:tc>
          <w:tcPr/>
          <w:p>
            <w:pPr>
              <w:pStyle w:val="TableContents"/>
            </w:pPr>
            <w:r>
              <w:t>{'insert': True, 'field': 'responsible_geochemist_name_and_organisation'}</w:t>
            </w:r>
          </w:p>
        </w:tc>
      </w:tr>
      <w:tr>
        <w:tc>
          <w:tcPr/>
          <w:p>
            <w:pPr>
              <w:pStyle w:val="TableContents"/>
            </w:pPr>
            <w:r>
              <w:t>Programme completion date (before first waste disposal)</w:t>
            </w:r>
          </w:p>
        </w:tc>
        <w:tc>
          <w:tcPr/>
          <w:p>
            <w:pPr>
              <w:pStyle w:val="TableContents"/>
            </w:pPr>
            <w:r>
              <w:t>{'insert': True, 'field': 'characterisation_programme_completion_date'}</w:t>
            </w:r>
          </w:p>
        </w:tc>
      </w:tr>
      <w:tr>
        <w:tc>
          <w:tcPr/>
          <w:p>
            <w:pPr>
              <w:pStyle w:val="TableContents"/>
            </w:pPr>
            <w:r>
              <w:t>Programme results report reference</w:t>
            </w:r>
          </w:p>
        </w:tc>
        <w:tc>
          <w:tcPr/>
          <w:p>
            <w:pPr>
              <w:pStyle w:val="TableContents"/>
            </w:pPr>
            <w:r>
              <w:t>{'insert': True, 'field': 'characterisation_programme_results_report_reference'}</w:t>
            </w:r>
          </w:p>
        </w:tc>
      </w:tr>
    </w:tbl>
    <w:p>
      <w:pPr>
        <w:pStyle w:val="Default"/>
      </w:pPr>
    </w:p>
    <w:p>
      <w:pPr>
        <w:pStyle w:val="NormalNumberedtext"/>
      </w:pPr>
      <w:r>
        <w:t>The characterisation programme applies the classification criteria defined in Table 3 to assign all waste materials to a reactive or non-reactive stream. Classification results are recorded in the project waste register maintained by the Environment Superintendent, in accordance with RTPR-HSE-PRO-0039 – Waste Control.</w:t>
      </w:r>
    </w:p>
    <w:p>
      <w:pPr>
        <w:pStyle w:val="NormalNumberedtext"/>
      </w:pPr>
      <w:r>
        <w:t>Table 3: ARD Classification Criteria</w:t>
      </w:r>
    </w:p>
    <w:tbl>
      <w:tblPr>
        <w:tblStyle w:val="TableOption2"/>
        <w:tblW w:type="pct" w:w="5000"/>
      </w:tblPr>
      <w:tr>
        <w:trPr>
          <w:tblHeader/>
        </w:trPr>
        <w:tc>
          <w:tcPr>
            <w:shd w:val="clear" w:color="auto" w:fill="1F3864"/>
          </w:tcPr>
          <w:p>
            <w:pPr>
              <w:pStyle w:val="TableContents"/>
            </w:pPr>
            <w:r>
              <w:rPr>
                <w:b/>
                <w:bCs/>
                <w:color w:val="FFFFFF"/>
              </w:rPr>
              <w:t>Classification</w:t>
            </w:r>
          </w:p>
        </w:tc>
        <w:tc>
          <w:tcPr>
            <w:shd w:val="clear" w:color="auto" w:fill="1F3864"/>
          </w:tcPr>
          <w:p>
            <w:pPr>
              <w:pStyle w:val="TableContents"/>
            </w:pPr>
            <w:r>
              <w:rPr>
                <w:b/>
                <w:bCs/>
                <w:color w:val="FFFFFF"/>
              </w:rPr>
              <w:t>ABA Criterion</w:t>
            </w:r>
          </w:p>
        </w:tc>
        <w:tc>
          <w:tcPr>
            <w:shd w:val="clear" w:color="auto" w:fill="1F3864"/>
          </w:tcPr>
          <w:p>
            <w:pPr>
              <w:pStyle w:val="TableContents"/>
            </w:pPr>
            <w:r>
              <w:rPr>
                <w:b/>
                <w:bCs/>
                <w:color w:val="FFFFFF"/>
              </w:rPr>
              <w:t>Kinetic Test Criterion</w:t>
            </w:r>
          </w:p>
        </w:tc>
        <w:tc>
          <w:tcPr>
            <w:shd w:val="clear" w:color="auto" w:fill="1F3864"/>
          </w:tcPr>
          <w:p>
            <w:pPr>
              <w:pStyle w:val="TableContents"/>
            </w:pPr>
            <w:r>
              <w:rPr>
                <w:b/>
                <w:bCs/>
                <w:color w:val="FFFFFF"/>
              </w:rPr>
              <w:t>Management Stream</w:t>
            </w:r>
          </w:p>
        </w:tc>
      </w:tr>
      <w:tr>
        <w:tc>
          <w:tcPr/>
          <w:p>
            <w:pPr>
              <w:pStyle w:val="TableContents"/>
            </w:pPr>
            <w:r>
              <w:t>{'text': 'Potentially Acid Forming (PAF)', 'suggested': False}</w:t>
            </w:r>
          </w:p>
        </w:tc>
        <w:tc>
          <w:tcPr/>
          <w:p>
            <w:pPr>
              <w:pStyle w:val="TableContents"/>
            </w:pPr>
            <w:r>
              <w:t>{'text': 'NNP &lt; -20 kg H2SO4/t or NP:AP ratio &lt; 1:1', 'suggested': True}</w:t>
            </w:r>
          </w:p>
        </w:tc>
        <w:tc>
          <w:tcPr/>
          <w:p>
            <w:pPr>
              <w:pStyle w:val="TableContents"/>
            </w:pPr>
            <w:r>
              <w:t>{'text': 'NAG pH &lt; 4.5 or confirmed acid generation in column leach test', 'suggested': True}</w:t>
            </w:r>
          </w:p>
        </w:tc>
        <w:tc>
          <w:tcPr/>
          <w:p>
            <w:pPr>
              <w:pStyle w:val="TableContents"/>
            </w:pPr>
            <w:r>
              <w:t>Reactive — requires segregation and engineered containment</w:t>
            </w:r>
          </w:p>
        </w:tc>
      </w:tr>
      <w:tr>
        <w:tc>
          <w:tcPr/>
          <w:p>
            <w:pPr>
              <w:pStyle w:val="TableContents"/>
            </w:pPr>
            <w:r>
              <w:t>{'text': 'Uncertain (UC)', 'suggested': False}</w:t>
            </w:r>
          </w:p>
        </w:tc>
        <w:tc>
          <w:tcPr/>
          <w:p>
            <w:pPr>
              <w:pStyle w:val="TableContents"/>
            </w:pPr>
            <w:r>
              <w:t>{'text': 'NNP between -20 and +20 kg H2SO4/t or NP:AP ratio between 1:1 and 2:1', 'suggested': True}</w:t>
            </w:r>
          </w:p>
        </w:tc>
        <w:tc>
          <w:tcPr/>
          <w:p>
            <w:pPr>
              <w:pStyle w:val="TableContents"/>
            </w:pPr>
            <w:r>
              <w:t>{'text': 'Kinetic testing required before final classification', 'suggested': True}</w:t>
            </w:r>
          </w:p>
        </w:tc>
        <w:tc>
          <w:tcPr/>
          <w:p>
            <w:pPr>
              <w:pStyle w:val="TableContents"/>
            </w:pPr>
            <w:r>
              <w:t>Treat as PAF until kinetic testing confirms classification</w:t>
            </w:r>
          </w:p>
        </w:tc>
      </w:tr>
      <w:tr>
        <w:tc>
          <w:tcPr/>
          <w:p>
            <w:pPr>
              <w:pStyle w:val="TableContents"/>
            </w:pPr>
            <w:r>
              <w:t>{'text': 'Non-Acid Forming (NAF)', 'suggested': False}</w:t>
            </w:r>
          </w:p>
        </w:tc>
        <w:tc>
          <w:tcPr/>
          <w:p>
            <w:pPr>
              <w:pStyle w:val="TableContents"/>
            </w:pPr>
            <w:r>
              <w:t>{'text': 'NNP &gt; +20 kg H2SO4/t or NP:AP ratio &gt; 2:1', 'suggested': True}</w:t>
            </w:r>
          </w:p>
        </w:tc>
        <w:tc>
          <w:tcPr/>
          <w:p>
            <w:pPr>
              <w:pStyle w:val="TableContents"/>
            </w:pPr>
            <w:r>
              <w:t>{'text': 'Not required unless mineralogy indicates secondary acid generation risk', 'suggested': True}</w:t>
            </w:r>
          </w:p>
        </w:tc>
        <w:tc>
          <w:tcPr/>
          <w:p>
            <w:pPr>
              <w:pStyle w:val="TableContents"/>
            </w:pPr>
            <w:r>
              <w:t>Non-reactive — standard waste management applies</w:t>
            </w:r>
          </w:p>
        </w:tc>
      </w:tr>
      <w:tr>
        <w:tc>
          <w:tcPr/>
          <w:p>
            <w:pPr>
              <w:pStyle w:val="TableContents"/>
            </w:pPr>
            <w:r>
              <w:t>{'insert': True, 'field': 'project_specific_classification_row'}</w:t>
            </w:r>
          </w:p>
        </w:tc>
        <w:tc>
          <w:tcPr/>
          <w:p>
            <w:pPr>
              <w:pStyle w:val="TableContents"/>
            </w:pPr>
            <w:r>
              <w:t>{'insert': True, 'field': 'project_specific_aba_criterion'}</w:t>
            </w:r>
          </w:p>
        </w:tc>
        <w:tc>
          <w:tcPr/>
          <w:p>
            <w:pPr>
              <w:pStyle w:val="TableContents"/>
            </w:pPr>
            <w:r>
              <w:t>{'insert': True, 'field': 'project_specific_kinetic_criterion'}</w:t>
            </w:r>
          </w:p>
        </w:tc>
        <w:tc>
          <w:tcPr/>
          <w:p>
            <w:pPr>
              <w:pStyle w:val="TableContents"/>
            </w:pPr>
            <w:r>
              <w:t>{'insert': True, 'field': 'project_specific_management_stream'}</w:t>
            </w:r>
          </w:p>
        </w:tc>
      </w:tr>
    </w:tbl>
    <w:p>
      <w:pPr>
        <w:pStyle w:val="Default"/>
      </w:pPr>
    </w:p>
    <w:p>
      <w:pPr>
        <w:pStyle w:val="NormalNumberedtext"/>
      </w:pPr>
      <w:r>
        <w:t>Works are conducted to minimise overall mineral waste production while maximising recovery of mineral waste types for rehabilitation and closure activities, in accordance with APPC Appendix C, C-4 §92.3.2. The Environment Manager confirms this objective is addressed in the project waste minimisation plan before earthworks commence.</w:t>
      </w:r>
    </w:p>
    <w:p>
      <w:pPr>
        <w:pStyle w:val="Heading1Numbered"/>
      </w:pPr>
      <w:r>
        <w:t>6  Segregation, Management and Containment</w:t>
      </w:r>
    </w:p>
    <w:p>
      <w:pPr>
        <w:pStyle w:val="NormalNumberedtext"/>
      </w:pPr>
      <w:r>
        <w:t>This section defines the segregation, placement, encapsulation, and engineering containment requirements for reactive mineral waste streams on this project.</w:t>
      </w:r>
    </w:p>
    <w:p>
      <w:pPr>
        <w:pStyle w:val="Heading2Numbered"/>
      </w:pPr>
      <w:r>
        <w:t>6.1  Waste Segregation Plan</w:t>
      </w:r>
    </w:p>
    <w:p>
      <w:pPr>
        <w:pStyle w:val="NormalNumberedtext"/>
      </w:pPr>
      <w:r>
        <w:t>This section defines where reactive material is placed, how placement boundaries are defined, and how workers are informed of segregation requirements.</w:t>
      </w:r>
    </w:p>
    <w:p>
      <w:pPr>
        <w:pStyle w:val="NormalNumberedtext"/>
      </w:pPr>
      <w:r>
        <w:t>Rio Tinto's Environment and Nature – Materials and Waste Standard requires segregation of reactive and non-reactive waste materials, defines encapsulation, co-disposal, or neutralisation requirements for reactive materials based on geochemical characterisation, and requires segregation plans and disposal locations to be documented in the waste register.</w:t>
      </w:r>
    </w:p>
    <w:tbl>
      <w:tblPr>
        <w:tblStyle w:val="TableOption1"/>
        <w:tblW w:type="pct" w:w="5000"/>
      </w:tblPr>
      <w:tr>
        <w:tc>
          <w:tcPr>
            <w:shd w:val="clear" w:color="auto" w:fill="FFF2CC"/>
          </w:tcPr>
          <w:p>
            <w:pPr>
              <w:pStyle w:val="Instructions"/>
            </w:pPr>
            <w:r>
              <w:rPr>
                <w:b/>
                <w:bCs/>
                <w:color w:val="C55A11"/>
              </w:rPr>
              <w:t>[INSERT: Waste Segregation Plan] — Define the project waste segregation plan: where reactive material is placed; how the placement boundary is defined on the ground and on project drawings; and how workers, supervisors, and dump operators are informed of segregation requirements before waste rock movement commences. Insert the plan reference and key details below.</w:t>
            </w:r>
          </w:p>
        </w:tc>
      </w:tr>
    </w:tbl>
    <w:p>
      <w:pPr>
        <w:pStyle w:val="Default"/>
      </w:pPr>
    </w:p>
    <w:p>
      <w:pPr>
        <w:pStyle w:val="NormalNumberedtext"/>
      </w:pPr>
      <w:r>
        <w:t>Table 4: Waste Segregation Plan Summary</w:t>
      </w:r>
    </w:p>
    <w:tbl>
      <w:tblPr>
        <w:tblStyle w:val="TableOption2"/>
        <w:tblW w:type="pct" w:w="5000"/>
      </w:tblPr>
      <w:tr>
        <w:trPr>
          <w:tblHeader/>
        </w:trPr>
        <w:tc>
          <w:tcPr>
            <w:shd w:val="clear" w:color="auto" w:fill="1F3864"/>
          </w:tcPr>
          <w:p>
            <w:pPr>
              <w:pStyle w:val="TableContents"/>
            </w:pPr>
            <w:r>
              <w:rPr>
                <w:b/>
                <w:bCs/>
                <w:color w:val="FFFFFF"/>
              </w:rPr>
              <w:t>Element</w:t>
            </w:r>
          </w:p>
        </w:tc>
        <w:tc>
          <w:tcPr>
            <w:shd w:val="clear" w:color="auto" w:fill="1F3864"/>
          </w:tcPr>
          <w:p>
            <w:pPr>
              <w:pStyle w:val="TableContents"/>
            </w:pPr>
            <w:r>
              <w:rPr>
                <w:b/>
                <w:bCs/>
                <w:color w:val="FFFFFF"/>
              </w:rPr>
              <w:t>Detail</w:t>
            </w:r>
          </w:p>
        </w:tc>
      </w:tr>
      <w:tr>
        <w:tc>
          <w:tcPr/>
          <w:p>
            <w:pPr>
              <w:pStyle w:val="TableContents"/>
            </w:pPr>
            <w:r>
              <w:t>Reactive waste placement location(s)</w:t>
            </w:r>
          </w:p>
        </w:tc>
        <w:tc>
          <w:tcPr/>
          <w:p>
            <w:pPr>
              <w:pStyle w:val="TableContents"/>
            </w:pPr>
            <w:r>
              <w:t>{'insert': True, 'field': 'reactive_waste_placement_locations'}</w:t>
            </w:r>
          </w:p>
        </w:tc>
      </w:tr>
      <w:tr>
        <w:tc>
          <w:tcPr/>
          <w:p>
            <w:pPr>
              <w:pStyle w:val="TableContents"/>
            </w:pPr>
            <w:r>
              <w:t>Non-reactive waste placement location(s)</w:t>
            </w:r>
          </w:p>
        </w:tc>
        <w:tc>
          <w:tcPr/>
          <w:p>
            <w:pPr>
              <w:pStyle w:val="TableContents"/>
            </w:pPr>
            <w:r>
              <w:t>{'insert': True, 'field': 'non_reactive_waste_placement_locations'}</w:t>
            </w:r>
          </w:p>
        </w:tc>
      </w:tr>
      <w:tr>
        <w:tc>
          <w:tcPr/>
          <w:p>
            <w:pPr>
              <w:pStyle w:val="TableContents"/>
            </w:pPr>
            <w:r>
              <w:t>Placement boundary definition method</w:t>
            </w:r>
          </w:p>
        </w:tc>
        <w:tc>
          <w:tcPr/>
          <w:p>
            <w:pPr>
              <w:pStyle w:val="TableContents"/>
            </w:pPr>
            <w:r>
              <w:t>{'insert': True, 'field': 'placement_boundary_definition_method'}</w:t>
            </w:r>
          </w:p>
        </w:tc>
      </w:tr>
      <w:tr>
        <w:tc>
          <w:tcPr/>
          <w:p>
            <w:pPr>
              <w:pStyle w:val="TableContents"/>
            </w:pPr>
            <w:r>
              <w:t>{'text': 'Worker communication method', 'suggested': False}</w:t>
            </w:r>
          </w:p>
        </w:tc>
        <w:tc>
          <w:tcPr/>
          <w:p>
            <w:pPr>
              <w:pStyle w:val="TableContents"/>
            </w:pPr>
            <w:r>
              <w:t>{'text': 'Pre-start briefing using approved JHA and site map overlays showing dump boundaries; dump markers and signage installed before first placement; refer RTPR-HSE-PRO-0002 for JHA process', 'suggested': True}</w:t>
            </w:r>
          </w:p>
        </w:tc>
      </w:tr>
      <w:tr>
        <w:tc>
          <w:tcPr/>
          <w:p>
            <w:pPr>
              <w:pStyle w:val="TableContents"/>
            </w:pPr>
            <w:r>
              <w:t>Waste register reference</w:t>
            </w:r>
          </w:p>
        </w:tc>
        <w:tc>
          <w:tcPr/>
          <w:p>
            <w:pPr>
              <w:pStyle w:val="TableContents"/>
            </w:pPr>
            <w:r>
              <w:t>{'insert': True, 'field': 'waste_register_reference'}</w:t>
            </w:r>
          </w:p>
        </w:tc>
      </w:tr>
      <w:tr>
        <w:tc>
          <w:tcPr/>
          <w:p>
            <w:pPr>
              <w:pStyle w:val="TableContents"/>
            </w:pPr>
            <w:r>
              <w:t>Segregation plan drawing reference</w:t>
            </w:r>
          </w:p>
        </w:tc>
        <w:tc>
          <w:tcPr/>
          <w:p>
            <w:pPr>
              <w:pStyle w:val="TableContents"/>
            </w:pPr>
            <w:r>
              <w:t>{'insert': True, 'field': 'segregation_plan_drawing_reference'}</w:t>
            </w:r>
          </w:p>
        </w:tc>
      </w:tr>
    </w:tbl>
    <w:p>
      <w:pPr>
        <w:pStyle w:val="Default"/>
      </w:pPr>
    </w:p>
    <w:p>
      <w:pPr>
        <w:pStyle w:val="NormalNumberedtext"/>
      </w:pPr>
      <w:r>
        <w:t>Adverse impacts related to chemically reactive mineral waste are contained within the Works area and limited to the duration of construction, in accordance with APPC Appendix C, C-4 §92.3.5. The Environment Manager confirms this requirement is addressed in the engineering controls specified in the waste segregation plan before earthworks commence.</w:t>
      </w:r>
    </w:p>
    <w:p>
      <w:pPr>
        <w:pStyle w:val="Heading2Numbered"/>
      </w:pPr>
      <w:r>
        <w:t>6.2  Engineering Containment and Water Management</w:t>
      </w:r>
    </w:p>
    <w:p>
      <w:pPr>
        <w:pStyle w:val="NormalNumberedtext"/>
      </w:pPr>
      <w:r>
        <w:t>This section defines the engineering controls required to prevent seepage and runoff from reactive waste areas reaching sensitive environmental receptors.</w:t>
      </w:r>
    </w:p>
    <w:p>
      <w:pPr>
        <w:pStyle w:val="NormalNumberedtext"/>
      </w:pPr>
      <w:r>
        <w:t>The IFC EHS General Guidelines §1.5 require waste containment facilities to be designed to prevent seepage reaching sensitive environmental receptors and engineering controls including covers, liners, and water diversion to be implemented appropriate to the waste class. The ICMM Position Statement on Tailings requires chemically reactive mineral waste to be managed in accordance with the Global Industry Standard on Tailings Management where it applies to the specific tailings facility on this project.</w:t>
      </w:r>
    </w:p>
    <w:p>
      <w:pPr>
        <w:pStyle w:val="NormalNumberedtext"/>
      </w:pPr>
      <w:r>
        <w:t>Active management of water movement across the Works area is required to prevent contamination through chemically reactive mineral waste. Controls must be in place before waste rock movement commences, in accordance with APPC Appendix C, C-4 §92.3.7. The Construction Manager confirms in writing to the Environment Manager that all water management controls are established and functional before the first waste rock placement occurs.</w:t>
      </w:r>
    </w:p>
    <w:p>
      <w:pPr>
        <w:pStyle w:val="NormalNumberedtext"/>
      </w:pPr>
      <w:r>
        <w:t>Engineering controls for reactive waste containment on this project include:</w:t>
      </w:r>
    </w:p>
    <w:p>
      <w:pPr>
        <w:pStyle w:val="NumberedBulletL1"/>
      </w:pPr>
      <w:r>
        <w:rPr>
          <w:color w:val="C55A11"/>
        </w:rPr>
        <w:t>Low-permeability liner systems beneath reactive waste storage areas where groundwater separation distance is insufficient to prevent leachate migration</w:t>
      </w:r>
    </w:p>
    <w:p>
      <w:pPr>
        <w:pStyle w:val="NumberedBulletL1"/>
      </w:pPr>
      <w:r>
        <w:rPr>
          <w:color w:val="C55A11"/>
        </w:rPr>
        <w:t>Perimeter drainage diversion bunds and upslope cut-off drains to prevent clean water contacting reactive waste</w:t>
      </w:r>
    </w:p>
    <w:p>
      <w:pPr>
        <w:pStyle w:val="NumberedBulletL1"/>
      </w:pPr>
      <w:r>
        <w:rPr>
          <w:color w:val="C55A11"/>
        </w:rPr>
        <w:t>Leachate collection sumps with defined pump-out and treatment requirements</w:t>
      </w:r>
    </w:p>
    <w:p>
      <w:pPr>
        <w:pStyle w:val="NumberedBulletL1"/>
      </w:pPr>
      <w:r>
        <w:rPr>
          <w:color w:val="C55A11"/>
        </w:rPr>
        <w:t>Cover system design for reactive waste dumps as specified in the closure design criteria</w:t>
      </w:r>
    </w:p>
    <w:p>
      <w:pPr>
        <w:pStyle w:val="NumberedBulletL1"/>
      </w:pPr>
      <w:r>
        <w:rPr>
          <w:b/>
          <w:bCs/>
          <w:color w:val="0059D1"/>
        </w:rPr>
        <w:t>[INSERT: project_specific_engineering_control_1]</w:t>
      </w:r>
    </w:p>
    <w:p>
      <w:pPr>
        <w:pStyle w:val="NumberedBulletL1"/>
      </w:pPr>
      <w:r>
        <w:rPr>
          <w:b/>
          <w:bCs/>
          <w:color w:val="0059D1"/>
        </w:rPr>
        <w:t>[INSERT: project_specific_engineering_control_2]</w:t>
      </w:r>
    </w:p>
    <w:p>
      <w:pPr>
        <w:pStyle w:val="NormalNumberedtext"/>
      </w:pPr>
      <w:r>
        <w:t>Co-disposal or encapsulation methods for reactive material within a non-reactive waste mass are documented in the waste segregation plan and approved by the qualified geochemist before application. Neutralisation of reactive materials using lime or other reagents requires a documented treatment design approved by the Environment Manager before treatment commences.</w:t>
      </w:r>
    </w:p>
    <w:p>
      <w:pPr>
        <w:pStyle w:val="NormalNumberedtext"/>
      </w:pPr>
      <w:r>
        <w:t>Workers raise a permit via the site PTW system before commencing work on reactive waste containment infrastructure, refer RTPR-HSE-PRO-0021. Any incident or near miss involving uncontrolled release of leachate or ARD-affected water is reported per project requirements, refer RTPR-HSE-PRO-0009.</w:t>
      </w:r>
    </w:p>
    <w:p>
      <w:pPr>
        <w:pStyle w:val="Heading1Numbered"/>
      </w:pPr>
      <w:r>
        <w:t>7  Monitoring, Reporting and Closure</w:t>
      </w:r>
    </w:p>
    <w:p>
      <w:pPr>
        <w:pStyle w:val="NormalNumberedtext"/>
      </w:pPr>
      <w:r>
        <w:t>This section defines leachate and seepage monitoring requirements, trigger thresholds, adaptive management responses, and closure design criteria for reactive waste landforms.</w:t>
      </w:r>
    </w:p>
    <w:p>
      <w:pPr>
        <w:pStyle w:val="Heading2Numbered"/>
      </w:pPr>
      <w:r>
        <w:t>7.1  Leachate and Seepage Monitoring</w:t>
      </w:r>
    </w:p>
    <w:p>
      <w:pPr>
        <w:pStyle w:val="NormalNumberedtext"/>
      </w:pPr>
      <w:r>
        <w:t>This section defines the monitoring locations, parameters, frequency, and reporting requirements for reactive waste storage areas.</w:t>
      </w:r>
    </w:p>
    <w:p>
      <w:pPr>
        <w:pStyle w:val="NormalNumberedtext"/>
      </w:pPr>
      <w:r>
        <w:t>Rio Tinto's Environment and Nature – Water Management Standard requires monitoring requirements for leachate, seepage, and receiving water quality downstream of reactive waste storage areas to be defined, including trigger thresholds and adaptive management responses for water quality deterioration. Water quality monitoring near reactive waste areas is governed by RTPR-HSE-PRO-0034 – Water Quality. Geochemical monitoring programme requirements, including sampling frequency and analytical suites, are governed by RTPR-HSE-PRO-0042 – Monitoring. This section defines the reactive waste-specific triggers that initiate enhanced controls and emergency response.</w:t>
      </w:r>
    </w:p>
    <w:p>
      <w:pPr>
        <w:pStyle w:val="NormalNumberedtext"/>
      </w:pPr>
      <w:r>
        <w:t>The TSM Tailings Management Protocol, Indicator TM4, requires an annual tailings management review and maintenance of an Operation, Maintenance and Surveillance manual conforming to applicable guidance. The Environment Manager confirms the OMS manual for this project's tailings facility is prepared, maintained, and reviewed annually by a qualified geotechnical and geochemical review panel.</w:t>
      </w:r>
    </w:p>
    <w:p>
      <w:pPr>
        <w:pStyle w:val="NormalNumberedtext"/>
      </w:pPr>
      <w:r>
        <w:t>Table 5: Reactive Waste Monitoring Programme Summary</w:t>
      </w:r>
    </w:p>
    <w:tbl>
      <w:tblPr>
        <w:tblStyle w:val="TableOption2"/>
        <w:tblW w:type="pct" w:w="5000"/>
      </w:tblPr>
      <w:tr>
        <w:trPr>
          <w:tblHeader/>
        </w:trPr>
        <w:tc>
          <w:tcPr>
            <w:shd w:val="clear" w:color="auto" w:fill="1F3864"/>
          </w:tcPr>
          <w:p>
            <w:pPr>
              <w:pStyle w:val="TableContents"/>
            </w:pPr>
            <w:r>
              <w:rPr>
                <w:b/>
                <w:bCs/>
                <w:color w:val="FFFFFF"/>
              </w:rPr>
              <w:t>Monitoring Location Type</w:t>
            </w:r>
          </w:p>
        </w:tc>
        <w:tc>
          <w:tcPr>
            <w:shd w:val="clear" w:color="auto" w:fill="1F3864"/>
          </w:tcPr>
          <w:p>
            <w:pPr>
              <w:pStyle w:val="TableContents"/>
            </w:pPr>
            <w:r>
              <w:rPr>
                <w:b/>
                <w:bCs/>
                <w:color w:val="FFFFFF"/>
              </w:rPr>
              <w:t>Parameters</w:t>
            </w:r>
          </w:p>
        </w:tc>
        <w:tc>
          <w:tcPr>
            <w:shd w:val="clear" w:color="auto" w:fill="1F3864"/>
          </w:tcPr>
          <w:p>
            <w:pPr>
              <w:pStyle w:val="TableContents"/>
            </w:pPr>
            <w:r>
              <w:rPr>
                <w:b/>
                <w:bCs/>
                <w:color w:val="FFFFFF"/>
              </w:rPr>
              <w:t>Frequency</w:t>
            </w:r>
          </w:p>
        </w:tc>
        <w:tc>
          <w:tcPr>
            <w:shd w:val="clear" w:color="auto" w:fill="1F3864"/>
          </w:tcPr>
          <w:p>
            <w:pPr>
              <w:pStyle w:val="TableContents"/>
            </w:pPr>
            <w:r>
              <w:rPr>
                <w:b/>
                <w:bCs/>
                <w:color w:val="FFFFFF"/>
              </w:rPr>
              <w:t>Responsible Role</w:t>
            </w:r>
          </w:p>
        </w:tc>
      </w:tr>
      <w:tr>
        <w:tc>
          <w:tcPr/>
          <w:p>
            <w:pPr>
              <w:pStyle w:val="TableContents"/>
            </w:pPr>
            <w:r>
              <w:t>{'text': 'Leachate collection sump(s)', 'suggested': False}</w:t>
            </w:r>
          </w:p>
        </w:tc>
        <w:tc>
          <w:tcPr/>
          <w:p>
            <w:pPr>
              <w:pStyle w:val="TableContents"/>
            </w:pPr>
            <w:r>
              <w:t>{'text': 'pH, electrical conductivity (EC), sulphate, iron (total and ferrous), relevant metals suite', 'suggested': True}</w:t>
            </w:r>
          </w:p>
        </w:tc>
        <w:tc>
          <w:tcPr/>
          <w:p>
            <w:pPr>
              <w:pStyle w:val="TableContents"/>
            </w:pPr>
            <w:r>
              <w:t>{'text': 'Weekly during active waste placement; monthly during care and maintenance', 'suggested': True}</w:t>
            </w:r>
          </w:p>
        </w:tc>
        <w:tc>
          <w:tcPr/>
          <w:p>
            <w:pPr>
              <w:pStyle w:val="TableContents"/>
            </w:pPr>
            <w:r>
              <w:t>Environment Superintendent</w:t>
            </w:r>
          </w:p>
        </w:tc>
      </w:tr>
      <w:tr>
        <w:tc>
          <w:tcPr/>
          <w:p>
            <w:pPr>
              <w:pStyle w:val="TableContents"/>
            </w:pPr>
            <w:r>
              <w:t>{'text': 'Seepage monitoring bores (toe of reactive waste dump)', 'suggested': False}</w:t>
            </w:r>
          </w:p>
        </w:tc>
        <w:tc>
          <w:tcPr/>
          <w:p>
            <w:pPr>
              <w:pStyle w:val="TableContents"/>
            </w:pPr>
            <w:r>
              <w:t>{'text': 'pH, EC, sulphate, metals suite, groundwater level', 'suggested': True}</w:t>
            </w:r>
          </w:p>
        </w:tc>
        <w:tc>
          <w:tcPr/>
          <w:p>
            <w:pPr>
              <w:pStyle w:val="TableContents"/>
            </w:pPr>
            <w:r>
              <w:t>{'text': 'Monthly during active operations; quarterly post-closure', 'suggested': True}</w:t>
            </w:r>
          </w:p>
        </w:tc>
        <w:tc>
          <w:tcPr/>
          <w:p>
            <w:pPr>
              <w:pStyle w:val="TableContents"/>
            </w:pPr>
            <w:r>
              <w:t>Environment Superintendent</w:t>
            </w:r>
          </w:p>
        </w:tc>
      </w:tr>
      <w:tr>
        <w:tc>
          <w:tcPr/>
          <w:p>
            <w:pPr>
              <w:pStyle w:val="TableContents"/>
            </w:pPr>
            <w:r>
              <w:t>{'text': 'Receiving water quality — upstream reference', 'suggested': False}</w:t>
            </w:r>
          </w:p>
        </w:tc>
        <w:tc>
          <w:tcPr/>
          <w:p>
            <w:pPr>
              <w:pStyle w:val="TableContents"/>
            </w:pPr>
            <w:r>
              <w:t>{'text': 'pH, EC, sulphate, metals suite, total dissolved solids', 'suggested': True}</w:t>
            </w:r>
          </w:p>
        </w:tc>
        <w:tc>
          <w:tcPr/>
          <w:p>
            <w:pPr>
              <w:pStyle w:val="TableContents"/>
            </w:pPr>
            <w:r>
              <w:t>{'text': 'Quarterly; refer RTPR-HSE-PRO-0034 for full suite', 'suggested': True}</w:t>
            </w:r>
          </w:p>
        </w:tc>
        <w:tc>
          <w:tcPr/>
          <w:p>
            <w:pPr>
              <w:pStyle w:val="TableContents"/>
            </w:pPr>
            <w:r>
              <w:t>Environment Superintendent</w:t>
            </w:r>
          </w:p>
        </w:tc>
      </w:tr>
      <w:tr>
        <w:tc>
          <w:tcPr/>
          <w:p>
            <w:pPr>
              <w:pStyle w:val="TableContents"/>
            </w:pPr>
            <w:r>
              <w:t>{'text': 'Receiving water quality — downstream of reactive waste area', 'suggested': False}</w:t>
            </w:r>
          </w:p>
        </w:tc>
        <w:tc>
          <w:tcPr/>
          <w:p>
            <w:pPr>
              <w:pStyle w:val="TableContents"/>
            </w:pPr>
            <w:r>
              <w:t>{'text': 'pH, EC, sulphate, metals suite, total dissolved solids', 'suggested': True}</w:t>
            </w:r>
          </w:p>
        </w:tc>
        <w:tc>
          <w:tcPr/>
          <w:p>
            <w:pPr>
              <w:pStyle w:val="TableContents"/>
            </w:pPr>
            <w:r>
              <w:t>{'text': 'Quarterly; monthly if trigger threshold reached', 'suggested': True}</w:t>
            </w:r>
          </w:p>
        </w:tc>
        <w:tc>
          <w:tcPr/>
          <w:p>
            <w:pPr>
              <w:pStyle w:val="TableContents"/>
            </w:pPr>
            <w:r>
              <w:t>Environment Superintendent</w:t>
            </w:r>
          </w:p>
        </w:tc>
      </w:tr>
      <w:tr>
        <w:tc>
          <w:tcPr/>
          <w:p>
            <w:pPr>
              <w:pStyle w:val="TableContents"/>
            </w:pPr>
            <w:r>
              <w:t>{'insert': True, 'field': 'project_specific_monitoring_location'}</w:t>
            </w:r>
          </w:p>
        </w:tc>
        <w:tc>
          <w:tcPr/>
          <w:p>
            <w:pPr>
              <w:pStyle w:val="TableContents"/>
            </w:pPr>
            <w:r>
              <w:t>{'insert': True, 'field': 'project_specific_parameters'}</w:t>
            </w:r>
          </w:p>
        </w:tc>
        <w:tc>
          <w:tcPr/>
          <w:p>
            <w:pPr>
              <w:pStyle w:val="TableContents"/>
            </w:pPr>
            <w:r>
              <w:t>{'insert': True, 'field': 'project_specific_frequency'}</w:t>
            </w:r>
          </w:p>
        </w:tc>
        <w:tc>
          <w:tcPr/>
          <w:p>
            <w:pPr>
              <w:pStyle w:val="TableContents"/>
            </w:pPr>
            <w:r>
              <w:t>{'insert': True, 'field': 'project_specific_responsible_role'}</w:t>
            </w:r>
          </w:p>
        </w:tc>
      </w:tr>
    </w:tbl>
    <w:p>
      <w:pPr>
        <w:pStyle w:val="Default"/>
      </w:pPr>
    </w:p>
    <w:p>
      <w:pPr>
        <w:pStyle w:val="Heading2Numbered"/>
      </w:pPr>
      <w:r>
        <w:t>7.2  ARD Trigger Thresholds and Adaptive Management</w:t>
      </w:r>
    </w:p>
    <w:p>
      <w:pPr>
        <w:pStyle w:val="NormalNumberedtext"/>
      </w:pPr>
      <w:r>
        <w:t>This section defines the site-specific water quality triggers that initiate enhanced controls and emergency response for ARD-affected drainage.</w:t>
      </w:r>
    </w:p>
    <w:p>
      <w:pPr>
        <w:pStyle w:val="NormalNumberedtext"/>
      </w:pPr>
      <w:r>
        <w:t>The project defines and documents, in consultation with a qualified geochemist, the site-specific water quality triggers for ARD-affected drainage that initiate emergency response and enhanced controls, as required. Trigger thresholds are set before reactive waste placement commences and are reviewed annually or after any significant monitoring exceedance.</w:t>
      </w:r>
    </w:p>
    <w:tbl>
      <w:tblPr>
        <w:tblStyle w:val="TableOption1"/>
        <w:tblW w:type="pct" w:w="5000"/>
      </w:tblPr>
      <w:tr>
        <w:tc>
          <w:tcPr>
            <w:shd w:val="clear" w:color="auto" w:fill="FFF2CC"/>
          </w:tcPr>
          <w:p>
            <w:pPr>
              <w:pStyle w:val="Instructions"/>
            </w:pPr>
            <w:r>
              <w:rPr>
                <w:b/>
                <w:bCs/>
                <w:color w:val="C55A11"/>
              </w:rPr>
              <w:t>[INSERT: ARD Trigger Threshold Table] — Define the project site-specific water quality triggers for ARD-affected drainage. These must be set in consultation with a qualified geochemist. Insert the completed trigger table below, including the parameter, Level 1 investigation trigger, Level 2 enhanced controls trigger, Level 3 emergency response trigger, and the required response action for each level.</w:t>
            </w:r>
          </w:p>
        </w:tc>
      </w:tr>
    </w:tbl>
    <w:p>
      <w:pPr>
        <w:pStyle w:val="Default"/>
      </w:pPr>
    </w:p>
    <w:p>
      <w:pPr>
        <w:pStyle w:val="NormalNumberedtext"/>
      </w:pPr>
      <w:r>
        <w:t>Table 6: ARD Water Quality Trigger Thresholds</w:t>
      </w:r>
    </w:p>
    <w:tbl>
      <w:tblPr>
        <w:tblStyle w:val="TableOption2"/>
        <w:tblW w:type="pct" w:w="5000"/>
      </w:tblPr>
      <w:tr>
        <w:trPr>
          <w:tblHeader/>
        </w:trPr>
        <w:tc>
          <w:tcPr>
            <w:shd w:val="clear" w:color="auto" w:fill="1F3864"/>
          </w:tcPr>
          <w:p>
            <w:pPr>
              <w:pStyle w:val="TableContents"/>
            </w:pPr>
            <w:r>
              <w:rPr>
                <w:b/>
                <w:bCs/>
                <w:color w:val="FFFFFF"/>
              </w:rPr>
              <w:t>Parameter</w:t>
            </w:r>
          </w:p>
        </w:tc>
        <w:tc>
          <w:tcPr>
            <w:shd w:val="clear" w:color="auto" w:fill="1F3864"/>
          </w:tcPr>
          <w:p>
            <w:pPr>
              <w:pStyle w:val="TableContents"/>
            </w:pPr>
            <w:r>
              <w:rPr>
                <w:b/>
                <w:bCs/>
                <w:color w:val="FFFFFF"/>
              </w:rPr>
              <w:t>Level 1 – Investigation Trigger</w:t>
            </w:r>
          </w:p>
        </w:tc>
        <w:tc>
          <w:tcPr>
            <w:shd w:val="clear" w:color="auto" w:fill="1F3864"/>
          </w:tcPr>
          <w:p>
            <w:pPr>
              <w:pStyle w:val="TableContents"/>
            </w:pPr>
            <w:r>
              <w:rPr>
                <w:b/>
                <w:bCs/>
                <w:color w:val="FFFFFF"/>
              </w:rPr>
              <w:t>Level 2 – Enhanced Controls Trigger</w:t>
            </w:r>
          </w:p>
        </w:tc>
        <w:tc>
          <w:tcPr>
            <w:shd w:val="clear" w:color="auto" w:fill="1F3864"/>
          </w:tcPr>
          <w:p>
            <w:pPr>
              <w:pStyle w:val="TableContents"/>
            </w:pPr>
            <w:r>
              <w:rPr>
                <w:b/>
                <w:bCs/>
                <w:color w:val="FFFFFF"/>
              </w:rPr>
              <w:t>Level 3 – Emergency Response Trigger</w:t>
            </w:r>
          </w:p>
        </w:tc>
        <w:tc>
          <w:tcPr>
            <w:shd w:val="clear" w:color="auto" w:fill="1F3864"/>
          </w:tcPr>
          <w:p>
            <w:pPr>
              <w:pStyle w:val="TableContents"/>
            </w:pPr>
            <w:r>
              <w:rPr>
                <w:b/>
                <w:bCs/>
                <w:color w:val="FFFFFF"/>
              </w:rPr>
              <w:t>Response Action</w:t>
            </w:r>
          </w:p>
        </w:tc>
      </w:tr>
      <w:tr>
        <w:tc>
          <w:tcPr/>
          <w:p>
            <w:pPr>
              <w:pStyle w:val="TableContents"/>
            </w:pPr>
            <w:r>
              <w:t>{'text': 'pH (leachate or seepage)', 'suggested': False}</w:t>
            </w:r>
          </w:p>
        </w:tc>
        <w:tc>
          <w:tcPr/>
          <w:p>
            <w:pPr>
              <w:pStyle w:val="TableContents"/>
            </w:pPr>
            <w:r>
              <w:t>{'text': '&lt; 6.0', 'suggested': True}</w:t>
            </w:r>
          </w:p>
        </w:tc>
        <w:tc>
          <w:tcPr/>
          <w:p>
            <w:pPr>
              <w:pStyle w:val="TableContents"/>
            </w:pPr>
            <w:r>
              <w:t>{'text': '&lt; 5.0', 'suggested': True}</w:t>
            </w:r>
          </w:p>
        </w:tc>
        <w:tc>
          <w:tcPr/>
          <w:p>
            <w:pPr>
              <w:pStyle w:val="TableContents"/>
            </w:pPr>
            <w:r>
              <w:t>{'text': '&lt; 4.0', 'suggested': True}</w:t>
            </w:r>
          </w:p>
        </w:tc>
        <w:tc>
          <w:tcPr/>
          <w:p>
            <w:pPr>
              <w:pStyle w:val="TableContents"/>
            </w:pPr>
            <w:r>
              <w:t>{'text': 'Level 1: increase monitoring frequency and inspect containment. Level 2: activate leachate treatment and notify Environment Manager. Level 3: isolate discharge pathway, notify regulator, refer RTPR-HSE-PRO-0009', 'suggested': True}</w:t>
            </w:r>
          </w:p>
        </w:tc>
      </w:tr>
      <w:tr>
        <w:tc>
          <w:tcPr/>
          <w:p>
            <w:pPr>
              <w:pStyle w:val="TableContents"/>
            </w:pPr>
            <w:r>
              <w:t>{'text': 'Sulphate (mg/L)', 'suggested': False}</w:t>
            </w:r>
          </w:p>
        </w:tc>
        <w:tc>
          <w:tcPr/>
          <w:p>
            <w:pPr>
              <w:pStyle w:val="TableContents"/>
            </w:pPr>
            <w:r>
              <w:t>{'insert': True, 'field': 'sulphate_level1_trigger'}</w:t>
            </w:r>
          </w:p>
        </w:tc>
        <w:tc>
          <w:tcPr/>
          <w:p>
            <w:pPr>
              <w:pStyle w:val="TableContents"/>
            </w:pPr>
            <w:r>
              <w:t>{'insert': True, 'field': 'sulphate_level2_trigger'}</w:t>
            </w:r>
          </w:p>
        </w:tc>
        <w:tc>
          <w:tcPr/>
          <w:p>
            <w:pPr>
              <w:pStyle w:val="TableContents"/>
            </w:pPr>
            <w:r>
              <w:t>{'insert': True, 'field': 'sulphate_level3_trigger'}</w:t>
            </w:r>
          </w:p>
        </w:tc>
        <w:tc>
          <w:tcPr/>
          <w:p>
            <w:pPr>
              <w:pStyle w:val="TableContents"/>
            </w:pPr>
            <w:r>
              <w:t>{'insert': True, 'field': 'sulphate_response_action'}</w:t>
            </w:r>
          </w:p>
        </w:tc>
      </w:tr>
      <w:tr>
        <w:tc>
          <w:tcPr/>
          <w:p>
            <w:pPr>
              <w:pStyle w:val="TableContents"/>
            </w:pPr>
            <w:r>
              <w:t>{'text': 'Electrical Conductivity (µS/cm)', 'suggested': False}</w:t>
            </w:r>
          </w:p>
        </w:tc>
        <w:tc>
          <w:tcPr/>
          <w:p>
            <w:pPr>
              <w:pStyle w:val="TableContents"/>
            </w:pPr>
            <w:r>
              <w:t>{'insert': True, 'field': 'ec_level1_trigger'}</w:t>
            </w:r>
          </w:p>
        </w:tc>
        <w:tc>
          <w:tcPr/>
          <w:p>
            <w:pPr>
              <w:pStyle w:val="TableContents"/>
            </w:pPr>
            <w:r>
              <w:t>{'insert': True, 'field': 'ec_level2_trigger'}</w:t>
            </w:r>
          </w:p>
        </w:tc>
        <w:tc>
          <w:tcPr/>
          <w:p>
            <w:pPr>
              <w:pStyle w:val="TableContents"/>
            </w:pPr>
            <w:r>
              <w:t>{'insert': True, 'field': 'ec_level3_trigger'}</w:t>
            </w:r>
          </w:p>
        </w:tc>
        <w:tc>
          <w:tcPr/>
          <w:p>
            <w:pPr>
              <w:pStyle w:val="TableContents"/>
            </w:pPr>
            <w:r>
              <w:t>{'insert': True, 'field': 'ec_response_action'}</w:t>
            </w:r>
          </w:p>
        </w:tc>
      </w:tr>
      <w:tr>
        <w:tc>
          <w:tcPr/>
          <w:p>
            <w:pPr>
              <w:pStyle w:val="TableContents"/>
            </w:pPr>
            <w:r>
              <w:t>{'text': 'Total iron (mg/L)', 'suggested': False}</w:t>
            </w:r>
          </w:p>
        </w:tc>
        <w:tc>
          <w:tcPr/>
          <w:p>
            <w:pPr>
              <w:pStyle w:val="TableContents"/>
            </w:pPr>
            <w:r>
              <w:t>{'insert': True, 'field': 'iron_level1_trigger'}</w:t>
            </w:r>
          </w:p>
        </w:tc>
        <w:tc>
          <w:tcPr/>
          <w:p>
            <w:pPr>
              <w:pStyle w:val="TableContents"/>
            </w:pPr>
            <w:r>
              <w:t>{'insert': True, 'field': 'iron_level2_trigger'}</w:t>
            </w:r>
          </w:p>
        </w:tc>
        <w:tc>
          <w:tcPr/>
          <w:p>
            <w:pPr>
              <w:pStyle w:val="TableContents"/>
            </w:pPr>
            <w:r>
              <w:t>{'insert': True, 'field': 'iron_level3_trigger'}</w:t>
            </w:r>
          </w:p>
        </w:tc>
        <w:tc>
          <w:tcPr/>
          <w:p>
            <w:pPr>
              <w:pStyle w:val="TableContents"/>
            </w:pPr>
            <w:r>
              <w:t>{'insert': True, 'field': 'iron_response_action'}</w:t>
            </w:r>
          </w:p>
        </w:tc>
      </w:tr>
      <w:tr>
        <w:tc>
          <w:tcPr/>
          <w:p>
            <w:pPr>
              <w:pStyle w:val="TableContents"/>
            </w:pPr>
            <w:r>
              <w:t>{'insert': True, 'field': 'project_specific_parameter_1'}</w:t>
            </w:r>
          </w:p>
        </w:tc>
        <w:tc>
          <w:tcPr/>
          <w:p>
            <w:pPr>
              <w:pStyle w:val="TableContents"/>
            </w:pPr>
            <w:r>
              <w:t>{'insert': True, 'field': 'param1_level1'}</w:t>
            </w:r>
          </w:p>
        </w:tc>
        <w:tc>
          <w:tcPr/>
          <w:p>
            <w:pPr>
              <w:pStyle w:val="TableContents"/>
            </w:pPr>
            <w:r>
              <w:t>{'insert': True, 'field': 'param1_level2'}</w:t>
            </w:r>
          </w:p>
        </w:tc>
        <w:tc>
          <w:tcPr/>
          <w:p>
            <w:pPr>
              <w:pStyle w:val="TableContents"/>
            </w:pPr>
            <w:r>
              <w:t>{'insert': True, 'field': 'param1_level3'}</w:t>
            </w:r>
          </w:p>
        </w:tc>
        <w:tc>
          <w:tcPr/>
          <w:p>
            <w:pPr>
              <w:pStyle w:val="TableContents"/>
            </w:pPr>
            <w:r>
              <w:t>{'insert': True, 'field': 'param1_response'}</w:t>
            </w:r>
          </w:p>
        </w:tc>
      </w:tr>
      <w:tr>
        <w:tc>
          <w:tcPr/>
          <w:p>
            <w:pPr>
              <w:pStyle w:val="TableContents"/>
            </w:pPr>
            <w:r>
              <w:t>{'insert': True, 'field': 'project_specific_parameter_2'}</w:t>
            </w:r>
          </w:p>
        </w:tc>
        <w:tc>
          <w:tcPr/>
          <w:p>
            <w:pPr>
              <w:pStyle w:val="TableContents"/>
            </w:pPr>
            <w:r>
              <w:t>{'insert': True, 'field': 'param2_level1'}</w:t>
            </w:r>
          </w:p>
        </w:tc>
        <w:tc>
          <w:tcPr/>
          <w:p>
            <w:pPr>
              <w:pStyle w:val="TableContents"/>
            </w:pPr>
            <w:r>
              <w:t>{'insert': True, 'field': 'param2_level2'}</w:t>
            </w:r>
          </w:p>
        </w:tc>
        <w:tc>
          <w:tcPr/>
          <w:p>
            <w:pPr>
              <w:pStyle w:val="TableContents"/>
            </w:pPr>
            <w:r>
              <w:t>{'insert': True, 'field': 'param2_level3'}</w:t>
            </w:r>
          </w:p>
        </w:tc>
        <w:tc>
          <w:tcPr/>
          <w:p>
            <w:pPr>
              <w:pStyle w:val="TableContents"/>
            </w:pPr>
            <w:r>
              <w:t>{'insert': True, 'field': 'param2_response'}</w:t>
            </w:r>
          </w:p>
        </w:tc>
      </w:tr>
    </w:tbl>
    <w:p>
      <w:pPr>
        <w:pStyle w:val="Default"/>
      </w:pPr>
    </w:p>
    <w:p>
      <w:pPr>
        <w:pStyle w:val="NormalNumberedtext"/>
      </w:pPr>
      <w:r>
        <w:t>The Environment Superintendent records all trigger exceedances in the monitoring register and notifies the Environment Manager within 24 hours of a Level 2 or Level 3 exceedance being confirmed. The Environment Manager determines whether regulatory notification is required and initiates the project incident reporting process in accordance with RTPR-HSE-PRO-0009.</w:t>
      </w:r>
    </w:p>
    <w:p>
      <w:pPr>
        <w:pStyle w:val="Heading2Numbered"/>
      </w:pPr>
      <w:r>
        <w:t>7.3  Reactive Waste Closure Design Criteria</w:t>
      </w:r>
    </w:p>
    <w:p>
      <w:pPr>
        <w:pStyle w:val="NormalNumberedtext"/>
      </w:pPr>
      <w:r>
        <w:t>This section defines the closure design criteria that reactive waste landforms must achieve and the monitoring requirements that confirm closure success.</w:t>
      </w:r>
    </w:p>
    <w:p>
      <w:pPr>
        <w:pStyle w:val="NormalNumberedtext"/>
      </w:pPr>
      <w:r>
        <w:t>Rehabilitation of reactive waste landforms is governed by RTPR-HSE-PRO-0037 – Land Disturbance. This section defines the geochemical closure design criteria that inform the landform and cover system design required by that procedure. The qualified geochemist confirms closure criteria are achievable based on the geochemical characterisation results before the closure design is finalised.</w:t>
      </w:r>
    </w:p>
    <w:tbl>
      <w:tblPr>
        <w:tblStyle w:val="TableOption1"/>
        <w:tblW w:type="pct" w:w="5000"/>
      </w:tblPr>
      <w:tr>
        <w:tc>
          <w:tcPr>
            <w:shd w:val="clear" w:color="auto" w:fill="FFF2CC"/>
          </w:tcPr>
          <w:p>
            <w:pPr>
              <w:pStyle w:val="Instructions"/>
            </w:pPr>
            <w:r>
              <w:rPr>
                <w:b/>
                <w:bCs/>
                <w:color w:val="C55A11"/>
              </w:rPr>
              <w:t>[INSERT: Closure Design Criteria] — Define the project closure design criteria for reactive waste landforms: what long-term water quality standard must be achieved at the compliance point; what cover system performance standard limits net percolation through reactive material; and what monitoring programme and duration confirms closure success. Insert the completed criteria table below.</w:t>
            </w:r>
          </w:p>
        </w:tc>
      </w:tr>
    </w:tbl>
    <w:p>
      <w:pPr>
        <w:pStyle w:val="Default"/>
      </w:pPr>
    </w:p>
    <w:p>
      <w:pPr>
        <w:pStyle w:val="NormalNumberedtext"/>
      </w:pPr>
      <w:r>
        <w:t>Table 7: Reactive Waste Closure Design Criteria</w:t>
      </w:r>
    </w:p>
    <w:tbl>
      <w:tblPr>
        <w:tblStyle w:val="TableOption2"/>
        <w:tblW w:type="pct" w:w="5000"/>
      </w:tblPr>
      <w:tr>
        <w:trPr>
          <w:tblHeader/>
        </w:trPr>
        <w:tc>
          <w:tcPr>
            <w:shd w:val="clear" w:color="auto" w:fill="1F3864"/>
          </w:tcPr>
          <w:p>
            <w:pPr>
              <w:pStyle w:val="TableContents"/>
            </w:pPr>
            <w:r>
              <w:rPr>
                <w:b/>
                <w:bCs/>
                <w:color w:val="FFFFFF"/>
              </w:rPr>
              <w:t>Closure Criterion</w:t>
            </w:r>
          </w:p>
        </w:tc>
        <w:tc>
          <w:tcPr>
            <w:shd w:val="clear" w:color="auto" w:fill="1F3864"/>
          </w:tcPr>
          <w:p>
            <w:pPr>
              <w:pStyle w:val="TableContents"/>
            </w:pPr>
            <w:r>
              <w:rPr>
                <w:b/>
                <w:bCs/>
                <w:color w:val="FFFFFF"/>
              </w:rPr>
              <w:t>Required Standard</w:t>
            </w:r>
          </w:p>
        </w:tc>
        <w:tc>
          <w:tcPr>
            <w:shd w:val="clear" w:color="auto" w:fill="1F3864"/>
          </w:tcPr>
          <w:p>
            <w:pPr>
              <w:pStyle w:val="TableContents"/>
            </w:pPr>
            <w:r>
              <w:rPr>
                <w:b/>
                <w:bCs/>
                <w:color w:val="FFFFFF"/>
              </w:rPr>
              <w:t>Confirmation Method</w:t>
            </w:r>
          </w:p>
        </w:tc>
      </w:tr>
      <w:tr>
        <w:tc>
          <w:tcPr/>
          <w:p>
            <w:pPr>
              <w:pStyle w:val="TableContents"/>
            </w:pPr>
            <w:r>
              <w:t>{'text': 'Long-term water quality at compliance monitoring point', 'suggested': False}</w:t>
            </w:r>
          </w:p>
        </w:tc>
        <w:tc>
          <w:tcPr/>
          <w:p>
            <w:pPr>
              <w:pStyle w:val="TableContents"/>
            </w:pPr>
            <w:r>
              <w:t>{'insert': True, 'field': 'long_term_water_quality_standard'}</w:t>
            </w:r>
          </w:p>
        </w:tc>
        <w:tc>
          <w:tcPr/>
          <w:p>
            <w:pPr>
              <w:pStyle w:val="TableContents"/>
            </w:pPr>
            <w:r>
              <w:t>{'insert': True, 'field': 'water_quality_confirmation_method'}</w:t>
            </w:r>
          </w:p>
        </w:tc>
      </w:tr>
      <w:tr>
        <w:tc>
          <w:tcPr/>
          <w:p>
            <w:pPr>
              <w:pStyle w:val="TableContents"/>
            </w:pPr>
            <w:r>
              <w:t>{'text': 'Cover system net percolation limit', 'suggested': False}</w:t>
            </w:r>
          </w:p>
        </w:tc>
        <w:tc>
          <w:tcPr/>
          <w:p>
            <w:pPr>
              <w:pStyle w:val="TableContents"/>
            </w:pPr>
            <w:r>
              <w:t>{'text': 'Net percolation through cover system not to exceed [INSERT: value] mm/year under design storm event', 'suggested': True}</w:t>
            </w:r>
          </w:p>
        </w:tc>
        <w:tc>
          <w:tcPr/>
          <w:p>
            <w:pPr>
              <w:pStyle w:val="TableContents"/>
            </w:pPr>
            <w:r>
              <w:t>{'text': 'Cover system performance modelling and post-construction infiltration testing', 'suggested': True}</w:t>
            </w:r>
          </w:p>
        </w:tc>
      </w:tr>
      <w:tr>
        <w:tc>
          <w:tcPr/>
          <w:p>
            <w:pPr>
              <w:pStyle w:val="TableContents"/>
            </w:pPr>
            <w:r>
              <w:t>{'text': 'Vegetation cover establishment', 'suggested': False}</w:t>
            </w:r>
          </w:p>
        </w:tc>
        <w:tc>
          <w:tcPr/>
          <w:p>
            <w:pPr>
              <w:pStyle w:val="TableContents"/>
            </w:pPr>
            <w:r>
              <w:t>{'text': 'Minimum [INSERT: percentage] groundcover achieved and self-sustaining without irrigation within [INSERT: years] of final landform establishment', 'suggested': True}</w:t>
            </w:r>
          </w:p>
        </w:tc>
        <w:tc>
          <w:tcPr/>
          <w:p>
            <w:pPr>
              <w:pStyle w:val="TableContents"/>
            </w:pPr>
            <w:r>
              <w:t>{'text': 'Annual vegetation surveys per RTPR-HSE-PRO-0037 – Land Disturbance', 'suggested': True}</w:t>
            </w:r>
          </w:p>
        </w:tc>
      </w:tr>
      <w:tr>
        <w:tc>
          <w:tcPr/>
          <w:p>
            <w:pPr>
              <w:pStyle w:val="TableContents"/>
            </w:pPr>
            <w:r>
              <w:t>{'text': 'Post-closure monitoring duration', 'suggested': False}</w:t>
            </w:r>
          </w:p>
        </w:tc>
        <w:tc>
          <w:tcPr/>
          <w:p>
            <w:pPr>
              <w:pStyle w:val="TableContents"/>
            </w:pPr>
            <w:r>
              <w:t>{'insert': True, 'field': 'post_closure_monitoring_duration'}</w:t>
            </w:r>
          </w:p>
        </w:tc>
        <w:tc>
          <w:tcPr/>
          <w:p>
            <w:pPr>
              <w:pStyle w:val="TableContents"/>
            </w:pPr>
            <w:r>
              <w:t>{'text': 'Quarterly water quality monitoring at leachate, seepage, and receiving water locations per Table 5, reviewed annually by qualified geochemist', 'suggested': True}</w:t>
            </w:r>
          </w:p>
        </w:tc>
      </w:tr>
      <w:tr>
        <w:tc>
          <w:tcPr/>
          <w:p>
            <w:pPr>
              <w:pStyle w:val="TableContents"/>
            </w:pPr>
            <w:r>
              <w:t>{'text': 'Closure completion criteria sign-off', 'suggested': False}</w:t>
            </w:r>
          </w:p>
        </w:tc>
        <w:tc>
          <w:tcPr/>
          <w:p>
            <w:pPr>
              <w:pStyle w:val="TableContents"/>
            </w:pPr>
            <w:r>
              <w:t>{'text': 'Closure success confirmed in writing by a qualified geochemist and approved by the Environment Manager before post-closure monitoring is reduced or terminated', 'suggested': True}</w:t>
            </w:r>
          </w:p>
        </w:tc>
        <w:tc>
          <w:tcPr/>
          <w:p>
            <w:pPr>
              <w:pStyle w:val="TableContents"/>
            </w:pPr>
            <w:r>
              <w:t>Qualified geochemist closure report</w:t>
            </w:r>
          </w:p>
        </w:tc>
      </w:tr>
      <w:tr>
        <w:tc>
          <w:tcPr/>
          <w:p>
            <w:pPr>
              <w:pStyle w:val="TableContents"/>
            </w:pPr>
            <w:r>
              <w:t>{'insert': True, 'field': 'project_specific_closure_criterion'}</w:t>
            </w:r>
          </w:p>
        </w:tc>
        <w:tc>
          <w:tcPr/>
          <w:p>
            <w:pPr>
              <w:pStyle w:val="TableContents"/>
            </w:pPr>
            <w:r>
              <w:t>{'insert': True, 'field': 'project_specific_closure_standard'}</w:t>
            </w:r>
          </w:p>
        </w:tc>
        <w:tc>
          <w:tcPr/>
          <w:p>
            <w:pPr>
              <w:pStyle w:val="TableContents"/>
            </w:pPr>
            <w:r>
              <w:t>{'insert': True, 'field': 'project_specific_closure_confirmation'}</w:t>
            </w:r>
          </w:p>
        </w:tc>
      </w:tr>
    </w:tbl>
    <w:p>
      <w:pPr>
        <w:pStyle w:val="Default"/>
      </w:pPr>
    </w:p>
    <w:p>
      <w:pPr>
        <w:pStyle w:val="NormalNumberedtext"/>
      </w:pPr>
      <w:r>
        <w:t>The Environment Manager confirms the closure design criteria defined in Table 7 are incorporated into the project closure plan before the project enters the commissioning phase. Annual tailings management reviews required by TSM Tailings Management Protocol Indicator TM4 include a review of progress against these closure criteria for the full operational life of the tailings facility.</w:t>
      </w:r>
    </w:p>
    <w:p>
      <w:pPr>
        <w:pStyle w:val="Heading1Numbered"/>
      </w:pPr>
      <w:r>
        <w:t>8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ARD</w:t>
            </w:r>
          </w:p>
        </w:tc>
        <w:tc>
          <w:tcPr/>
          <w:p>
            <w:pPr>
              <w:pStyle w:val="TableContents"/>
            </w:pPr>
            <w:r>
              <w:t>Acid Rock Drainage — the process by which sulphide-bearing minerals in excavated or exposed rock oxidise in the presence of water and oxygen to generate acidic leachate, potentially mobilising heavy metals and other contaminants into the surrounding environment.</w:t>
            </w:r>
          </w:p>
        </w:tc>
      </w:tr>
      <w:tr>
        <w:tc>
          <w:tcPr/>
          <w:p>
            <w:pPr>
              <w:pStyle w:val="TableContents"/>
            </w:pPr>
            <w:r>
              <w:t>ML</w:t>
            </w:r>
          </w:p>
        </w:tc>
        <w:tc>
          <w:tcPr/>
          <w:p>
            <w:pPr>
              <w:pStyle w:val="TableContents"/>
            </w:pPr>
            <w:r>
              <w:t>Metal Leaching — the release of dissolved metals and metalloids from mineral waste materials into water, which may occur independently of or in association with acid rock drainage, including under neutral or alkaline pH conditions.</w:t>
            </w:r>
          </w:p>
        </w:tc>
      </w:tr>
      <w:tr>
        <w:tc>
          <w:tcPr/>
          <w:p>
            <w:pPr>
              <w:pStyle w:val="TableContents"/>
            </w:pPr>
            <w:r>
              <w:t>ARD/ML</w:t>
            </w:r>
          </w:p>
        </w:tc>
        <w:tc>
          <w:tcPr/>
          <w:p>
            <w:pPr>
              <w:pStyle w:val="TableContents"/>
            </w:pPr>
            <w:r>
              <w:t>Acid Rock Drainage and Metal Leaching — the combined geochemical processes by which sulphide oxidation and water interaction generate acidic or metal-laden drainage from chemically reactive mineral waste materials.</w:t>
            </w:r>
          </w:p>
        </w:tc>
      </w:tr>
      <w:tr>
        <w:tc>
          <w:tcPr/>
          <w:p>
            <w:pPr>
              <w:pStyle w:val="TableContents"/>
            </w:pPr>
            <w:r>
              <w:t>NAG</w:t>
            </w:r>
          </w:p>
        </w:tc>
        <w:tc>
          <w:tcPr/>
          <w:p>
            <w:pPr>
              <w:pStyle w:val="TableContents"/>
            </w:pPr>
            <w:r>
              <w:t>Net Acid Generation — a static geochemical test used to measure the total acid-generating potential of a rock or waste sample, expressed in kilograms of sulphuric acid equivalent per tonne of material.</w:t>
            </w:r>
          </w:p>
        </w:tc>
      </w:tr>
      <w:tr>
        <w:tc>
          <w:tcPr/>
          <w:p>
            <w:pPr>
              <w:pStyle w:val="TableContents"/>
            </w:pPr>
            <w:r>
              <w:t>ANC</w:t>
            </w:r>
          </w:p>
        </w:tc>
        <w:tc>
          <w:tcPr/>
          <w:p>
            <w:pPr>
              <w:pStyle w:val="TableContents"/>
            </w:pPr>
            <w:r>
              <w:t>Acid Neutralising Capacity — the inherent capacity of a rock or waste material to neutralise acid generated by sulphide oxidation, typically expressed in kilograms of calcium carbonate equivalent per tonne.</w:t>
            </w:r>
          </w:p>
        </w:tc>
      </w:tr>
      <w:tr>
        <w:tc>
          <w:tcPr/>
          <w:p>
            <w:pPr>
              <w:pStyle w:val="TableContents"/>
            </w:pPr>
            <w:r>
              <w:t>NP</w:t>
            </w:r>
          </w:p>
        </w:tc>
        <w:tc>
          <w:tcPr/>
          <w:p>
            <w:pPr>
              <w:pStyle w:val="TableContents"/>
            </w:pPr>
            <w:r>
              <w:t>Neutralising Potential — a measure of the acid-neutralising capacity of a rock sample determined by static geochemical test methods, used in calculating the net neutralising potential ratio.</w:t>
            </w:r>
          </w:p>
        </w:tc>
      </w:tr>
      <w:tr>
        <w:tc>
          <w:tcPr/>
          <w:p>
            <w:pPr>
              <w:pStyle w:val="TableContents"/>
            </w:pPr>
            <w:r>
              <w:t>AP</w:t>
            </w:r>
          </w:p>
        </w:tc>
        <w:tc>
          <w:tcPr/>
          <w:p>
            <w:pPr>
              <w:pStyle w:val="TableContents"/>
            </w:pPr>
            <w:r>
              <w:t>Acid Potential — a measure of a material's capacity to generate acid upon complete oxidation of its sulphide content, typically calculated from total sulphur content and expressed as kilograms of calcium carbonate equivalent per tonne.</w:t>
            </w:r>
          </w:p>
        </w:tc>
      </w:tr>
      <w:tr>
        <w:tc>
          <w:tcPr/>
          <w:p>
            <w:pPr>
              <w:pStyle w:val="TableContents"/>
            </w:pPr>
            <w:r>
              <w:t>NNP</w:t>
            </w:r>
          </w:p>
        </w:tc>
        <w:tc>
          <w:tcPr/>
          <w:p>
            <w:pPr>
              <w:pStyle w:val="TableContents"/>
            </w:pPr>
            <w:r>
              <w:t>Net Neutralising Potential — the arithmetic difference between the neutralising potential and the acid potential of a sample, used to classify material as potentially acid-forming, non-acid-forming, or uncertain.</w:t>
            </w:r>
          </w:p>
        </w:tc>
      </w:tr>
      <w:tr>
        <w:tc>
          <w:tcPr/>
          <w:p>
            <w:pPr>
              <w:pStyle w:val="TableContents"/>
            </w:pPr>
            <w:r>
              <w:t>NPR</w:t>
            </w:r>
          </w:p>
        </w:tc>
        <w:tc>
          <w:tcPr/>
          <w:p>
            <w:pPr>
              <w:pStyle w:val="TableContents"/>
            </w:pPr>
            <w:r>
              <w:t>Neutralising Potential Ratio — the ratio of neutralising potential to acid potential, used as a geochemical indicator to classify rock or waste materials according to their likelihood of generating acid drainage.</w:t>
            </w:r>
          </w:p>
        </w:tc>
      </w:tr>
      <w:tr>
        <w:tc>
          <w:tcPr/>
          <w:p>
            <w:pPr>
              <w:pStyle w:val="TableContents"/>
            </w:pPr>
            <w:r>
              <w:t>PAF</w:t>
            </w:r>
          </w:p>
        </w:tc>
        <w:tc>
          <w:tcPr/>
          <w:p>
            <w:pPr>
              <w:pStyle w:val="TableContents"/>
            </w:pPr>
            <w:r>
              <w:t>Potentially Acid-Forming — a classification applied to mineral waste or rock material that has a net neutralising potential or ratio indicating a likelihood of generating acid drainage when exposed to water and oxygen over time.</w:t>
            </w:r>
          </w:p>
        </w:tc>
      </w:tr>
      <w:tr>
        <w:tc>
          <w:tcPr/>
          <w:p>
            <w:pPr>
              <w:pStyle w:val="TableContents"/>
            </w:pPr>
            <w:r>
              <w:t>NAF</w:t>
            </w:r>
          </w:p>
        </w:tc>
        <w:tc>
          <w:tcPr/>
          <w:p>
            <w:pPr>
              <w:pStyle w:val="TableContents"/>
            </w:pPr>
            <w:r>
              <w:t>Non-Acid-Forming — a classification applied to mineral waste or rock material whose geochemical characteristics indicate it is unlikely to generate acid drainage under expected weathering and oxidation conditions.</w:t>
            </w:r>
          </w:p>
        </w:tc>
      </w:tr>
      <w:tr>
        <w:tc>
          <w:tcPr/>
          <w:p>
            <w:pPr>
              <w:pStyle w:val="TableContents"/>
            </w:pPr>
            <w:r>
              <w:t>UC</w:t>
            </w:r>
          </w:p>
        </w:tc>
        <w:tc>
          <w:tcPr/>
          <w:p>
            <w:pPr>
              <w:pStyle w:val="TableContents"/>
            </w:pPr>
            <w:r>
              <w:t>Uncertain — a geochemical classification applied to mineral waste or rock material that falls within an indeterminate range of neutralising potential ratio or net neutralising potential, requiring further kinetic or site-specific testing before final classification.</w:t>
            </w:r>
          </w:p>
        </w:tc>
      </w:tr>
      <w:tr>
        <w:tc>
          <w:tcPr/>
          <w:p>
            <w:pPr>
              <w:pStyle w:val="TableContents"/>
            </w:pPr>
            <w:r>
              <w:t>MLC</w:t>
            </w:r>
          </w:p>
        </w:tc>
        <w:tc>
          <w:tcPr/>
          <w:p>
            <w:pPr>
              <w:pStyle w:val="TableContents"/>
            </w:pPr>
            <w:r>
              <w:t>Metal Leaching Classified — a designation applied to materials identified through geochemical testing as capable of releasing dissolved metals or metalloids into water at concentrations that may pose environmental or human health risks, regardless of pH.</w:t>
            </w:r>
          </w:p>
        </w:tc>
      </w:tr>
      <w:tr>
        <w:tc>
          <w:tcPr/>
          <w:p>
            <w:pPr>
              <w:pStyle w:val="TableContents"/>
            </w:pPr>
            <w:r>
              <w:t>HSESC</w:t>
            </w:r>
          </w:p>
        </w:tc>
        <w:tc>
          <w:tcPr/>
          <w:p>
            <w:pPr>
              <w:pStyle w:val="TableContents"/>
            </w:pPr>
            <w:r>
              <w:t>Health, Safety, Environment and Social Commitment — the integrated management framework adopted by Rio Tinto for owner-led projects, governing the identification, assessment, control and reporting of risks across health, safety, environmental and social dimensions.</w:t>
            </w:r>
          </w:p>
        </w:tc>
      </w:tr>
      <w:tr>
        <w:tc>
          <w:tcPr/>
          <w:p>
            <w:pPr>
              <w:pStyle w:val="TableContents"/>
            </w:pPr>
            <w:r>
              <w:t>RT</w:t>
            </w:r>
          </w:p>
        </w:tc>
        <w:tc>
          <w:tcPr/>
          <w:p>
            <w:pPr>
              <w:pStyle w:val="TableContents"/>
            </w:pPr>
            <w:r>
              <w:t>Rio Tinto — the global mining and resources company under whose standards, frameworks and risk management requirements this procedure is developed and implemented.</w:t>
            </w:r>
          </w:p>
        </w:tc>
      </w:tr>
      <w:tr>
        <w:tc>
          <w:tcPr/>
          <w:p>
            <w:pPr>
              <w:pStyle w:val="TableContents"/>
            </w:pPr>
            <w:r>
              <w:t>WRD</w:t>
            </w:r>
          </w:p>
        </w:tc>
        <w:tc>
          <w:tcPr/>
          <w:p>
            <w:pPr>
              <w:pStyle w:val="TableContents"/>
            </w:pPr>
            <w:r>
              <w:t>Waste Rock Dump — a landform constructed to store overburden and other excavated non-ore materials generated during mining operations, which may contain chemically reactive mineral waste requiring controlled placement and management.</w:t>
            </w:r>
          </w:p>
        </w:tc>
      </w:tr>
      <w:tr>
        <w:tc>
          <w:tcPr/>
          <w:p>
            <w:pPr>
              <w:pStyle w:val="TableContents"/>
            </w:pPr>
            <w:r>
              <w:t>TSF</w:t>
            </w:r>
          </w:p>
        </w:tc>
        <w:tc>
          <w:tcPr/>
          <w:p>
            <w:pPr>
              <w:pStyle w:val="TableContents"/>
            </w:pPr>
            <w:r>
              <w:t>Tailings Storage Facility — an engineered containment structure designed to store fine-grained mineral processing residues, which may include chemically reactive tailings requiring geochemical characterisation and ongoing management.</w:t>
            </w:r>
          </w:p>
        </w:tc>
      </w:tr>
      <w:tr>
        <w:tc>
          <w:tcPr/>
          <w:p>
            <w:pPr>
              <w:pStyle w:val="TableContents"/>
            </w:pPr>
            <w:r>
              <w:t>GCL</w:t>
            </w:r>
          </w:p>
        </w:tc>
        <w:tc>
          <w:tcPr/>
          <w:p>
            <w:pPr>
              <w:pStyle w:val="TableContents"/>
            </w:pPr>
            <w:r>
              <w:t>Geosynthetic Clay Liner — an engineered liner system comprising a thin layer of bentonite clay bonded between geosynthetic materials, used as a low-permeability barrier in the containment and encapsulation of chemically reactive mineral waste.</w:t>
            </w:r>
          </w:p>
        </w:tc>
      </w:tr>
      <w:tr>
        <w:tc>
          <w:tcPr/>
          <w:p>
            <w:pPr>
              <w:pStyle w:val="TableContents"/>
            </w:pPr>
            <w:r>
              <w:t>HDPE</w:t>
            </w:r>
          </w:p>
        </w:tc>
        <w:tc>
          <w:tcPr/>
          <w:p>
            <w:pPr>
              <w:pStyle w:val="TableContents"/>
            </w:pPr>
            <w:r>
              <w:t>High-Density Polyethylene — a geosynthetic membrane material commonly used in liner systems for containment cells and covers for chemically reactive mineral waste, providing a low-permeability barrier to water and leachate migration.</w:t>
            </w:r>
          </w:p>
        </w:tc>
      </w:tr>
      <w:tr>
        <w:tc>
          <w:tcPr/>
          <w:p>
            <w:pPr>
              <w:pStyle w:val="TableContents"/>
            </w:pPr>
            <w:r>
              <w:t>LoD</w:t>
            </w:r>
          </w:p>
        </w:tc>
        <w:tc>
          <w:tcPr/>
          <w:p>
            <w:pPr>
              <w:pStyle w:val="TableContents"/>
            </w:pPr>
            <w:r>
              <w:t>Limit of Detection — the lowest concentration of an analyte in a sample that can be reliably detected by a specified analytical method, used as a reference threshold in geochemical and water quality monitoring programmes.</w:t>
            </w:r>
          </w:p>
        </w:tc>
      </w:tr>
      <w:tr>
        <w:tc>
          <w:tcPr/>
          <w:p>
            <w:pPr>
              <w:pStyle w:val="TableContents"/>
            </w:pPr>
            <w:r>
              <w:t>QA/QC</w:t>
            </w:r>
          </w:p>
        </w:tc>
        <w:tc>
          <w:tcPr/>
          <w:p>
            <w:pPr>
              <w:pStyle w:val="TableContents"/>
            </w:pPr>
            <w:r>
              <w:t>Quality Assurance and Quality Control — the set of systematic procedures applied to geochemical sampling, analysis and data management to ensure the accuracy, precision, representativeness and reliability of results used in waste characterisation and monitoring.</w:t>
            </w:r>
          </w:p>
        </w:tc>
      </w:tr>
      <w:tr>
        <w:tc>
          <w:tcPr/>
          <w:p>
            <w:pPr>
              <w:pStyle w:val="TableContents"/>
            </w:pPr>
            <w:r>
              <w:t>CRMW</w:t>
            </w:r>
          </w:p>
        </w:tc>
        <w:tc>
          <w:tcPr/>
          <w:p>
            <w:pPr>
              <w:pStyle w:val="TableContents"/>
            </w:pPr>
            <w:r>
              <w:t>Chemically Reactive Mineral Waste — excavated rock, tailings or other mineral processing residues that have the potential to generate acid drainage, leach metals, or produce other chemically harmful leachate when exposed to water, oxygen or other environmental agents.</w:t>
            </w:r>
          </w:p>
        </w:tc>
      </w:tr>
      <w:tr>
        <w:tc>
          <w:tcPr/>
          <w:p>
            <w:pPr>
              <w:pStyle w:val="TableContents"/>
            </w:pPr>
            <w:r>
              <w:t>GMP</w:t>
            </w:r>
          </w:p>
        </w:tc>
        <w:tc>
          <w:tcPr/>
          <w:p>
            <w:pPr>
              <w:pStyle w:val="TableContents"/>
            </w:pPr>
            <w:r>
              <w:t>Geochemical Management Plan — a site-specific document that details the characterisation programme, classification criteria, handling protocols, containment strategies, monitoring requirements and reporting obligations for chemically reactive mineral waste.</w:t>
            </w:r>
          </w:p>
        </w:tc>
      </w:tr>
      <w:tr>
        <w:tc>
          <w:tcPr/>
          <w:p>
            <w:pPr>
              <w:pStyle w:val="TableContents"/>
            </w:pPr>
            <w:r>
              <w:t>PRO</w:t>
            </w:r>
          </w:p>
        </w:tc>
        <w:tc>
          <w:tcPr/>
          <w:p>
            <w:pPr>
              <w:pStyle w:val="TableContents"/>
            </w:pPr>
            <w:r>
              <w:t>Procedure — a documented set of instructions within the HSESC management system that prescribes the specific steps, responsibilities and controls required to manage a defined activity or risk on an owner-led project.</w:t>
            </w:r>
          </w:p>
        </w:tc>
      </w:tr>
      <w:tr>
        <w:tc>
          <w:tcPr/>
          <w:p>
            <w:pPr>
              <w:pStyle w:val="TableContents"/>
            </w:pPr>
            <w:r>
              <w:t>WMP</w:t>
            </w:r>
          </w:p>
        </w:tc>
        <w:tc>
          <w:tcPr/>
          <w:p>
            <w:pPr>
              <w:pStyle w:val="TableContents"/>
            </w:pPr>
            <w:r>
              <w:t>Waste Management Plan — a site-level planning document that integrates the classification, segregation, handling, storage, treatment and disposal requirements for all waste streams generated during project construction, operation and closure.</w:t>
            </w:r>
          </w:p>
        </w:tc>
      </w:tr>
      <w:tr>
        <w:tc>
          <w:tcPr/>
          <w:p>
            <w:pPr>
              <w:pStyle w:val="TableContents"/>
            </w:pPr>
            <w:r>
              <w:t>RTPR</w:t>
            </w:r>
          </w:p>
        </w:tc>
        <w:tc>
          <w:tcPr/>
          <w:p>
            <w:pPr>
              <w:pStyle w:val="TableContents"/>
            </w:pPr>
            <w:r>
              <w:t>Rio Tinto Project Requirements — the suite of internal standards, procedures and guidelines established by Rio Tinto to govern health, safety, environment and social performance on owner-led projects throughout the project lifecycle.</w:t>
            </w:r>
          </w:p>
        </w:tc>
      </w:tr>
      <w:tr>
        <w:tc>
          <w:tcPr/>
          <w:p>
            <w:pPr>
              <w:pStyle w:val="TableContents"/>
            </w:pPr>
            <w:r>
              <w:t>EIS</w:t>
            </w:r>
          </w:p>
        </w:tc>
        <w:tc>
          <w:tcPr/>
          <w:p>
            <w:pPr>
              <w:pStyle w:val="TableContents"/>
            </w:pPr>
            <w:r>
              <w:t>Environmental Impact Statement — a statutory document prepared in support of project approvals that describes the existing environment, predicted project impacts, proposed mitigation measures and monitoring commitments, including those related to chemically reactive mineral waste.</w:t>
            </w:r>
          </w:p>
        </w:tc>
      </w:tr>
      <w:tr>
        <w:tc>
          <w:tcPr/>
          <w:p>
            <w:pPr>
              <w:pStyle w:val="TableContents"/>
            </w:pPr>
            <w:r>
              <w:t>EPA</w:t>
            </w:r>
          </w:p>
        </w:tc>
        <w:tc>
          <w:tcPr/>
          <w:p>
            <w:pPr>
              <w:pStyle w:val="TableContents"/>
            </w:pPr>
            <w:r>
              <w:t>Environmental Protection Authority — the relevant statutory environmental regulatory body with jurisdiction over the project site, responsible for setting and enforcing environmental standards, licence conditions and reporting requirements applicable to chemically reactive mineral waste management.</w:t>
            </w:r>
          </w:p>
        </w:tc>
      </w:tr>
      <w:tr>
        <w:tc>
          <w:tcPr/>
          <w:p>
            <w:pPr>
              <w:pStyle w:val="TableContents"/>
            </w:pPr>
            <w:r>
              <w:t>RA</w:t>
            </w:r>
          </w:p>
        </w:tc>
        <w:tc>
          <w:tcPr/>
          <w:p>
            <w:pPr>
              <w:pStyle w:val="TableContents"/>
            </w:pPr>
            <w:r>
              <w:t>Risk Assessment — a systematic process of identifying, analysing and evaluating risks associated with chemically reactive mineral waste, conducted in accordance with the RT Risk Management Standard to determine the need for and adequacy of controls.</w:t>
            </w:r>
          </w:p>
        </w:tc>
      </w:tr>
      <w:tr>
        <w:tc>
          <w:tcPr/>
          <w:p>
            <w:pPr>
              <w:pStyle w:val="TableContents"/>
            </w:pPr>
            <w:r>
              <w:t>SOP</w:t>
            </w:r>
          </w:p>
        </w:tc>
        <w:tc>
          <w:tcPr/>
          <w:p>
            <w:pPr>
              <w:pStyle w:val="TableContents"/>
            </w:pPr>
            <w:r>
              <w:t>Standard Operating Procedure — a detailed, step-by-step instruction document that describes the specific actions required to carry out a defined task safely and in compliance with applicable standards, used to support implementation of this procedure.</w:t>
            </w:r>
          </w:p>
        </w:tc>
      </w:tr>
      <w:tr>
        <w:tc>
          <w:tcPr/>
          <w:p>
            <w:pPr>
              <w:pStyle w:val="TableContents"/>
            </w:pPr>
            <w:r>
              <w:t>PCM</w:t>
            </w:r>
          </w:p>
        </w:tc>
        <w:tc>
          <w:tcPr/>
          <w:p>
            <w:pPr>
              <w:pStyle w:val="TableContents"/>
            </w:pPr>
            <w:r>
              <w:t>Project Controls Manager — the role within the owner-led project team responsible for overseeing compliance with project management procedures, including monitoring of action items and reporting obligations related to chemically reactive mineral waste management.</w:t>
            </w:r>
          </w:p>
        </w:tc>
      </w:tr>
      <w:tr>
        <w:tc>
          <w:tcPr/>
          <w:p>
            <w:pPr>
              <w:pStyle w:val="TableContents"/>
            </w:pPr>
            <w:r>
              <w:t>ESCP</w:t>
            </w:r>
          </w:p>
        </w:tc>
        <w:tc>
          <w:tcPr/>
          <w:p>
            <w:pPr>
              <w:pStyle w:val="TableContents"/>
            </w:pPr>
            <w:r>
              <w:t>Erosion and Sediment Control Plan — a site-specific plan that identifies measures to prevent or minimise the transport of eroded sediment, including potentially reactive fines from chemically reactive mineral waste landforms, into waterways and other sensitive receptors.</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9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Water Quality Procedure</w:t>
            </w:r>
          </w:p>
        </w:tc>
        <w:tc>
          <w:tcPr/>
          <w:p>
            <w:pPr>
              <w:pStyle w:val="TableContents"/>
            </w:pPr>
            <w:r>
              <w:t>RTPR-HSE-PRO-0034</w:t>
            </w:r>
          </w:p>
        </w:tc>
        <w:tc>
          <w:tcPr/>
          <w:p>
            <w:pPr>
              <w:pStyle w:val="TableContents"/>
            </w:pPr>
            <w:r>
              <w:t>Internal procedure</w:t>
            </w:r>
          </w:p>
        </w:tc>
      </w:tr>
      <w:tr>
        <w:tc>
          <w:tcPr/>
          <w:p>
            <w:pPr>
              <w:pStyle w:val="TableContents"/>
            </w:pPr>
            <w:r>
              <w:t>Waste Control Procedure</w:t>
            </w:r>
          </w:p>
        </w:tc>
        <w:tc>
          <w:tcPr/>
          <w:p>
            <w:pPr>
              <w:pStyle w:val="TableContents"/>
            </w:pPr>
            <w:r>
              <w:t>RTPR-HSE-PRO-0039</w:t>
            </w:r>
          </w:p>
        </w:tc>
        <w:tc>
          <w:tcPr/>
          <w:p>
            <w:pPr>
              <w:pStyle w:val="TableContents"/>
            </w:pPr>
            <w:r>
              <w:t>Internal procedure</w:t>
            </w:r>
          </w:p>
        </w:tc>
      </w:tr>
      <w:tr>
        <w:tc>
          <w:tcPr/>
          <w:p>
            <w:pPr>
              <w:pStyle w:val="TableContents"/>
            </w:pPr>
            <w:r>
              <w:t>Land Disturbance Procedure</w:t>
            </w:r>
          </w:p>
        </w:tc>
        <w:tc>
          <w:tcPr/>
          <w:p>
            <w:pPr>
              <w:pStyle w:val="TableContents"/>
            </w:pPr>
            <w:r>
              <w:t>RTPR-HSE-PRO-0037</w:t>
            </w:r>
          </w:p>
        </w:tc>
        <w:tc>
          <w:tcPr/>
          <w:p>
            <w:pPr>
              <w:pStyle w:val="TableContents"/>
            </w:pPr>
            <w:r>
              <w:t>Internal procedure</w:t>
            </w:r>
          </w:p>
        </w:tc>
      </w:tr>
      <w:tr>
        <w:tc>
          <w:tcPr/>
          <w:p>
            <w:pPr>
              <w:pStyle w:val="TableContents"/>
            </w:pPr>
            <w:r>
              <w:t>Monitoring Procedure</w:t>
            </w:r>
          </w:p>
        </w:tc>
        <w:tc>
          <w:tcPr/>
          <w:p>
            <w:pPr>
              <w:pStyle w:val="TableContents"/>
            </w:pPr>
            <w:r>
              <w:t>RTPR-HSE-PRO-0042</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 Consequence and Likelihood Criteria</w:t>
            </w:r>
          </w:p>
        </w:tc>
        <w:tc>
          <w:tcPr/>
          <w:p>
            <w:pPr>
              <w:pStyle w:val="TableContents"/>
            </w:pPr>
            <w:r>
              <w:t>RT Risk Management Standard Appendix C C-1</w:t>
            </w:r>
          </w:p>
        </w:tc>
        <w:tc>
          <w:tcPr/>
          <w:p>
            <w:pPr>
              <w:pStyle w:val="TableContents"/>
            </w:pPr>
            <w:r>
              <w:t>External RT</w:t>
            </w:r>
          </w:p>
        </w:tc>
      </w:tr>
      <w:tr>
        <w:tc>
          <w:tcPr/>
          <w:p>
            <w:pPr>
              <w:pStyle w:val="TableContents"/>
            </w:pPr>
            <w:r>
              <w:t>Rio Tinto Environmental Standard</w:t>
            </w:r>
          </w:p>
        </w:tc>
        <w:tc>
          <w:tcPr/>
          <w:p>
            <w:pPr>
              <w:pStyle w:val="TableContents"/>
            </w:pPr>
            <w:r>
              <w:t>RT Environmental Standard</w:t>
            </w:r>
          </w:p>
        </w:tc>
        <w:tc>
          <w:tcPr/>
          <w:p>
            <w:pPr>
              <w:pStyle w:val="TableContents"/>
            </w:pPr>
            <w:r>
              <w:t>External RT</w:t>
            </w:r>
          </w:p>
        </w:tc>
      </w:tr>
      <w:tr>
        <w:tc>
          <w:tcPr/>
          <w:p>
            <w:pPr>
              <w:pStyle w:val="TableContents"/>
            </w:pPr>
            <w:r>
              <w:t>Rio Tinto Closure Standard</w:t>
            </w:r>
          </w:p>
        </w:tc>
        <w:tc>
          <w:tcPr/>
          <w:p>
            <w:pPr>
              <w:pStyle w:val="TableContents"/>
            </w:pPr>
            <w:r>
              <w:t>RT Closure Standard</w:t>
            </w:r>
          </w:p>
        </w:tc>
        <w:tc>
          <w:tcPr/>
          <w:p>
            <w:pPr>
              <w:pStyle w:val="TableContents"/>
            </w:pPr>
            <w:r>
              <w:t>External RT</w:t>
            </w:r>
          </w:p>
        </w:tc>
      </w:tr>
      <w:tr>
        <w:tc>
          <w:tcPr/>
          <w:p>
            <w:pPr>
              <w:pStyle w:val="TableContents"/>
            </w:pPr>
            <w:r>
              <w:t>Rio Tinto Tailings Standard</w:t>
            </w:r>
          </w:p>
        </w:tc>
        <w:tc>
          <w:tcPr/>
          <w:p>
            <w:pPr>
              <w:pStyle w:val="TableContents"/>
            </w:pPr>
            <w:r>
              <w:t>RT Tailings Standard</w:t>
            </w:r>
          </w:p>
        </w:tc>
        <w:tc>
          <w:tcPr/>
          <w:p>
            <w:pPr>
              <w:pStyle w:val="TableContents"/>
            </w:pPr>
            <w:r>
              <w:t>External RT</w:t>
            </w:r>
          </w:p>
        </w:tc>
      </w:tr>
      <w:tr>
        <w:tc>
          <w:tcPr/>
          <w:p>
            <w:pPr>
              <w:pStyle w:val="TableContents"/>
            </w:pPr>
            <w:r>
              <w:t>Acid and Metalliferous Drainage — Leading Practice Sustainable Development Program for the Mining Industry</w:t>
            </w:r>
          </w:p>
        </w:tc>
        <w:tc>
          <w:tcPr/>
          <w:p>
            <w:pPr>
              <w:pStyle w:val="TableContents"/>
            </w:pPr>
            <w:r>
              <w:t>Australian Government LPSDP-AMD</w:t>
            </w:r>
          </w:p>
        </w:tc>
        <w:tc>
          <w:tcPr/>
          <w:p>
            <w:pPr>
              <w:pStyle w:val="TableContents"/>
            </w:pPr>
            <w:r>
              <w:t>External framework</w:t>
            </w:r>
          </w:p>
        </w:tc>
      </w:tr>
      <w:tr>
        <w:tc>
          <w:tcPr/>
          <w:p>
            <w:pPr>
              <w:pStyle w:val="TableContents"/>
            </w:pPr>
            <w:r>
              <w:t>Mine Closure — Leading Practice Sustainable Development Program for the Mining Industry</w:t>
            </w:r>
          </w:p>
        </w:tc>
        <w:tc>
          <w:tcPr/>
          <w:p>
            <w:pPr>
              <w:pStyle w:val="TableContents"/>
            </w:pPr>
            <w:r>
              <w:t>Australian Government LPSDP-MC</w:t>
            </w:r>
          </w:p>
        </w:tc>
        <w:tc>
          <w:tcPr/>
          <w:p>
            <w:pPr>
              <w:pStyle w:val="TableContents"/>
            </w:pPr>
            <w:r>
              <w:t>External framework</w:t>
            </w:r>
          </w:p>
        </w:tc>
      </w:tr>
      <w:tr>
        <w:tc>
          <w:tcPr/>
          <w:p>
            <w:pPr>
              <w:pStyle w:val="TableContents"/>
            </w:pPr>
            <w:r>
              <w:t>Global Acid Rock Drainage Guide</w:t>
            </w:r>
          </w:p>
        </w:tc>
        <w:tc>
          <w:tcPr/>
          <w:p>
            <w:pPr>
              <w:pStyle w:val="TableContents"/>
            </w:pPr>
            <w:r>
              <w:t>INAP GARD Guide</w:t>
            </w:r>
          </w:p>
        </w:tc>
        <w:tc>
          <w:tcPr/>
          <w:p>
            <w:pPr>
              <w:pStyle w:val="TableContents"/>
            </w:pPr>
            <w:r>
              <w:t>External framework</w:t>
            </w:r>
          </w:p>
        </w:tc>
      </w:tr>
      <w:tr>
        <w:tc>
          <w:tcPr/>
          <w:p>
            <w:pPr>
              <w:pStyle w:val="TableContents"/>
            </w:pPr>
            <w:r>
              <w:t>ISO 14001 — Environmental Management Systems: Requirements with Guidance for Use</w:t>
            </w:r>
          </w:p>
        </w:tc>
        <w:tc>
          <w:tcPr/>
          <w:p>
            <w:pPr>
              <w:pStyle w:val="TableContents"/>
            </w:pPr>
            <w:r>
              <w:t>ISO 14001:2015</w:t>
            </w:r>
          </w:p>
        </w:tc>
        <w:tc>
          <w:tcPr/>
          <w:p>
            <w:pPr>
              <w:pStyle w:val="TableContents"/>
            </w:pPr>
            <w:r>
              <w:t>External framework</w:t>
            </w:r>
          </w:p>
        </w:tc>
      </w:tr>
      <w:tr>
        <w:tc>
          <w:tcPr/>
          <w:p>
            <w:pPr>
              <w:pStyle w:val="TableContents"/>
            </w:pPr>
            <w:r>
              <w:t>ISO 31000 — Risk Management: Guidelines</w:t>
            </w:r>
          </w:p>
        </w:tc>
        <w:tc>
          <w:tcPr/>
          <w:p>
            <w:pPr>
              <w:pStyle w:val="TableContents"/>
            </w:pPr>
            <w:r>
              <w:t>ISO 31000:2018</w:t>
            </w:r>
          </w:p>
        </w:tc>
        <w:tc>
          <w:tcPr/>
          <w:p>
            <w:pPr>
              <w:pStyle w:val="TableContents"/>
            </w:pPr>
            <w:r>
              <w:t>External framework</w:t>
            </w:r>
          </w:p>
        </w:tc>
      </w:tr>
      <w:tr>
        <w:tc>
          <w:tcPr/>
          <w:p>
            <w:pPr>
              <w:pStyle w:val="TableContents"/>
            </w:pPr>
            <w:r>
              <w:t>Australian and New Zealand Guidelines for Fresh and Marine Water Quality</w:t>
            </w:r>
          </w:p>
        </w:tc>
        <w:tc>
          <w:tcPr/>
          <w:p>
            <w:pPr>
              <w:pStyle w:val="TableContents"/>
            </w:pPr>
            <w:r>
              <w:t>ANZG 2018</w:t>
            </w:r>
          </w:p>
        </w:tc>
        <w:tc>
          <w:tcPr/>
          <w:p>
            <w:pPr>
              <w:pStyle w:val="TableContents"/>
            </w:pPr>
            <w:r>
              <w:t>External framework</w:t>
            </w:r>
          </w:p>
        </w:tc>
      </w:tr>
      <w:tr>
        <w:tc>
          <w:tcPr/>
          <w:p>
            <w:pPr>
              <w:pStyle w:val="TableContents"/>
            </w:pPr>
            <w:r>
              <w:t>Prediction Manual for Drainage Chemistry from Sulphidic Geologic Materials</w:t>
            </w:r>
          </w:p>
        </w:tc>
        <w:tc>
          <w:tcPr/>
          <w:p>
            <w:pPr>
              <w:pStyle w:val="TableContents"/>
            </w:pPr>
            <w:r>
              <w:t>MEND Report 1.20.1</w:t>
            </w:r>
          </w:p>
        </w:tc>
        <w:tc>
          <w:tcPr/>
          <w:p>
            <w:pPr>
              <w:pStyle w:val="TableContents"/>
            </w:pPr>
            <w:r>
              <w:t>External framework</w:t>
            </w:r>
          </w:p>
        </w:tc>
      </w:tr>
      <w:tr>
        <w:tc>
          <w:tcPr/>
          <w:p>
            <w:pPr>
              <w:pStyle w:val="TableContents"/>
            </w:pPr>
            <w:r>
              <w:t>Global Industry Standard on Tailings Management</w:t>
            </w:r>
          </w:p>
        </w:tc>
        <w:tc>
          <w:tcPr/>
          <w:p>
            <w:pPr>
              <w:pStyle w:val="TableContents"/>
            </w:pPr>
            <w:r>
              <w:t>ICMM/UNEP/PRI GISTM 2020</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10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11  Source Requirements Traceability (DELETE BEFORE ISSUE)</w:t>
      </w:r>
    </w:p>
    <w:p>
      <w:pPr>
        <w:pStyle w:val="Heading2Numbered"/>
      </w:pPr>
      <w:r>
        <w:t>11.1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RT Standard RT Environment and Nature – Materials &amp; Waste Standard</w:t>
            </w:r>
          </w:p>
        </w:tc>
        <w:tc>
          <w:tcPr/>
          <w:p>
            <w:pPr>
              <w:pStyle w:val="TableContents"/>
            </w:pPr>
            <w:r>
              <w:t>Requires geochemical characterisation of all waste rock and tailings using ABA and kinetic testing, classification into reactive and non-reactive streams, and segregation with encapsulation, co-disposal, or neutralisation for reactive materials.</w:t>
            </w:r>
          </w:p>
        </w:tc>
        <w:tc>
          <w:tcPr/>
          <w:p>
            <w:pPr>
              <w:pStyle w:val="TableContents"/>
            </w:pPr>
            <w:r>
              <w:t>Full</w:t>
            </w:r>
          </w:p>
        </w:tc>
      </w:tr>
      <w:tr>
        <w:tc>
          <w:tcPr/>
          <w:p>
            <w:pPr>
              <w:pStyle w:val="TableContents"/>
            </w:pPr>
            <w:r>
              <w:rPr>
                <w:b/>
                <w:bCs/>
                <w:color w:val="0059D1"/>
              </w:rPr>
              <w:t>[INSERT: section]</w:t>
            </w:r>
          </w:p>
        </w:tc>
        <w:tc>
          <w:tcPr/>
          <w:p>
            <w:pPr>
              <w:pStyle w:val="TableContents"/>
            </w:pPr>
            <w:r>
              <w:t>RT Standard RT Environment and Nature – Water Management Standard</w:t>
            </w:r>
          </w:p>
        </w:tc>
        <w:tc>
          <w:tcPr/>
          <w:p>
            <w:pPr>
              <w:pStyle w:val="TableContents"/>
            </w:pPr>
            <w:r>
              <w:t>Requires monitoring of leachate, seepage, and receiving water quality downstream of reactive waste storage areas, with defined trigger thresholds and adaptive management responses for water quality deterioration.</w:t>
            </w:r>
          </w:p>
        </w:tc>
        <w:tc>
          <w:tcPr/>
          <w:p>
            <w:pPr>
              <w:pStyle w:val="TableContents"/>
            </w:pPr>
            <w:r>
              <w:t>Full</w:t>
            </w:r>
          </w:p>
        </w:tc>
      </w:tr>
      <w:tr>
        <w:tc>
          <w:tcPr/>
          <w:p>
            <w:pPr>
              <w:pStyle w:val="TableContents"/>
            </w:pPr>
            <w:r>
              <w:rPr>
                <w:b/>
                <w:bCs/>
                <w:color w:val="0059D1"/>
              </w:rPr>
              <w:t>[INSERT: section]</w:t>
            </w:r>
          </w:p>
        </w:tc>
        <w:tc>
          <w:tcPr/>
          <w:p>
            <w:pPr>
              <w:pStyle w:val="TableContents"/>
            </w:pPr>
            <w:r>
              <w:t>IFC EHS Guidelines §1.5</w:t>
            </w:r>
          </w:p>
        </w:tc>
        <w:tc>
          <w:tcPr/>
          <w:p>
            <w:pPr>
              <w:pStyle w:val="TableContents"/>
            </w:pPr>
            <w:r>
              <w:t>Requires a comprehensive waste characterisation programme to identify potentially hazardous materials and design waste containment facilities that prevent seepage reaching sensitive environmental receptors.</w:t>
            </w:r>
          </w:p>
        </w:tc>
        <w:tc>
          <w:tcPr/>
          <w:p>
            <w:pPr>
              <w:pStyle w:val="TableContents"/>
            </w:pPr>
            <w:r>
              <w:t>Full</w:t>
            </w:r>
          </w:p>
        </w:tc>
      </w:tr>
      <w:tr>
        <w:tc>
          <w:tcPr/>
          <w:p>
            <w:pPr>
              <w:pStyle w:val="TableContents"/>
            </w:pPr>
            <w:r>
              <w:rPr>
                <w:b/>
                <w:bCs/>
                <w:color w:val="0059D1"/>
              </w:rPr>
              <w:t>[INSERT: section]</w:t>
            </w:r>
          </w:p>
        </w:tc>
        <w:tc>
          <w:tcPr/>
          <w:p>
            <w:pPr>
              <w:pStyle w:val="TableContents"/>
            </w:pPr>
            <w:r>
              <w:t>TSM Tailings Management Protocol, Indicator TM2</w:t>
            </w:r>
          </w:p>
        </w:tc>
        <w:tc>
          <w:tcPr/>
          <w:p>
            <w:pPr>
              <w:pStyle w:val="TableContents"/>
            </w:pPr>
            <w:r>
              <w:t>Requires site-specific tailings management systems that address geochemical characterisation of tailings and ARD potential as a core component of the tailings facility management plan.</w:t>
            </w:r>
          </w:p>
        </w:tc>
        <w:tc>
          <w:tcPr/>
          <w:p>
            <w:pPr>
              <w:pStyle w:val="TableContents"/>
            </w:pPr>
            <w:r>
              <w:t>Full</w:t>
            </w:r>
          </w:p>
        </w:tc>
      </w:tr>
      <w:tr>
        <w:tc>
          <w:tcPr/>
          <w:p>
            <w:pPr>
              <w:pStyle w:val="TableContents"/>
            </w:pPr>
            <w:r>
              <w:rPr>
                <w:b/>
                <w:bCs/>
                <w:color w:val="0059D1"/>
              </w:rPr>
              <w:t>[INSERT: section]</w:t>
            </w:r>
          </w:p>
        </w:tc>
        <w:tc>
          <w:tcPr/>
          <w:p>
            <w:pPr>
              <w:pStyle w:val="TableContents"/>
            </w:pPr>
            <w:r>
              <w:t>TSM Tailings Management Protocol, Indicator TM4</w:t>
            </w:r>
          </w:p>
        </w:tc>
        <w:tc>
          <w:tcPr/>
          <w:p>
            <w:pPr>
              <w:pStyle w:val="TableContents"/>
            </w:pPr>
            <w:r>
              <w:t>Requires an annual tailings management review and maintenance of an Operation, Maintenance and Surveillance manual conforming to applicable guidance.</w:t>
            </w:r>
          </w:p>
        </w:tc>
        <w:tc>
          <w:tcPr/>
          <w:p>
            <w:pPr>
              <w:pStyle w:val="TableContents"/>
            </w:pPr>
            <w:r>
              <w:t>Full</w:t>
            </w:r>
          </w:p>
        </w:tc>
      </w:tr>
      <w:tr>
        <w:tc>
          <w:tcPr/>
          <w:p>
            <w:pPr>
              <w:pStyle w:val="TableContents"/>
            </w:pPr>
            <w:r>
              <w:rPr>
                <w:b/>
                <w:bCs/>
                <w:color w:val="0059D1"/>
              </w:rPr>
              <w:t>[INSERT: section]</w:t>
            </w:r>
          </w:p>
        </w:tc>
        <w:tc>
          <w:tcPr/>
          <w:p>
            <w:pPr>
              <w:pStyle w:val="TableContents"/>
            </w:pPr>
            <w:r>
              <w:t>ICMM Position Statement on Mining and Protected Areas / Tailings</w:t>
            </w:r>
          </w:p>
        </w:tc>
        <w:tc>
          <w:tcPr/>
          <w:p>
            <w:pPr>
              <w:pStyle w:val="TableContents"/>
            </w:pPr>
            <w:r>
              <w:t>Requires management of chemically reactive mineral waste in accordance with the Global Industry Standard on Tailings Management where it applies to the specific tailings facility.</w:t>
            </w:r>
          </w:p>
        </w:tc>
        <w:tc>
          <w:tcPr/>
          <w:p>
            <w:pPr>
              <w:pStyle w:val="TableContents"/>
            </w:pPr>
            <w:r>
              <w:t>Full</w:t>
            </w:r>
          </w:p>
        </w:tc>
      </w:tr>
    </w:tbl>
    <w:p>
      <w:pPr>
        <w:pStyle w:val="Default"/>
      </w:pPr>
    </w:p>
    <w:p>
      <w:pPr>
        <w:pStyle w:val="Heading2Numbered"/>
      </w:pPr>
      <w:r>
        <w:t>11.2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