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of Change</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Management of Change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assessing and managing HSESC risks associated with any change to project scope, design, organisation, activities, processes, documentation, or external factors. All changes carrying HSESC implications must be assessed before they are approved or implemented.</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of change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scope of change categories it governs, and the lifecycle phases across which it applies.</w:t>
      </w:r>
    </w:p>
    <w:p>
      <w:pPr>
        <w:pStyle w:val="Heading2Numbered"/>
      </w:pPr>
      <w:r>
        <w:t>3.1  Purpose of This Document</w:t>
      </w:r>
    </w:p>
    <w:p>
      <w:pPr>
        <w:pStyle w:val="NormalNumberedtext"/>
      </w:pPr>
      <w:r>
        <w:t>This section defines the purpose of this procedure and the management system element it operationalises.</w:t>
      </w:r>
    </w:p>
    <w:p>
      <w:pPr>
        <w:pStyle w:val="NormalNumberedtext"/>
      </w:pPr>
      <w:r>
        <w:t>This procedure meets the following purpose requirements:</w:t>
      </w:r>
    </w:p>
    <w:p>
      <w:pPr>
        <w:pStyle w:val="NormalNumberedtext"/>
      </w:pPr>
      <w:r>
        <w:t>This procedure operationalises Element 11 – Management of Change requirements into a documented, project-specific process for identifying, assessing, approving, communicating, and closing out changes that could introduce new or modified HSESC risks.</w:t>
      </w:r>
    </w:p>
    <w:p>
      <w:pPr>
        <w:pStyle w:val="NormalNumberedtext"/>
      </w:pPr>
      <w:r>
        <w:t>This procedure defines the change management requirements that apply from project Execution through to Handover. It applies to all changes initiated by Rio Tinto project personnel and all contractor organisations working on the project.</w:t>
      </w:r>
    </w:p>
    <w:p>
      <w:pPr>
        <w:pStyle w:val="NormalNumberedtext"/>
      </w:pPr>
      <w:r>
        <w:t>This procedure does not reproduce the risk assessment methodology, training requirements, document control process, or incident management process. Those processes are governed by RTPR-HSE-PRO-0002, RTPR-HSE-PRO-0004, RTPR-HSE-PRO-0010, and RTPR-HSE-PRO-0009 respectively. This procedure defines when and how those processes are triggered by a change.</w:t>
      </w:r>
    </w:p>
    <w:p>
      <w:pPr>
        <w:pStyle w:val="Heading2Numbered"/>
      </w:pPr>
      <w:r>
        <w:t>3.2  Scope of This Document</w:t>
      </w:r>
    </w:p>
    <w:p>
      <w:pPr>
        <w:pStyle w:val="NormalNumberedtext"/>
      </w:pPr>
      <w:r>
        <w:t>This section defines which change categories and project phases are governed by this procedure.</w:t>
      </w:r>
    </w:p>
    <w:p>
      <w:pPr>
        <w:pStyle w:val="NormalNumberedtext"/>
      </w:pPr>
      <w:r>
        <w:t>This procedure applies the following scope requirements:</w:t>
      </w:r>
    </w:p>
    <w:p>
      <w:pPr>
        <w:pStyle w:val="NormalNumberedtext"/>
      </w:pPr>
      <w:r>
        <w:t>This procedure governs the formal Management of Change process applied during the execution, commissioning, and handover phases of the project. It covers both permanent and temporary changes.</w:t>
      </w:r>
    </w:p>
    <w:p>
      <w:pPr>
        <w:pStyle w:val="NormalNumberedtext"/>
      </w:pPr>
      <w:r>
        <w:t>Changes that arise from incidents are identified through the incident investigation process and entered into the MoC process as corrective actions where applicable. Incident reporting and investigation are governed by RTPR-HSE-PRO-0009. Changes that arise from improvement planning are governed by RTPR-HSE-PRO-0007.</w:t>
      </w:r>
    </w:p>
    <w:p>
      <w:pPr>
        <w:pStyle w:val="NormalNumberedtext"/>
      </w:pPr>
      <w:r>
        <w:t>The scope of this procedure starts at the point a potential change is identified and finishes at formal MoC closeout, including verification that all required actions, document updates, and training have been completed.</w:t>
      </w:r>
    </w:p>
    <w:p>
      <w:pPr>
        <w:pStyle w:val="Heading1Numbered"/>
      </w:pPr>
      <w:r>
        <w:t>4  MoC Triggers and Scope</w:t>
      </w:r>
    </w:p>
    <w:p>
      <w:pPr>
        <w:pStyle w:val="NormalNumberedtext"/>
      </w:pPr>
      <w:r>
        <w:t>This section defines the categories of change that require a formal MoC assessment and the obligations for communicating changes to the project owner.</w:t>
      </w:r>
    </w:p>
    <w:p>
      <w:pPr>
        <w:pStyle w:val="Heading2Numbered"/>
      </w:pPr>
      <w:r>
        <w:t>4.1  Categories of Change Requiring Formal MoC Assessment</w:t>
      </w:r>
    </w:p>
    <w:p>
      <w:pPr>
        <w:pStyle w:val="NormalNumberedtext"/>
      </w:pPr>
      <w:r>
        <w:t>This section defines the change categories that trigger the MoC process, consistent with the RT Risk Management Standard.</w:t>
      </w:r>
    </w:p>
    <w:p>
      <w:pPr>
        <w:pStyle w:val="NormalNumberedtext"/>
      </w:pPr>
      <w:r>
        <w:t>All project personnel are responsible for identifying changes within their area of work that fall within the categories below and initiating an MoC request before implementation. The following categories of change require a formal MoC assessment:</w:t>
      </w:r>
    </w:p>
    <w:p>
      <w:pPr>
        <w:pStyle w:val="NormalNumberedtext"/>
      </w:pPr>
      <w:r>
        <w:t>Change categories requiring a formal MoC assessment include:</w:t>
      </w:r>
    </w:p>
    <w:p>
      <w:pPr>
        <w:pStyle w:val="NumberedBulletL1"/>
      </w:pPr>
      <w:r>
        <w:t>Changes to project scope, design, or engineering, including changes to drawings, specifications, or engineering standards.</w:t>
      </w:r>
    </w:p>
    <w:p>
      <w:pPr>
        <w:pStyle w:val="NumberedBulletL1"/>
      </w:pPr>
      <w:r>
        <w:t>Changes to organisational structure or key personnel, including changes to roles with defined HSESC responsibilities.</w:t>
      </w:r>
    </w:p>
    <w:p>
      <w:pPr>
        <w:pStyle w:val="NumberedBulletL1"/>
      </w:pPr>
      <w:r>
        <w:t>Changes to work activities, processes, or procedures, including the introduction of new work methods or the modification of existing Safe Work Method Statements or Job Hazard Analyses.</w:t>
      </w:r>
    </w:p>
    <w:p>
      <w:pPr>
        <w:pStyle w:val="NumberedBulletL1"/>
      </w:pPr>
      <w:r>
        <w:t>Changes to legislation, permits, or approvals, including changes to environmental approvals, permit conditions, or the approved project footprint.</w:t>
      </w:r>
    </w:p>
    <w:p>
      <w:pPr>
        <w:pStyle w:val="NumberedBulletL1"/>
      </w:pPr>
      <w:r>
        <w:t>Changes to the physical environment or site conditions that affect risks identified in the project risk register.</w:t>
      </w:r>
    </w:p>
    <w:p>
      <w:pPr>
        <w:pStyle w:val="NumberedBulletL1"/>
      </w:pPr>
      <w:r>
        <w:rPr>
          <w:color w:val="C55A11"/>
        </w:rPr>
        <w:t>Changes to contractor organisations, activities, or documentation that may introduce new environmental or social risks.</w:t>
      </w:r>
    </w:p>
    <w:p>
      <w:pPr>
        <w:pStyle w:val="NormalNumberedtext"/>
      </w:pPr>
      <w:r>
        <w:t>The management system includes a process for identifying and assessing changes that could introduce new or modified environmental and social risks, consistent with IFC Performance Standard 1, paragraph 7. Where a change is assessed and found to introduce new or modified environmental or social risks, the relevant risk assessments and management plans are updated before the change is implemented. Risk assessment updates are conducted in accordance with RTPR-HSE-PRO-0002.</w:t>
      </w:r>
    </w:p>
    <w:p>
      <w:pPr>
        <w:pStyle w:val="NormalNumberedtext"/>
      </w:pPr>
      <w:r>
        <w:t>Where a potential change does not clearly fall within a defined category, the initiating personnel escalate the question to the HSESC Manager for determination before proceeding.</w:t>
      </w:r>
    </w:p>
    <w:p>
      <w:pPr>
        <w:pStyle w:val="Heading2Numbered"/>
      </w:pPr>
      <w:r>
        <w:t>4.2  Communication of Changes to the Project Owner</w:t>
      </w:r>
    </w:p>
    <w:p>
      <w:pPr>
        <w:pStyle w:val="NormalNumberedtext"/>
      </w:pPr>
      <w:r>
        <w:t>This section defines the obligations for communicating changes to the project owner and entering MoC records into the project action tracking system.</w:t>
      </w:r>
    </w:p>
    <w:p>
      <w:pPr>
        <w:pStyle w:val="NormalNumberedtext"/>
      </w:pPr>
      <w:r>
        <w:t>Changes are communicated to the project owner in a timely and structured manner, consistent with Appendix C, C-1, paragraph 26. The MoC record is entered into the project action tracking system upon initiation and updated at each stage of the MoC process through to closeout.</w:t>
      </w:r>
    </w:p>
    <w:p>
      <w:pPr>
        <w:pStyle w:val="NormalNumberedtext"/>
      </w:pPr>
      <w:r>
        <w:rPr>
          <w:b/>
          <w:bCs/>
          <w:color w:val="0059D1"/>
        </w:rPr>
        <w:t>[INSERT: MoC tracking system name and reference] — Define the project action tracking system used to record and track MoC requests, e.g. a named digital system or a controlled physical register. Specify the document reference or system location.</w:t>
      </w:r>
    </w:p>
    <w:p>
      <w:pPr>
        <w:pStyle w:val="NormalNumberedtext"/>
      </w:pPr>
      <w:r>
        <w:t>Changes affecting environmental approvals, permit conditions, or the approved project footprint are communicated to the Company before implementation, consistent with Appendix C, C-4, paragraph 91.0.1. The Project Manager is responsible for confirming this communication has occurred before the change proceeds.</w:t>
      </w:r>
    </w:p>
    <w:p>
      <w:pPr>
        <w:pStyle w:val="Heading1Numbered"/>
      </w:pPr>
      <w:r>
        <w:t>5  MoC Assessment Process</w:t>
      </w:r>
    </w:p>
    <w:p>
      <w:pPr>
        <w:pStyle w:val="NormalNumberedtext"/>
      </w:pPr>
      <w:r>
        <w:t>This section defines the steps of the MoC assessment process, the requirements for enhanced assessment of safety-critical changes, and the requirements for temporary changes.</w:t>
      </w:r>
    </w:p>
    <w:p>
      <w:pPr>
        <w:pStyle w:val="Heading2Numbered"/>
      </w:pPr>
      <w:r>
        <w:t>5.1  Standard MoC Assessment Steps</w:t>
      </w:r>
    </w:p>
    <w:p>
      <w:pPr>
        <w:pStyle w:val="NormalNumberedtext"/>
      </w:pPr>
      <w:r>
        <w:t>This section defines the sequential steps of the standard MoC assessment process from initiation through to closeout.</w:t>
      </w:r>
    </w:p>
    <w:p>
      <w:pPr>
        <w:pStyle w:val="NormalNumberedtext"/>
      </w:pPr>
      <w:r>
        <w:t>The MoC Coordinator confirms all MoC requests progress through the following steps in sequence. No step is skipped, and the MoC record is updated in the project action tracking system at each step:</w:t>
      </w:r>
    </w:p>
    <w:p>
      <w:pPr>
        <w:pStyle w:val="NormalNumberedtext"/>
      </w:pPr>
      <w:r>
        <w:t>Standard MoC assessment steps are:</w:t>
      </w:r>
    </w:p>
    <w:p>
      <w:pPr>
        <w:pStyle w:val="NumberedBulletL1"/>
      </w:pPr>
      <w:r>
        <w:t>Step 1 – Document the change: The initiator completes the MoC request form, describing the proposed change, the reason for the change, and the affected activities, documents, and personnel.</w:t>
      </w:r>
    </w:p>
    <w:p>
      <w:pPr>
        <w:pStyle w:val="NumberedBulletL1"/>
      </w:pPr>
      <w:r>
        <w:t>Step 2 – Identify and assess HSESC risks: The HSESC Manager or nominated assessor identifies and assesses all HSESC risks associated with the proposed change using the RT 5×5 Risk Matrix, in accordance with RTPR-HSE-PRO-0002.</w:t>
      </w:r>
    </w:p>
    <w:p>
      <w:pPr>
        <w:pStyle w:val="NumberedBulletL1"/>
      </w:pPr>
      <w:r>
        <w:t>Step 3 – Identify required controls: Required controls are identified and documented for each assessed risk, applying the hierarchy of controls. Where the change affects an existing JHA or risk register entry, those documents are updated as part of this step.</w:t>
      </w:r>
    </w:p>
    <w:p>
      <w:pPr>
        <w:pStyle w:val="NumberedBulletL1"/>
      </w:pPr>
      <w:r>
        <w:t>Step 4 – Determine the approval authority level: The residual risk rating from Step 2 determines the approval authority tier, as defined in the MoC Approval Authority Matrix in Section 4.</w:t>
      </w:r>
    </w:p>
    <w:p>
      <w:pPr>
        <w:pStyle w:val="NumberedBulletL1"/>
      </w:pPr>
      <w:r>
        <w:t>Step 5 – Communicate the change: The approved change is communicated to all affected personnel before implementation, in accordance with the communication requirements defined in Section 5.</w:t>
      </w:r>
    </w:p>
    <w:p>
      <w:pPr>
        <w:pStyle w:val="NumberedBulletL1"/>
      </w:pPr>
      <w:r>
        <w:t>Step 6 – Implement the change: The change is implemented in accordance with the approved MoC record. No implementation commences before the required approval is obtained.</w:t>
      </w:r>
    </w:p>
    <w:p>
      <w:pPr>
        <w:pStyle w:val="NumberedBulletL1"/>
      </w:pPr>
      <w:r>
        <w:t>Step 7 – Verify the change: The approving authority confirms the change has been implemented as approved and that all required controls are in place before normal operations resume.</w:t>
      </w:r>
    </w:p>
    <w:p>
      <w:pPr>
        <w:pStyle w:val="NumberedBulletL1"/>
      </w:pPr>
      <w:r>
        <w:t>Step 8 – Close out: The MoC Coordinator confirms all required document updates, JHA revisions, risk register updates, and training have been completed, and formally closes the MoC record in the project action tracking system.</w:t>
      </w:r>
    </w:p>
    <w:p>
      <w:pPr>
        <w:pStyle w:val="NormalNumberedtext"/>
      </w:pPr>
      <w:r>
        <w:t>Document updates required as a MoC output, including updates to procedures, JHAs, and risk registers, are processed in accordance with RTPR-HSE-PRO-0010. Training triggered by an approved change is managed in accordance with RTPR-HSE-PRO-0004.</w:t>
      </w:r>
    </w:p>
    <w:p>
      <w:pPr>
        <w:pStyle w:val="Heading2Numbered"/>
      </w:pPr>
      <w:r>
        <w:t>5.2  Enhanced MoC Process for Safety-Critical Changes</w:t>
      </w:r>
    </w:p>
    <w:p>
      <w:pPr>
        <w:pStyle w:val="NormalNumberedtext"/>
      </w:pPr>
      <w:r>
        <w:t>This section defines the enhanced assessment requirements that apply to changes involving safety instrumented systems, process safety controls, and critical safety devices.</w:t>
      </w:r>
    </w:p>
    <w:p>
      <w:pPr>
        <w:pStyle w:val="NormalNumberedtext"/>
      </w:pPr>
      <w:r>
        <w:t>Changes to safety instrumented systems, process safety controls, and critical safety devices follow an enhanced MoC process, consistent with the RT Energy Isolation Standard and the RT Electrical Standard. The enhanced process applies a higher approval threshold and requires mandatory verification testing before return to service.</w:t>
      </w:r>
    </w:p>
    <w:p>
      <w:pPr>
        <w:pStyle w:val="NormalNumberedtext"/>
      </w:pPr>
      <w:r>
        <w:t>The enhanced MoC process includes all steps defined in Section 3.1, with the following additional requirements:</w:t>
      </w:r>
    </w:p>
    <w:p>
      <w:pPr>
        <w:pStyle w:val="NormalNumberedtext"/>
      </w:pPr>
      <w:r>
        <w:t>Additional requirements for the enhanced MoC process include:</w:t>
      </w:r>
    </w:p>
    <w:p>
      <w:pPr>
        <w:pStyle w:val="NumberedBulletL1"/>
      </w:pPr>
      <w:r>
        <w:t>The change is reviewed by a suitably qualified and experienced person with competency in the relevant safety system or critical safety device before approval.</w:t>
      </w:r>
    </w:p>
    <w:p>
      <w:pPr>
        <w:pStyle w:val="NumberedBulletL1"/>
      </w:pPr>
      <w:r>
        <w:t>The approving authority for enhanced MoC is the Project Manager as a minimum, regardless of the residual risk rating.</w:t>
      </w:r>
    </w:p>
    <w:p>
      <w:pPr>
        <w:pStyle w:val="NumberedBulletL1"/>
      </w:pPr>
      <w:r>
        <w:t>Mandatory verification testing is completed and documented before the affected system or device is returned to service.</w:t>
      </w:r>
    </w:p>
    <w:p>
      <w:pPr>
        <w:pStyle w:val="NumberedBulletL1"/>
      </w:pPr>
      <w:r>
        <w:t>The verification testing record is attached to the MoC record in the project action tracking system at closeout.</w:t>
      </w:r>
    </w:p>
    <w:p>
      <w:pPr>
        <w:pStyle w:val="NumberedBulletL1"/>
      </w:pPr>
      <w:r>
        <w:rPr>
          <w:color w:val="C55A11"/>
        </w:rPr>
        <w:t>The HSESC Manager confirms the enhanced MoC checklist is completed in full for every change captured under this section before approval is granted.</w:t>
      </w:r>
    </w:p>
    <w:p>
      <w:pPr>
        <w:pStyle w:val="Heading2Numbered"/>
      </w:pPr>
      <w:r>
        <w:t>5.3  Temporary Changes</w:t>
      </w:r>
    </w:p>
    <w:p>
      <w:pPr>
        <w:pStyle w:val="NormalNumberedtext"/>
      </w:pPr>
      <w:r>
        <w:t>This section defines the requirements for temporary changes, including assessment rigour, defined expiry dates, and extension approval.</w:t>
      </w:r>
    </w:p>
    <w:p>
      <w:pPr>
        <w:pStyle w:val="NormalNumberedtext"/>
      </w:pPr>
      <w:r>
        <w:t>Temporary changes are assessed with the same rigour as permanent changes, consistent with OSHA Hazard Prevention and Control guidance. Temporary changes can introduce unique risks due to time pressure and unfamiliarity, and the assessment process does not reduce any step defined in Section 3.1 on account of the temporary nature of the change.</w:t>
      </w:r>
    </w:p>
    <w:p>
      <w:pPr>
        <w:pStyle w:val="NormalNumberedtext"/>
      </w:pPr>
      <w:r>
        <w:t>A defined expiry date is set for all temporary change approvals at the time of approval. A temporary change that has not been reversed or made permanent before its expiry date requires a new MoC assessment before the expiry date passes.</w:t>
      </w:r>
    </w:p>
    <w:p>
      <w:pPr>
        <w:pStyle w:val="NormalNumberedtext"/>
      </w:pPr>
      <w:r>
        <w:rPr>
          <w:b/>
          <w:bCs/>
          <w:color w:val="0059D1"/>
        </w:rPr>
        <w:t>[INSERT: Maximum duration of a temporary change] — Define the maximum permitted duration for a temporary change before it must be made permanent or reversed, e.g. 30 days. Define who approves an extension beyond the standard maximum duration.</w:t>
      </w:r>
    </w:p>
    <w:p>
      <w:pPr>
        <w:pStyle w:val="NormalNumberedtext"/>
      </w:pPr>
      <w:r>
        <w:rPr>
          <w:color w:val="C55A11"/>
        </w:rPr>
        <w:t>The MoC Coordinator monitors all open temporary change records in the project action tracking system and notifies the approving authority at least five working days before the expiry date of each temporary change.</w:t>
      </w:r>
    </w:p>
    <w:p>
      <w:pPr>
        <w:pStyle w:val="Heading1Numbered"/>
      </w:pPr>
      <w:r>
        <w:t>6  MoC Approval Authority Matrix</w:t>
      </w:r>
    </w:p>
    <w:p>
      <w:pPr>
        <w:pStyle w:val="NormalNumberedtext"/>
      </w:pPr>
      <w:r>
        <w:t>This section defines the approval authority tiers for MoC requests based on residual risk rating and the roles assigned to each tier on this project.</w:t>
      </w:r>
    </w:p>
    <w:p>
      <w:pPr>
        <w:pStyle w:val="Heading2Numbered"/>
      </w:pPr>
      <w:r>
        <w:t>6.1  Approval Authority Tiers</w:t>
      </w:r>
    </w:p>
    <w:p>
      <w:pPr>
        <w:pStyle w:val="NormalNumberedtext"/>
      </w:pPr>
      <w:r>
        <w:t>This section defines the three approval authority tiers and the roles assigned to each tier for this project.</w:t>
      </w:r>
    </w:p>
    <w:p>
      <w:pPr>
        <w:pStyle w:val="NormalNumberedtext"/>
      </w:pPr>
      <w:r>
        <w:t>The residual risk rating determined at Step 4 of the MoC assessment process determines the minimum approval authority required before implementation. The MoC request must not proceed to implementation until the required authority has approved the MoC record in the project action tracking system.</w:t>
      </w:r>
    </w:p>
    <w:p>
      <w:pPr>
        <w:pStyle w:val="NormalNumberedtext"/>
      </w:pPr>
      <w:r>
        <w:t>The MoC Approval Authority Matrix for this project is defined in Table 1. The project assigns specific roles to each tier within the thresholds set by this procedure.</w:t>
      </w:r>
    </w:p>
    <w:p>
      <w:pPr>
        <w:pStyle w:val="NormalNumberedtext"/>
      </w:pPr>
      <w:r>
        <w:t>Table 1: MoC Approval Authority Matrix</w:t>
      </w:r>
    </w:p>
    <w:tbl>
      <w:tblPr>
        <w:tblStyle w:val="TableOption2"/>
        <w:tblW w:type="pct" w:w="5000"/>
      </w:tblPr>
      <w:tr>
        <w:trPr>
          <w:tblHeader/>
        </w:trPr>
        <w:tc>
          <w:tcPr>
            <w:shd w:val="clear" w:color="auto" w:fill="1F3864"/>
          </w:tcPr>
          <w:p>
            <w:pPr>
              <w:pStyle w:val="TableContents"/>
            </w:pPr>
            <w:r>
              <w:rPr>
                <w:b/>
                <w:bCs/>
                <w:color w:val="FFFFFF"/>
              </w:rPr>
              <w:t>Residual Risk Rating (RT 5×5 Matrix)</w:t>
            </w:r>
          </w:p>
        </w:tc>
        <w:tc>
          <w:tcPr>
            <w:shd w:val="clear" w:color="auto" w:fill="1F3864"/>
          </w:tcPr>
          <w:p>
            <w:pPr>
              <w:pStyle w:val="TableContents"/>
            </w:pPr>
            <w:r>
              <w:rPr>
                <w:b/>
                <w:bCs/>
                <w:color w:val="FFFFFF"/>
              </w:rPr>
              <w:t>Minimum Approval Authority</w:t>
            </w:r>
          </w:p>
        </w:tc>
        <w:tc>
          <w:tcPr>
            <w:shd w:val="clear" w:color="auto" w:fill="1F3864"/>
          </w:tcPr>
          <w:p>
            <w:pPr>
              <w:pStyle w:val="TableContents"/>
            </w:pPr>
            <w:r>
              <w:rPr>
                <w:b/>
                <w:bCs/>
                <w:color w:val="FFFFFF"/>
              </w:rPr>
              <w:t>Project Role Assigned</w:t>
            </w:r>
          </w:p>
        </w:tc>
      </w:tr>
      <w:tr>
        <w:tc>
          <w:tcPr/>
          <w:p>
            <w:pPr>
              <w:pStyle w:val="TableContents"/>
            </w:pPr>
            <w:r>
              <w:t>Low (1–4)</w:t>
            </w:r>
          </w:p>
        </w:tc>
        <w:tc>
          <w:tcPr/>
          <w:p>
            <w:pPr>
              <w:pStyle w:val="TableContents"/>
            </w:pPr>
            <w:r>
              <w:t>HSESC Manager or Senior Supervisor</w:t>
            </w:r>
          </w:p>
        </w:tc>
        <w:tc>
          <w:tcPr/>
          <w:p>
            <w:pPr>
              <w:pStyle w:val="TableContents"/>
            </w:pPr>
            <w:r>
              <w:rPr>
                <w:b/>
                <w:bCs/>
                <w:color w:val="0059D1"/>
              </w:rPr>
              <w:t>[INSERT: Project role assigned to Low risk MoC approval]</w:t>
            </w:r>
          </w:p>
        </w:tc>
      </w:tr>
      <w:tr>
        <w:tc>
          <w:tcPr/>
          <w:p>
            <w:pPr>
              <w:pStyle w:val="TableContents"/>
            </w:pPr>
            <w:r>
              <w:t>Medium (5–12)</w:t>
            </w:r>
          </w:p>
        </w:tc>
        <w:tc>
          <w:tcPr/>
          <w:p>
            <w:pPr>
              <w:pStyle w:val="TableContents"/>
            </w:pPr>
            <w:r>
              <w:t>Construction Manager or equivalent</w:t>
            </w:r>
          </w:p>
        </w:tc>
        <w:tc>
          <w:tcPr/>
          <w:p>
            <w:pPr>
              <w:pStyle w:val="TableContents"/>
            </w:pPr>
            <w:r>
              <w:rPr>
                <w:b/>
                <w:bCs/>
                <w:color w:val="0059D1"/>
              </w:rPr>
              <w:t>[INSERT: Project role assigned to Medium risk MoC approval]</w:t>
            </w:r>
          </w:p>
        </w:tc>
      </w:tr>
      <w:tr>
        <w:tc>
          <w:tcPr/>
          <w:p>
            <w:pPr>
              <w:pStyle w:val="TableContents"/>
            </w:pPr>
            <w:r>
              <w:t>High (15–25)</w:t>
            </w:r>
          </w:p>
        </w:tc>
        <w:tc>
          <w:tcPr/>
          <w:p>
            <w:pPr>
              <w:pStyle w:val="TableContents"/>
            </w:pPr>
            <w:r>
              <w:t>Project Manager</w:t>
            </w:r>
          </w:p>
        </w:tc>
        <w:tc>
          <w:tcPr/>
          <w:p>
            <w:pPr>
              <w:pStyle w:val="TableContents"/>
            </w:pPr>
            <w:r>
              <w:rPr>
                <w:b/>
                <w:bCs/>
                <w:color w:val="0059D1"/>
              </w:rPr>
              <w:t>[INSERT: Project role assigned to High risk MoC approval]</w:t>
            </w:r>
          </w:p>
        </w:tc>
      </w:tr>
      <w:tr>
        <w:tc>
          <w:tcPr/>
          <w:p>
            <w:pPr>
              <w:pStyle w:val="TableContents"/>
            </w:pPr>
            <w:r>
              <w:t>Enhanced MoC (safety-critical systems, any rating)</w:t>
            </w:r>
          </w:p>
        </w:tc>
        <w:tc>
          <w:tcPr/>
          <w:p>
            <w:pPr>
              <w:pStyle w:val="TableContents"/>
            </w:pPr>
            <w:r>
              <w:t>Project Manager — mandatory</w:t>
            </w:r>
          </w:p>
        </w:tc>
        <w:tc>
          <w:tcPr/>
          <w:p>
            <w:pPr>
              <w:pStyle w:val="TableContents"/>
            </w:pPr>
            <w:r>
              <w:rPr>
                <w:b/>
                <w:bCs/>
                <w:color w:val="0059D1"/>
              </w:rPr>
              <w:t>[INSERT: Confirm Project Manager role title for this project]</w:t>
            </w:r>
          </w:p>
        </w:tc>
      </w:tr>
    </w:tbl>
    <w:p>
      <w:pPr>
        <w:pStyle w:val="Default"/>
      </w:pPr>
    </w:p>
    <w:p>
      <w:pPr>
        <w:pStyle w:val="NormalNumberedtext"/>
      </w:pPr>
      <w:r>
        <w:t>Where the initiating personnel are uncertain of the correct approval authority tier, the HSESC Manager makes the determination before the MoC request proceeds to approval.</w:t>
      </w:r>
    </w:p>
    <w:p>
      <w:pPr>
        <w:pStyle w:val="Heading1Numbered"/>
      </w:pPr>
      <w:r>
        <w:t>7  Communication, Training and Records</w:t>
      </w:r>
    </w:p>
    <w:p>
      <w:pPr>
        <w:pStyle w:val="NormalNumberedtext"/>
      </w:pPr>
      <w:r>
        <w:t>This section defines the requirements for communicating approved changes, the training obligations triggered by the MoC process, and the record requirements that apply to all MoC activity.</w:t>
      </w:r>
    </w:p>
    <w:p>
      <w:pPr>
        <w:pStyle w:val="Heading2Numbered"/>
      </w:pPr>
      <w:r>
        <w:t>7.1  Communication of Approved Changes</w:t>
      </w:r>
    </w:p>
    <w:p>
      <w:pPr>
        <w:pStyle w:val="NormalNumberedtext"/>
      </w:pPr>
      <w:r>
        <w:t>This section defines how approved changes are communicated to all affected personnel before implementation.</w:t>
      </w:r>
    </w:p>
    <w:p>
      <w:pPr>
        <w:pStyle w:val="NormalNumberedtext"/>
      </w:pPr>
      <w:r>
        <w:t>Approved changes are communicated to all affected personnel before implementation, consistent with Appendix C, C-1, paragraph 26. Communication is the responsibility of the approving authority, supported by the HSESC Manager and the relevant work supervisor.</w:t>
      </w:r>
    </w:p>
    <w:p>
      <w:pPr>
        <w:pStyle w:val="NormalNumberedtext"/>
      </w:pPr>
      <w:r>
        <w:t>The approved MoC record defines the personnel and roles to whom communication is required. The work supervisor confirms that all affected personnel have received and understood the communication before work commences under the new conditions.</w:t>
      </w:r>
    </w:p>
    <w:p>
      <w:pPr>
        <w:pStyle w:val="NormalNumberedtext"/>
      </w:pPr>
      <w:r>
        <w:rPr>
          <w:b/>
          <w:bCs/>
          <w:color w:val="0059D1"/>
        </w:rPr>
        <w:t>[INSERT: MoC communication method and maximum lag time] — Define how approved changes are communicated to all affected personnel, e.g. pre-start meeting, toolbox talk, written notice. Define the maximum permitted time between MoC approval and communication to affected personnel.</w:t>
      </w:r>
    </w:p>
    <w:p>
      <w:pPr>
        <w:pStyle w:val="NormalNumberedtext"/>
      </w:pPr>
      <w:r>
        <w:t>Changes affecting environmental approvals, permit conditions, or the approved project footprint are communicated to the Company before implementation, consistent with Appendix C, C-4, paragraph 91.0.1. The Project Manager confirms this communication is recorded in the MoC record before the change proceeds.</w:t>
      </w:r>
    </w:p>
    <w:p>
      <w:pPr>
        <w:pStyle w:val="Heading2Numbered"/>
      </w:pPr>
      <w:r>
        <w:t>7.2  Training Requirements Triggered by MoC</w:t>
      </w:r>
    </w:p>
    <w:p>
      <w:pPr>
        <w:pStyle w:val="NormalNumberedtext"/>
      </w:pPr>
      <w:r>
        <w:t>This section defines training obligations that arise from specific types of approved change and the baseline MoC awareness training requirement.</w:t>
      </w:r>
    </w:p>
    <w:p>
      <w:pPr>
        <w:pStyle w:val="NormalNumberedtext"/>
      </w:pPr>
      <w:r>
        <w:t>Training requirements triggered by specific types of change are identified at Step 3 of the MoC assessment process and documented in the MoC record. Training triggered by an approved change is completed before the affected personnel commence work under the new conditions. Training delivery and records are managed in accordance with RTPR-HSE-PRO-0004.</w:t>
      </w:r>
    </w:p>
    <w:p>
      <w:pPr>
        <w:pStyle w:val="NormalNumberedtext"/>
      </w:pPr>
      <w:r>
        <w:t>All project personnel receive training in how to identify a change that triggers the MoC process and in the change management procedures before project mobilisation, consistent with Appendix C, C-4, paragraph 91.0.3. The HSESC Manager confirms this training is recorded in the project training register before mobilisation commences.</w:t>
      </w:r>
    </w:p>
    <w:p>
      <w:pPr>
        <w:pStyle w:val="NormalNumberedtext"/>
      </w:pPr>
      <w:r>
        <w:t>Minimum MoC awareness training content includes:</w:t>
      </w:r>
    </w:p>
    <w:p>
      <w:pPr>
        <w:pStyle w:val="NumberedBulletL1"/>
      </w:pPr>
      <w:r>
        <w:t>The categories of change that require a formal MoC assessment.</w:t>
      </w:r>
    </w:p>
    <w:p>
      <w:pPr>
        <w:pStyle w:val="NumberedBulletL1"/>
      </w:pPr>
      <w:r>
        <w:t>How to initiate an MoC request using the project MoC form or system.</w:t>
      </w:r>
    </w:p>
    <w:p>
      <w:pPr>
        <w:pStyle w:val="NumberedBulletL1"/>
      </w:pPr>
      <w:r>
        <w:t>The consequences of implementing a change without MoC approval.</w:t>
      </w:r>
    </w:p>
    <w:p>
      <w:pPr>
        <w:pStyle w:val="NumberedBulletL1"/>
      </w:pPr>
      <w:r>
        <w:rPr>
          <w:color w:val="C55A11"/>
        </w:rPr>
        <w:t>Practical examples of changes relevant to the specific work activities on this project.</w:t>
      </w:r>
    </w:p>
    <w:p>
      <w:pPr>
        <w:pStyle w:val="Heading2Numbered"/>
      </w:pPr>
      <w:r>
        <w:t>7.3  MoC Record Requirements</w:t>
      </w:r>
    </w:p>
    <w:p>
      <w:pPr>
        <w:pStyle w:val="NormalNumberedtext"/>
      </w:pPr>
      <w:r>
        <w:t>This section defines what MoC records must contain, where they are held, and how corrective actions are tracked through to closeout.</w:t>
      </w:r>
    </w:p>
    <w:p>
      <w:pPr>
        <w:pStyle w:val="NormalNumberedtext"/>
      </w:pPr>
      <w:r>
        <w:t>MoC records are maintained for the duration of the project and are available for audit and review at any time. MoC records are stored in the project action tracking system and in the project document management system in accordance with RTPR-HSE-PRO-0010.</w:t>
      </w:r>
    </w:p>
    <w:p>
      <w:pPr>
        <w:pStyle w:val="NormalNumberedtext"/>
      </w:pPr>
      <w:r>
        <w:rPr>
          <w:b/>
          <w:bCs/>
          <w:color w:val="0059D1"/>
        </w:rPr>
        <w:t>[INSERT: MoC form and tracking system] — Define whether a digital system or a physical form is used for MoC records on this project. Provide the form reference or system name and location. Reference the approved MoC form template if one exists.</w:t>
      </w:r>
    </w:p>
    <w:p>
      <w:pPr>
        <w:pStyle w:val="NormalNumberedtext"/>
      </w:pPr>
      <w:r>
        <w:t>Each MoC record contains, at a minimum, the following information:</w:t>
      </w:r>
    </w:p>
    <w:p>
      <w:pPr>
        <w:pStyle w:val="NormalNumberedtext"/>
      </w:pPr>
      <w:r>
        <w:t>Minimum MoC record content includes:</w:t>
      </w:r>
    </w:p>
    <w:p>
      <w:pPr>
        <w:pStyle w:val="NumberedBulletL1"/>
      </w:pPr>
      <w:r>
        <w:t>A description of the proposed change and the reason for the change.</w:t>
      </w:r>
    </w:p>
    <w:p>
      <w:pPr>
        <w:pStyle w:val="NumberedBulletL1"/>
      </w:pPr>
      <w:r>
        <w:t>The change category as defined in Section 2.1.</w:t>
      </w:r>
    </w:p>
    <w:p>
      <w:pPr>
        <w:pStyle w:val="NumberedBulletL1"/>
      </w:pPr>
      <w:r>
        <w:t>The HSESC risk assessment outcome, including hazards identified, risk ratings, and controls required.</w:t>
      </w:r>
    </w:p>
    <w:p>
      <w:pPr>
        <w:pStyle w:val="NumberedBulletL1"/>
      </w:pPr>
      <w:r>
        <w:t>The approval authority tier and the name and signature of the approving authority.</w:t>
      </w:r>
    </w:p>
    <w:p>
      <w:pPr>
        <w:pStyle w:val="NumberedBulletL1"/>
      </w:pPr>
      <w:r>
        <w:t>The expiry date, for temporary changes.</w:t>
      </w:r>
    </w:p>
    <w:p>
      <w:pPr>
        <w:pStyle w:val="NumberedBulletL1"/>
      </w:pPr>
      <w:r>
        <w:t>A list of affected personnel, documents, JHAs, and risk register entries.</w:t>
      </w:r>
    </w:p>
    <w:p>
      <w:pPr>
        <w:pStyle w:val="NumberedBulletL1"/>
      </w:pPr>
      <w:r>
        <w:t>Confirmation that communication to affected personnel was completed before implementation.</w:t>
      </w:r>
    </w:p>
    <w:p>
      <w:pPr>
        <w:pStyle w:val="NumberedBulletL1"/>
      </w:pPr>
      <w:r>
        <w:t>Confirmation that all required document updates and training have been completed at closeout.</w:t>
      </w:r>
    </w:p>
    <w:p>
      <w:pPr>
        <w:pStyle w:val="NumberedBulletL1"/>
      </w:pPr>
      <w:r>
        <w:rPr>
          <w:color w:val="C55A11"/>
        </w:rPr>
        <w:t>Confirmation that verification was completed where required, including for enhanced MoC and temporary changes.</w:t>
      </w:r>
    </w:p>
    <w:p>
      <w:pPr>
        <w:pStyle w:val="NormalNumberedtext"/>
      </w:pPr>
      <w:r>
        <w:t>Corrective actions identified through the MoC process are tracked in the project action management system through to completion, consistent with IFC Performance Standard 1, paragraph 11. The MoC Coordinator reviews the status of all open MoC actions at least monthly and reports overdue actions to the HSESC Manager.</w:t>
      </w:r>
    </w:p>
    <w:p>
      <w:pPr>
        <w:pStyle w:val="NormalNumberedtext"/>
      </w:pPr>
      <w:r>
        <w:t>Where a change is assessed and found to require updates to JHAs, risk registers, procedures, or other project documents, those updates are completed as part of MoC closeout and are not deferred. Document updates are processed in accordance with RTPR-HSE-PRO-0010.</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MoC</w:t>
            </w:r>
          </w:p>
        </w:tc>
        <w:tc>
          <w:tcPr/>
          <w:p>
            <w:pPr>
              <w:pStyle w:val="TableContents"/>
            </w:pPr>
            <w:r>
              <w:t>Management of Change — a formal process used to identify, assess, approve, implement, and close out changes to people, process, plant, equipment, materials, environment, or procedures to ensure that risks introduced by change are identified and controlled before implementation.</w:t>
            </w:r>
          </w:p>
        </w:tc>
      </w:tr>
      <w:tr>
        <w:tc>
          <w:tcPr/>
          <w:p>
            <w:pPr>
              <w:pStyle w:val="TableContents"/>
            </w:pPr>
            <w:r>
              <w:t>HSESC</w:t>
            </w:r>
          </w:p>
        </w:tc>
        <w:tc>
          <w:tcPr/>
          <w:p>
            <w:pPr>
              <w:pStyle w:val="TableContents"/>
            </w:pPr>
            <w:r>
              <w:t>Health, Safety, Environment and Social Compliance — the integrated management framework governing occupational health, safety, environmental protection, and social compliance obligations on Rio Tinto owner-led projects.</w:t>
            </w:r>
          </w:p>
        </w:tc>
      </w:tr>
      <w:tr>
        <w:tc>
          <w:tcPr/>
          <w:p>
            <w:pPr>
              <w:pStyle w:val="TableContents"/>
            </w:pPr>
            <w:r>
              <w:t>HSE</w:t>
            </w:r>
          </w:p>
        </w:tc>
        <w:tc>
          <w:tcPr/>
          <w:p>
            <w:pPr>
              <w:pStyle w:val="TableContents"/>
            </w:pPr>
            <w:r>
              <w:t>Health, Safety and Environment — the disciplines collectively concerned with the protection of people and the natural environment in the workplace and surrounding community.</w:t>
            </w:r>
          </w:p>
        </w:tc>
      </w:tr>
      <w:tr>
        <w:tc>
          <w:tcPr/>
          <w:p>
            <w:pPr>
              <w:pStyle w:val="TableContents"/>
            </w:pPr>
            <w:r>
              <w:t>RT</w:t>
            </w:r>
          </w:p>
        </w:tc>
        <w:tc>
          <w:tcPr/>
          <w:p>
            <w:pPr>
              <w:pStyle w:val="TableContents"/>
            </w:pPr>
            <w:r>
              <w:t>Rio Tinto — the project owner organisation responsible for establishing and maintaining HSESC management system standards and procedures on owner-led projects.</w:t>
            </w:r>
          </w:p>
        </w:tc>
      </w:tr>
      <w:tr>
        <w:tc>
          <w:tcPr/>
          <w:p>
            <w:pPr>
              <w:pStyle w:val="TableContents"/>
            </w:pPr>
            <w:r>
              <w:t>PRO</w:t>
            </w:r>
          </w:p>
        </w:tc>
        <w:tc>
          <w:tcPr/>
          <w:p>
            <w:pPr>
              <w:pStyle w:val="TableContents"/>
            </w:pPr>
            <w:r>
              <w:t>Procedure — a documented instruction within the Rio Tinto Projects HSESC management system that specifies the required method for carrying out an activity or process.</w:t>
            </w:r>
          </w:p>
        </w:tc>
      </w:tr>
      <w:tr>
        <w:tc>
          <w:tcPr/>
          <w:p>
            <w:pPr>
              <w:pStyle w:val="TableContents"/>
            </w:pPr>
            <w:r>
              <w:t>RTPR</w:t>
            </w:r>
          </w:p>
        </w:tc>
        <w:tc>
          <w:tcPr/>
          <w:p>
            <w:pPr>
              <w:pStyle w:val="TableContents"/>
            </w:pPr>
            <w:r>
              <w:t>Rio Tinto Projects — the Rio Tinto business unit responsible for the delivery of capital projects under an owner-led model, including the development and application of the HSESC management system.</w:t>
            </w:r>
          </w:p>
        </w:tc>
      </w:tr>
      <w:tr>
        <w:tc>
          <w:tcPr/>
          <w:p>
            <w:pPr>
              <w:pStyle w:val="TableContents"/>
            </w:pPr>
            <w:r>
              <w:t>SME</w:t>
            </w:r>
          </w:p>
        </w:tc>
        <w:tc>
          <w:tcPr/>
          <w:p>
            <w:pPr>
              <w:pStyle w:val="TableContents"/>
            </w:pPr>
            <w:r>
              <w:t>Subject Matter Expert — an individual with recognised specialist knowledge, skills, or experience in a particular technical or functional discipline relevant to the change being assessed.</w:t>
            </w:r>
          </w:p>
        </w:tc>
      </w:tr>
      <w:tr>
        <w:tc>
          <w:tcPr/>
          <w:p>
            <w:pPr>
              <w:pStyle w:val="TableContents"/>
            </w:pPr>
            <w:r>
              <w:t>RA</w:t>
            </w:r>
          </w:p>
        </w:tc>
        <w:tc>
          <w:tcPr/>
          <w:p>
            <w:pPr>
              <w:pStyle w:val="TableContents"/>
            </w:pPr>
            <w:r>
              <w:t>Risk Assessment — a systematic process of identifying hazards, analysing the likelihood and consequence of potential harm, evaluating the level of risk, and determining appropriate controls, conducted as part of the MoC assessment process.</w:t>
            </w:r>
          </w:p>
        </w:tc>
      </w:tr>
      <w:tr>
        <w:tc>
          <w:tcPr/>
          <w:p>
            <w:pPr>
              <w:pStyle w:val="TableContents"/>
            </w:pPr>
            <w:r>
              <w:t>ALARP</w:t>
            </w:r>
          </w:p>
        </w:tc>
        <w:tc>
          <w:tcPr/>
          <w:p>
            <w:pPr>
              <w:pStyle w:val="TableContents"/>
            </w:pPr>
            <w:r>
              <w:t>As Low As Reasonably Practicable — the principle requiring that residual risk be reduced to the lowest level achievable unless the cost of further reduction is grossly disproportionate to the benefit gained, used as the risk acceptance criterion within the MoC process.</w:t>
            </w:r>
          </w:p>
        </w:tc>
      </w:tr>
      <w:tr>
        <w:tc>
          <w:tcPr/>
          <w:p>
            <w:pPr>
              <w:pStyle w:val="TableContents"/>
            </w:pPr>
            <w:r>
              <w:t>JSEA</w:t>
            </w:r>
          </w:p>
        </w:tc>
        <w:tc>
          <w:tcPr/>
          <w:p>
            <w:pPr>
              <w:pStyle w:val="TableContents"/>
            </w:pPr>
            <w:r>
              <w:t>Job Safety and Environment Analysis — a task-level risk assessment tool that systematically identifies hazards and controls for each step of a work task, which may be required as an output or trigger within the MoC process.</w:t>
            </w:r>
          </w:p>
        </w:tc>
      </w:tr>
      <w:tr>
        <w:tc>
          <w:tcPr/>
          <w:p>
            <w:pPr>
              <w:pStyle w:val="TableContents"/>
            </w:pPr>
            <w:r>
              <w:t>SWMS</w:t>
            </w:r>
          </w:p>
        </w:tc>
        <w:tc>
          <w:tcPr/>
          <w:p>
            <w:pPr>
              <w:pStyle w:val="TableContents"/>
            </w:pPr>
            <w:r>
              <w:t>Safe Work Method Statement — a document that describes how high-risk construction work will be carried out safely, including identified hazards and the control measures to be applied, and which may be generated or revised as an MoC output.</w:t>
            </w:r>
          </w:p>
        </w:tc>
      </w:tr>
      <w:tr>
        <w:tc>
          <w:tcPr/>
          <w:p>
            <w:pPr>
              <w:pStyle w:val="TableContents"/>
            </w:pPr>
            <w:r>
              <w:t>PMT</w:t>
            </w:r>
          </w:p>
        </w:tc>
        <w:tc>
          <w:tcPr/>
          <w:p>
            <w:pPr>
              <w:pStyle w:val="TableContents"/>
            </w:pPr>
            <w:r>
              <w:t>Project Management Team — the integrated team of Rio Tinto owner personnel and key contractors responsible for the planning, execution, and delivery of the project, whose members may initiate, assess, or approve MoC requests.</w:t>
            </w:r>
          </w:p>
        </w:tc>
      </w:tr>
      <w:tr>
        <w:tc>
          <w:tcPr/>
          <w:p>
            <w:pPr>
              <w:pStyle w:val="TableContents"/>
            </w:pPr>
            <w:r>
              <w:t>PM</w:t>
            </w:r>
          </w:p>
        </w:tc>
        <w:tc>
          <w:tcPr/>
          <w:p>
            <w:pPr>
              <w:pStyle w:val="TableContents"/>
            </w:pPr>
            <w:r>
              <w:t>Project Manager — the senior Rio Tinto representative accountable for the overall delivery of the project scope, schedule, cost, and HSESC performance, and who holds a defined approval authority within the MoC Approval Authority Matrix.</w:t>
            </w:r>
          </w:p>
        </w:tc>
      </w:tr>
      <w:tr>
        <w:tc>
          <w:tcPr/>
          <w:p>
            <w:pPr>
              <w:pStyle w:val="TableContents"/>
            </w:pPr>
            <w:r>
              <w:t>HSESC Manager</w:t>
            </w:r>
          </w:p>
        </w:tc>
        <w:tc>
          <w:tcPr/>
          <w:p>
            <w:pPr>
              <w:pStyle w:val="TableContents"/>
            </w:pPr>
            <w:r>
              <w:t>Health, Safety, Environment and Social Compliance Manager — the senior HSESC professional on the project responsible for the governance and oversight of the HSESC management system, including the MoC process, and who holds a defined role within the MoC Approval Authority Matrix.</w:t>
            </w:r>
          </w:p>
        </w:tc>
      </w:tr>
      <w:tr>
        <w:tc>
          <w:tcPr/>
          <w:p>
            <w:pPr>
              <w:pStyle w:val="TableContents"/>
            </w:pPr>
            <w:r>
              <w:t>TOR</w:t>
            </w:r>
          </w:p>
        </w:tc>
        <w:tc>
          <w:tcPr/>
          <w:p>
            <w:pPr>
              <w:pStyle w:val="TableContents"/>
            </w:pPr>
            <w:r>
              <w:t>Terms of Reference — a document defining the purpose, scope, responsibilities, and operating parameters of a committee, working group, or process, which may be subject to MoC where a scope change affects HSESC obligations.</w:t>
            </w:r>
          </w:p>
        </w:tc>
      </w:tr>
      <w:tr>
        <w:tc>
          <w:tcPr/>
          <w:p>
            <w:pPr>
              <w:pStyle w:val="TableContents"/>
            </w:pPr>
            <w:r>
              <w:t>CAR</w:t>
            </w:r>
          </w:p>
        </w:tc>
        <w:tc>
          <w:tcPr/>
          <w:p>
            <w:pPr>
              <w:pStyle w:val="TableContents"/>
            </w:pPr>
            <w:r>
              <w:t>Corrective Action Request — a formal record of a required corrective action raised as a result of an audit finding, inspection, incident investigation, or improvement planning activity, which may trigger an MoC where the corrective action requires a change to plant, process, or procedure.</w:t>
            </w:r>
          </w:p>
        </w:tc>
      </w:tr>
      <w:tr>
        <w:tc>
          <w:tcPr/>
          <w:p>
            <w:pPr>
              <w:pStyle w:val="TableContents"/>
            </w:pPr>
            <w:r>
              <w:t>KPI</w:t>
            </w:r>
          </w:p>
        </w:tc>
        <w:tc>
          <w:tcPr/>
          <w:p>
            <w:pPr>
              <w:pStyle w:val="TableContents"/>
            </w:pPr>
            <w:r>
              <w:t>Key Performance Indicator — a measurable value used to evaluate the effectiveness of the HSESC management system and MoC process performance, including metrics such as number of MoCs raised, assessed, approved, implemented, and closed.</w:t>
            </w:r>
          </w:p>
        </w:tc>
      </w:tr>
      <w:tr>
        <w:tc>
          <w:tcPr/>
          <w:p>
            <w:pPr>
              <w:pStyle w:val="TableContents"/>
            </w:pPr>
            <w:r>
              <w:t>MOC</w:t>
            </w:r>
          </w:p>
        </w:tc>
        <w:tc>
          <w:tcPr/>
          <w:p>
            <w:pPr>
              <w:pStyle w:val="TableContents"/>
            </w:pPr>
            <w:r>
              <w:t>Management of Change — alternate capitalisation of MoC; a formal structured process to manage changes to scope, design, process, procedures, organisational structure, or personnel in a manner that identifies and controls associated HSESC risks prior to implementation.</w:t>
            </w:r>
          </w:p>
        </w:tc>
      </w:tr>
      <w:tr>
        <w:tc>
          <w:tcPr/>
          <w:p>
            <w:pPr>
              <w:pStyle w:val="TableContents"/>
            </w:pPr>
            <w:r>
              <w:t>ITP</w:t>
            </w:r>
          </w:p>
        </w:tc>
        <w:tc>
          <w:tcPr/>
          <w:p>
            <w:pPr>
              <w:pStyle w:val="TableContents"/>
            </w:pPr>
            <w:r>
              <w:t>Inspection and Test Plan — a document specifying the quality and HSESC inspection and testing activities to be performed at defined hold, witness, and review points, which may require revision as an output of the MoC process.</w:t>
            </w:r>
          </w:p>
        </w:tc>
      </w:tr>
      <w:tr>
        <w:tc>
          <w:tcPr/>
          <w:p>
            <w:pPr>
              <w:pStyle w:val="TableContents"/>
            </w:pPr>
            <w:r>
              <w:t>WMS</w:t>
            </w:r>
          </w:p>
        </w:tc>
        <w:tc>
          <w:tcPr/>
          <w:p>
            <w:pPr>
              <w:pStyle w:val="TableContents"/>
            </w:pPr>
            <w:r>
              <w:t>Work Method Statement — a document describing the methodology, sequence, resources, and controls for undertaking a defined work activity, which may be created or updated as a result of an approved MoC.</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Risk Assessment Requirements</w:t>
            </w:r>
          </w:p>
        </w:tc>
        <w:tc>
          <w:tcPr/>
          <w:p>
            <w:pPr>
              <w:pStyle w:val="TableContents"/>
            </w:pPr>
            <w:r>
              <w:t>RT Risk Management Standard Appendix C C-1</w:t>
            </w:r>
          </w:p>
        </w:tc>
        <w:tc>
          <w:tcPr/>
          <w:p>
            <w:pPr>
              <w:pStyle w:val="TableContents"/>
            </w:pPr>
            <w:r>
              <w:t>External RT</w:t>
            </w:r>
          </w:p>
        </w:tc>
      </w:tr>
      <w:tr>
        <w:tc>
          <w:tcPr/>
          <w:p>
            <w:pPr>
              <w:pStyle w:val="TableContents"/>
            </w:pPr>
            <w:r>
              <w:t>ISO 31000:2018 — Risk Management Guidelines</w:t>
            </w:r>
          </w:p>
        </w:tc>
        <w:tc>
          <w:tcPr/>
          <w:p>
            <w:pPr>
              <w:pStyle w:val="TableContents"/>
            </w:pPr>
            <w:r>
              <w:t>ISO 31000:2018</w:t>
            </w:r>
          </w:p>
        </w:tc>
        <w:tc>
          <w:tcPr/>
          <w:p>
            <w:pPr>
              <w:pStyle w:val="TableContents"/>
            </w:pPr>
            <w:r>
              <w:t>External framework</w:t>
            </w:r>
          </w:p>
        </w:tc>
      </w:tr>
      <w:tr>
        <w:tc>
          <w:tcPr/>
          <w:p>
            <w:pPr>
              <w:pStyle w:val="TableContents"/>
            </w:pPr>
            <w:r>
              <w:t>ISO 45001:2018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14001:2015 —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Rio Tinto Health, Safety and Environment Management System Standard</w:t>
            </w:r>
          </w:p>
        </w:tc>
        <w:tc>
          <w:tcPr/>
          <w:p>
            <w:pPr>
              <w:pStyle w:val="TableContents"/>
            </w:pPr>
            <w:r>
              <w:t>RT HSEMS Standard</w:t>
            </w:r>
          </w:p>
        </w:tc>
        <w:tc>
          <w:tcPr/>
          <w:p>
            <w:pPr>
              <w:pStyle w:val="TableContents"/>
            </w:pPr>
            <w:r>
              <w:t>External RT</w:t>
            </w:r>
          </w:p>
        </w:tc>
      </w:tr>
      <w:tr>
        <w:tc>
          <w:tcPr/>
          <w:p>
            <w:pPr>
              <w:pStyle w:val="TableContents"/>
            </w:pPr>
            <w:r>
              <w:t>Rio Tinto Projects HSESC Management System Manual</w:t>
            </w:r>
          </w:p>
        </w:tc>
        <w:tc>
          <w:tcPr/>
          <w:p>
            <w:pPr>
              <w:pStyle w:val="TableContents"/>
            </w:pPr>
            <w:r>
              <w:t>RTPR-HSESC-MAN-0001</w:t>
            </w:r>
          </w:p>
        </w:tc>
        <w:tc>
          <w:tcPr/>
          <w:p>
            <w:pPr>
              <w:pStyle w:val="TableContents"/>
            </w:pPr>
            <w:r>
              <w:t>Internal procedure</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Risk Management Standard</w:t>
            </w:r>
          </w:p>
        </w:tc>
        <w:tc>
          <w:tcPr/>
          <w:p>
            <w:pPr>
              <w:pStyle w:val="TableContents"/>
            </w:pPr>
            <w:r>
              <w:t>Requires formal MoC assessment for defined categories of change and mandates an enhanced process for changes to safety instrumented systems and critical safety devices.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C1, C2 – Energy Isolation and Electrical Standards</w:t>
            </w:r>
          </w:p>
        </w:tc>
        <w:tc>
          <w:tcPr/>
          <w:p>
            <w:pPr>
              <w:pStyle w:val="TableContents"/>
            </w:pPr>
            <w:r>
              <w:t>Requires that changes to safety instrumented systems, process safety controls, and critical safety devices follow an enhanced MoC process with mandatory verification testing before return to service.</w:t>
            </w:r>
          </w:p>
        </w:tc>
        <w:tc>
          <w:tcPr/>
          <w:p>
            <w:pPr>
              <w:pStyle w:val="TableContents"/>
            </w:pPr>
            <w:r>
              <w:t>Full</w:t>
            </w:r>
          </w:p>
        </w:tc>
      </w:tr>
      <w:tr>
        <w:tc>
          <w:tcPr/>
          <w:p>
            <w:pPr>
              <w:pStyle w:val="TableContents"/>
            </w:pPr>
            <w:r>
              <w:rPr>
                <w:b/>
                <w:bCs/>
                <w:color w:val="0059D1"/>
              </w:rPr>
              <w:t>[INSERT: section]</w:t>
            </w:r>
          </w:p>
        </w:tc>
        <w:tc>
          <w:tcPr/>
          <w:p>
            <w:pPr>
              <w:pStyle w:val="TableContents"/>
            </w:pPr>
            <w:r>
              <w:t>Appendix C C-1 §26</w:t>
            </w:r>
          </w:p>
        </w:tc>
        <w:tc>
          <w:tcPr/>
          <w:p>
            <w:pPr>
              <w:pStyle w:val="TableContents"/>
            </w:pPr>
            <w:r>
              <w:t>Requires changes to be communicated to the project owner in a timely and structured manner, with the MoC record entered into the project action tracking system, and approved changes communicated to all affected personnel before implementation with updates to documents, JHAs, and risk registers as part of closeout.</w:t>
            </w:r>
          </w:p>
        </w:tc>
        <w:tc>
          <w:tcPr/>
          <w:p>
            <w:pPr>
              <w:pStyle w:val="TableContents"/>
            </w:pPr>
            <w:r>
              <w:t>Full</w:t>
            </w:r>
          </w:p>
        </w:tc>
      </w:tr>
      <w:tr>
        <w:tc>
          <w:tcPr/>
          <w:p>
            <w:pPr>
              <w:pStyle w:val="TableContents"/>
            </w:pPr>
            <w:r>
              <w:rPr>
                <w:b/>
                <w:bCs/>
                <w:color w:val="0059D1"/>
              </w:rPr>
              <w:t>[INSERT: section]</w:t>
            </w:r>
          </w:p>
        </w:tc>
        <w:tc>
          <w:tcPr/>
          <w:p>
            <w:pPr>
              <w:pStyle w:val="TableContents"/>
            </w:pPr>
            <w:r>
              <w:t>Appendix C C-4 §91.0.1</w:t>
            </w:r>
          </w:p>
        </w:tc>
        <w:tc>
          <w:tcPr/>
          <w:p>
            <w:pPr>
              <w:pStyle w:val="TableContents"/>
            </w:pPr>
            <w:r>
              <w:t>Requires that changes to the Contractor organisation, activities, processes, or documentation that may introduce new environmental risks are assessed through the MoC process and communicated to the Company before implementation.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C-4 §91.0.3</w:t>
            </w:r>
          </w:p>
        </w:tc>
        <w:tc>
          <w:tcPr/>
          <w:p>
            <w:pPr>
              <w:pStyle w:val="TableContents"/>
            </w:pPr>
            <w:r>
              <w:t>Requires training for all project personnel in how to identify a change that triggers the MoC process and in the change management procedures, to be completed before project mobilisation.</w:t>
            </w:r>
          </w:p>
        </w:tc>
        <w:tc>
          <w:tcPr/>
          <w:p>
            <w:pPr>
              <w:pStyle w:val="TableContents"/>
            </w:pPr>
            <w:r>
              <w:t>Full</w:t>
            </w:r>
          </w:p>
        </w:tc>
      </w:tr>
      <w:tr>
        <w:tc>
          <w:tcPr/>
          <w:p>
            <w:pPr>
              <w:pStyle w:val="TableContents"/>
            </w:pPr>
            <w:r>
              <w:rPr>
                <w:b/>
                <w:bCs/>
                <w:color w:val="0059D1"/>
              </w:rPr>
              <w:t>[INSERT: section]</w:t>
            </w:r>
          </w:p>
        </w:tc>
        <w:tc>
          <w:tcPr/>
          <w:p>
            <w:pPr>
              <w:pStyle w:val="TableContents"/>
            </w:pPr>
            <w:r>
              <w:t>IFC PS1 IFC PS1 §7</w:t>
            </w:r>
          </w:p>
        </w:tc>
        <w:tc>
          <w:tcPr/>
          <w:p>
            <w:pPr>
              <w:pStyle w:val="TableContents"/>
            </w:pPr>
            <w:r>
              <w:t>Requires the management system to include a process for identifying and assessing changes that could introduce new or modified environmental and social risks, and updating risk assessments and management plans accordingly.</w:t>
            </w:r>
          </w:p>
        </w:tc>
        <w:tc>
          <w:tcPr/>
          <w:p>
            <w:pPr>
              <w:pStyle w:val="TableContents"/>
            </w:pPr>
            <w:r>
              <w:t>Full</w:t>
            </w:r>
          </w:p>
        </w:tc>
      </w:tr>
      <w:tr>
        <w:tc>
          <w:tcPr/>
          <w:p>
            <w:pPr>
              <w:pStyle w:val="TableContents"/>
            </w:pPr>
            <w:r>
              <w:rPr>
                <w:b/>
                <w:bCs/>
                <w:color w:val="0059D1"/>
              </w:rPr>
              <w:t>[INSERT: section]</w:t>
            </w:r>
          </w:p>
        </w:tc>
        <w:tc>
          <w:tcPr/>
          <w:p>
            <w:pPr>
              <w:pStyle w:val="TableContents"/>
            </w:pPr>
            <w:r>
              <w:t>IFC PS1 IFC PS1 §11</w:t>
            </w:r>
          </w:p>
        </w:tc>
        <w:tc>
          <w:tcPr/>
          <w:p>
            <w:pPr>
              <w:pStyle w:val="TableContents"/>
            </w:pPr>
            <w:r>
              <w:t>Requires that MoC records are maintained and that any corrective actions identified through the MoC process are tracked in the project action management system.</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Prevention and Control</w:t>
            </w:r>
          </w:p>
        </w:tc>
        <w:tc>
          <w:tcPr/>
          <w:p>
            <w:pPr>
              <w:pStyle w:val="TableContents"/>
            </w:pPr>
            <w:r>
              <w:t>Requires that temporary changes are assessed with the same rigour as permanent changes, with a defined expiry date set for all temporary change approvals.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