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Management Review</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14:paraId="6E516230" w14:textId="77777777" w:rsidR="003C2B09" w:rsidRDefault="003C2B09" w:rsidP="003C2B09"/>
    <w:p w14:paraId="4330B982" w14:textId="77777777" w:rsidR="00FC1013" w:rsidRDefault="00FC1013"/>
    <w:p w14:paraId="3F49839F" w14:textId="77777777" w:rsidR="00FC1013" w:rsidRDefault="00FC1013"/>
    <w:p w14:paraId="024B4AF9" w14:textId="77777777" w:rsidR="00FC1013" w:rsidRDefault="00FC1013"/>
    <w:p w14:paraId="1D87EEA0" w14:textId="77777777" w:rsidR="00FC1013" w:rsidRDefault="00FC1013"/>
    <w:p w14:paraId="02DA4480" w14:textId="77777777" w:rsidR="00FC1013" w:rsidRDefault="00FC1013"/>
    <w:p w14:paraId="0A829ADA" w14:textId="77777777" w:rsidR="00FC1013" w:rsidRDefault="00FC1013"/>
    <w:p w14:paraId="4F7B4116" w14:textId="77777777" w:rsidR="00FC1013" w:rsidRDefault="00FC1013"/>
    <w:p w14:paraId="467CDA0D" w14:textId="77777777" w:rsidR="00FC1013" w:rsidRDefault="00FC1013"/>
    <w:p w14:paraId="3EC5F2F3" w14:textId="77777777" w:rsidR="00FC1013" w:rsidRDefault="00FC1013"/>
    <w:p w14:paraId="4B062008" w14:textId="77777777" w:rsidR="00FC1013" w:rsidRDefault="00FC1013"/>
    <w:p w14:paraId="45079EE2" w14:textId="77777777" w:rsidR="00FC1013" w:rsidRDefault="00FC1013"/>
    <w:p w14:paraId="506724FC" w14:textId="77777777" w:rsidR="00FC1013" w:rsidRDefault="00FC1013"/>
    <w:p w14:paraId="2002AC11" w14:textId="77777777" w:rsidR="00FC1013" w:rsidRDefault="00FC1013"/>
    <w:p w14:paraId="218FDDD2" w14:textId="77777777" w:rsidR="00FC1013" w:rsidRDefault="00FC1013"/>
    <w:p w14:paraId="273D8C5E" w14:textId="77777777" w:rsidR="00FC1013" w:rsidRDefault="00FC1013"/>
    <w:p w14:paraId="7F3ECC22" w14:textId="77777777" w:rsidR="00FC1013" w:rsidRDefault="00FC1013"/>
    <w:p w14:paraId="272A3A53" w14:textId="77777777" w:rsidR="00FC1013" w:rsidRDefault="00FC1013"/>
    <w:p w14:paraId="1A0C534D" w14:textId="77777777" w:rsidR="00FC1013" w:rsidRDefault="00FC1013"/>
    <w:p w14:paraId="65E47FF2" w14:textId="77777777" w:rsidR="00FC1013" w:rsidRDefault="00FC1013"/>
    <w:p w14:paraId="0A0D51FD" w14:textId="77777777" w:rsidR="00FC1013" w:rsidRDefault="00FC1013"/>
    <w:p w14:paraId="3C0F200A" w14:textId="77777777" w:rsidR="00FC1013" w:rsidRDefault="00FC1013"/>
    <w:p w14:paraId="2B4D0443" w14:textId="77777777" w:rsidR="00FC1013" w:rsidRDefault="00FC1013"/>
    <w:p w14:paraId="44A95602" w14:textId="77777777" w:rsidR="00FC1013" w:rsidRDefault="00FC1013"/>
    <w:p w14:paraId="2F555222" w14:textId="77777777" w:rsidR="00FC1013" w:rsidRDefault="00FC1013"/>
    <w:p w14:paraId="773CC029" w14:textId="77777777" w:rsidR="00FC1013" w:rsidRDefault="00FC1013"/>
    <w:p w14:paraId="70A4CE9E" w14:textId="77777777" w:rsidR="00FC1013" w:rsidRDefault="00FC1013"/>
    <w:p w14:paraId="7D9768A0" w14:textId="77777777" w:rsidR="00FC1013" w:rsidRDefault="00FC1013"/>
    <w:tbl>
      <w:tblPr>
        <w:tblStyle w:val="Holdingtable"/>
        <w:tblW w:w="9622" w:type="dxa"/>
        <w:tblLayout w:type="fixed"/>
        <w:tblCellMar>
          <w:left w:w="0" w:type="dxa"/>
          <w:right w:w="0" w:type="dxa"/>
        </w:tblCellMar>
        <w:tblLook w:val="04A0" w:firstRow="1" w:lastRow="0" w:firstColumn="1" w:lastColumn="0" w:noHBand="0" w:noVBand="1"/>
      </w:tblPr>
      <w:tblGrid>
        <w:gridCol w:w="3207"/>
        <w:gridCol w:w="1895"/>
        <w:gridCol w:w="4520"/>
      </w:tblGrid>
      <w:tr w:rsidR="00FC1013" w14:paraId="6E9D92D4" w14:textId="77777777">
        <w:tc>
          <w:tcPr>
            <w:tcW w:w="3207" w:type="dxa"/>
          </w:tcPr>
          <w:p w14:paraId="3495AB40" w14:textId="77777777" w:rsidR="00FC1013" w:rsidRDefault="004C465B">
            <w:pPr>
              <w:rPr>
                <w:rFonts w:ascii="Arial" w:eastAsia="Arial" w:hAnsi="Arial"/>
              </w:rPr>
            </w:pPr>
            <w:r>
              <w:rPr>
                <w:rFonts w:eastAsia="Arial"/>
                <w:b/>
                <w:bCs/>
              </w:rPr>
              <w:t>Document Number</w:t>
            </w:r>
          </w:p>
        </w:tc>
        <w:tc>
          <w:tcPr>
            <w:tcW w:w="1895" w:type="dxa"/>
          </w:tcPr>
          <w:p w14:paraId="6CD78A18" w14:textId="77777777" w:rsidR="00FC1013" w:rsidRDefault="004C465B">
            <w:pPr>
              <w:rPr>
                <w:b/>
                <w:bCs/>
              </w:rPr>
            </w:pPr>
            <w:r>
              <w:rPr>
                <w:rFonts w:eastAsia="Arial"/>
                <w:b/>
                <w:bCs/>
              </w:rPr>
              <w:t>Revision</w:t>
            </w:r>
          </w:p>
        </w:tc>
        <w:tc>
          <w:tcPr>
            <w:tcW w:w="4520" w:type="dxa"/>
          </w:tcPr>
          <w:p w14:paraId="23D99E60" w14:textId="77777777" w:rsidR="00FC1013" w:rsidRDefault="004C465B">
            <w:pPr>
              <w:rPr>
                <w:b/>
                <w:bCs/>
              </w:rPr>
            </w:pPr>
            <w:r>
              <w:rPr>
                <w:rFonts w:eastAsia="Arial"/>
                <w:b/>
                <w:bCs/>
              </w:rPr>
              <w:t>Date</w:t>
            </w:r>
          </w:p>
        </w:tc>
      </w:tr>
      <w:tr w:rsidR="00FC1013" w14:paraId="153840A8" w14:textId="77777777">
        <w:trPr>
          <w:trHeight w:val="466"/>
        </w:trPr>
        <w:tc>
          <w:tcPr>
            <w:tcW w:w="3207" w:type="dxa"/>
          </w:tcPr>
          <w:p w14:paraId="2E16B392" w14:textId="77777777" w:rsidR="00FC1013" w:rsidRDefault="004C465B">
            <w:pPr>
              <w:rPr>
                <w:rFonts w:ascii="Arial" w:eastAsia="Arial" w:hAnsi="Arial"/>
              </w:rPr>
            </w:pPr>
            <w:r>
              <w:rPr>
                <w:rFonts w:eastAsia="Arial"/>
              </w:rPr>
              <w:t>RTPR-HSE-PRO-XXXX</w:t>
            </w:r>
          </w:p>
        </w:tc>
        <w:tc>
          <w:tcPr>
            <w:tcW w:w="1895" w:type="dxa"/>
          </w:tcPr>
          <w:p w14:paraId="37F3B8E3" w14:textId="77777777" w:rsidR="00FC1013" w:rsidRDefault="004C465B">
            <w:pPr>
              <w:rPr>
                <w:rFonts w:ascii="Arial" w:eastAsia="Arial" w:hAnsi="Arial"/>
              </w:rPr>
            </w:pPr>
            <w:r>
              <w:rPr>
                <w:rFonts w:eastAsia="Arial"/>
              </w:rPr>
              <w:t>Rev 0</w:t>
            </w:r>
          </w:p>
        </w:tc>
        <w:tc>
          <w:tcPr>
            <w:tcW w:w="4520" w:type="dxa"/>
          </w:tcPr>
          <w:p w14:paraId="1C08B5EF" w14:textId="77777777" w:rsidR="00FC1013" w:rsidRDefault="00C46050">
            <w:pPr>
              <w:rPr>
                <w:rFonts w:ascii="Arial" w:eastAsia="Arial" w:hAnsi="Arial"/>
              </w:rPr>
            </w:pPr>
            <w:r>
              <w:rPr>
                <w:rFonts w:eastAsia="Arial"/>
              </w:rPr>
              <w:t>30/06/2026</w:t>
            </w:r>
          </w:p>
        </w:tc>
      </w:tr>
    </w:tbl>
    <w:p w14:paraId="2A1534AA" w14:textId="77777777" w:rsidR="00FC1013" w:rsidRDefault="00FC1013"/>
    <w:p w14:paraId="0A922A1D" w14:textId="77777777" w:rsidR="00FC1013" w:rsidRDefault="00FC1013"/>
    <w:tbl>
      <w:tblPr>
        <w:tblStyle w:val="TableGrid"/>
        <w:tblW w:w="9597" w:type="dxa"/>
        <w:tblInd w:w="-10" w:type="dxa"/>
        <w:tblLayout w:type="fixed"/>
        <w:tblLook w:val="04A0" w:firstRow="1" w:lastRow="0" w:firstColumn="1" w:lastColumn="0" w:noHBand="0" w:noVBand="1"/>
      </w:tblPr>
      <w:tblGrid>
        <w:gridCol w:w="1419"/>
        <w:gridCol w:w="1847"/>
        <w:gridCol w:w="3260"/>
        <w:gridCol w:w="3071"/>
      </w:tblGrid>
      <w:tr w:rsidR="00FC1013" w14:paraId="42A4BE91" w14:textId="77777777">
        <w:trPr>
          <w:trHeight w:val="340"/>
        </w:trPr>
        <w:tc>
          <w:tcPr>
            <w:tcW w:w="1418" w:type="dxa"/>
            <w:shd w:val="clear" w:color="auto" w:fill="F2F2F2" w:themeFill="background1" w:themeFillShade="F2"/>
          </w:tcPr>
          <w:p w14:paraId="24665189" w14:textId="77777777" w:rsidR="00FC1013" w:rsidRDefault="004C465B">
            <w:pPr>
              <w:rPr>
                <w:b/>
                <w:bCs/>
              </w:rPr>
            </w:pPr>
            <w:r>
              <w:rPr>
                <w:rFonts w:eastAsia="Arial"/>
                <w:b/>
                <w:bCs/>
              </w:rPr>
              <w:t xml:space="preserve"> Status</w:t>
            </w:r>
          </w:p>
        </w:tc>
        <w:tc>
          <w:tcPr>
            <w:tcW w:w="1847" w:type="dxa"/>
            <w:shd w:val="clear" w:color="auto" w:fill="F2F2F2" w:themeFill="background1" w:themeFillShade="F2"/>
          </w:tcPr>
          <w:p w14:paraId="0452B4B0" w14:textId="77777777" w:rsidR="00FC1013" w:rsidRDefault="004C465B">
            <w:pPr>
              <w:rPr>
                <w:b/>
                <w:bCs/>
              </w:rPr>
            </w:pPr>
            <w:r>
              <w:rPr>
                <w:rFonts w:eastAsia="Arial"/>
                <w:b/>
                <w:bCs/>
              </w:rPr>
              <w:t>Name</w:t>
            </w:r>
          </w:p>
        </w:tc>
        <w:tc>
          <w:tcPr>
            <w:tcW w:w="3260" w:type="dxa"/>
            <w:shd w:val="clear" w:color="auto" w:fill="F2F2F2" w:themeFill="background1" w:themeFillShade="F2"/>
          </w:tcPr>
          <w:p w14:paraId="73EA7516" w14:textId="77777777" w:rsidR="00FC1013" w:rsidRDefault="004C465B">
            <w:pPr>
              <w:rPr>
                <w:b/>
                <w:bCs/>
              </w:rPr>
            </w:pPr>
            <w:r>
              <w:rPr>
                <w:rFonts w:eastAsia="Arial"/>
                <w:b/>
                <w:bCs/>
              </w:rPr>
              <w:t>Position</w:t>
            </w:r>
          </w:p>
        </w:tc>
        <w:tc>
          <w:tcPr>
            <w:tcW w:w="3071" w:type="dxa"/>
            <w:shd w:val="clear" w:color="auto" w:fill="F2F2F2" w:themeFill="background1" w:themeFillShade="F2"/>
          </w:tcPr>
          <w:p w14:paraId="049AD331" w14:textId="77777777" w:rsidR="00FC1013" w:rsidRDefault="004C465B">
            <w:pPr>
              <w:rPr>
                <w:b/>
                <w:bCs/>
              </w:rPr>
            </w:pPr>
            <w:r>
              <w:rPr>
                <w:rFonts w:eastAsia="Arial"/>
                <w:b/>
                <w:bCs/>
              </w:rPr>
              <w:t>Signature</w:t>
            </w:r>
          </w:p>
        </w:tc>
      </w:tr>
      <w:tr w:rsidR="00FC1013" w14:paraId="17860165" w14:textId="77777777">
        <w:trPr>
          <w:trHeight w:val="340"/>
        </w:trPr>
        <w:tc>
          <w:tcPr>
            <w:tcW w:w="1418" w:type="dxa"/>
            <w:tcBorders>
              <w:bottom w:val="dotted" w:sz="4" w:space="0" w:color="000000"/>
            </w:tcBorders>
          </w:tcPr>
          <w:p w14:paraId="452F8A41" w14:textId="77777777" w:rsidR="00FC1013" w:rsidRDefault="004C465B">
            <w:pPr>
              <w:rPr>
                <w:rFonts w:ascii="Arial" w:eastAsia="Arial" w:hAnsi="Arial"/>
              </w:rPr>
            </w:pPr>
            <w:r>
              <w:rPr>
                <w:rFonts w:eastAsia="Arial"/>
              </w:rPr>
              <w:t>Originator</w:t>
            </w:r>
          </w:p>
        </w:tc>
        <w:tc>
          <w:tcPr>
            <w:tcW w:w="1847" w:type="dxa"/>
            <w:tcBorders>
              <w:bottom w:val="dotted" w:sz="4" w:space="0" w:color="000000"/>
            </w:tcBorders>
          </w:tcPr>
          <w:p w14:paraId="4BD7C7B0" w14:textId="77777777" w:rsidR="00FC1013" w:rsidRDefault="004C465B">
            <w:pPr>
              <w:rPr>
                <w:rFonts w:ascii="Arial" w:eastAsia="Arial" w:hAnsi="Arial"/>
              </w:rPr>
            </w:pPr>
            <w:r>
              <w:rPr>
                <w:rFonts w:eastAsia="Arial"/>
              </w:rPr>
              <w:t>Ashleigh Phillips</w:t>
            </w:r>
          </w:p>
        </w:tc>
        <w:tc>
          <w:tcPr>
            <w:tcW w:w="3260" w:type="dxa"/>
            <w:tcBorders>
              <w:bottom w:val="dotted" w:sz="4" w:space="0" w:color="000000"/>
            </w:tcBorders>
          </w:tcPr>
          <w:p w14:paraId="3014903E" w14:textId="77777777" w:rsidR="00FC1013" w:rsidRDefault="004C465B">
            <w:pPr>
              <w:rPr>
                <w:rFonts w:ascii="Arial" w:eastAsia="Arial" w:hAnsi="Arial"/>
              </w:rPr>
            </w:pPr>
            <w:r>
              <w:rPr>
                <w:rFonts w:eastAsia="Arial"/>
              </w:rPr>
              <w:t>[External] HSES Industry Partners</w:t>
            </w:r>
          </w:p>
        </w:tc>
        <w:tc>
          <w:tcPr>
            <w:tcW w:w="3071" w:type="dxa"/>
            <w:tcBorders>
              <w:bottom w:val="dotted" w:sz="4" w:space="0" w:color="000000"/>
            </w:tcBorders>
          </w:tcPr>
          <w:p w14:paraId="1FEE642E" w14:textId="77777777" w:rsidR="00FC1013" w:rsidRDefault="00FC1013">
            <w:pPr>
              <w:rPr>
                <w:rFonts w:ascii="Arial" w:eastAsia="Arial" w:hAnsi="Arial"/>
              </w:rPr>
            </w:pPr>
          </w:p>
        </w:tc>
      </w:tr>
      <w:tr w:rsidR="00FC1013" w14:paraId="3F76D41D" w14:textId="77777777">
        <w:trPr>
          <w:trHeight w:val="340"/>
        </w:trPr>
        <w:tc>
          <w:tcPr>
            <w:tcW w:w="1418" w:type="dxa"/>
            <w:tcBorders>
              <w:top w:val="dotted" w:sz="4" w:space="0" w:color="000000"/>
              <w:bottom w:val="dotted" w:sz="4" w:space="0" w:color="000000"/>
            </w:tcBorders>
          </w:tcPr>
          <w:p w14:paraId="0AF03A84"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D017D9F" w14:textId="77777777" w:rsidR="00FC1013" w:rsidRDefault="004C465B">
            <w:pPr>
              <w:rPr>
                <w:rFonts w:ascii="Arial" w:eastAsia="Arial" w:hAnsi="Arial"/>
              </w:rPr>
            </w:pPr>
            <w:r>
              <w:rPr>
                <w:rFonts w:eastAsia="Arial"/>
              </w:rPr>
              <w:t>Kirsten Snyman</w:t>
            </w:r>
          </w:p>
        </w:tc>
        <w:tc>
          <w:tcPr>
            <w:tcW w:w="3260" w:type="dxa"/>
            <w:tcBorders>
              <w:top w:val="dotted" w:sz="4" w:space="0" w:color="000000"/>
              <w:bottom w:val="dotted" w:sz="4" w:space="0" w:color="000000"/>
            </w:tcBorders>
          </w:tcPr>
          <w:p w14:paraId="7D3D01EB" w14:textId="77777777" w:rsidR="00FC1013" w:rsidRDefault="004C465B">
            <w:pPr>
              <w:rPr>
                <w:rFonts w:ascii="Arial" w:eastAsia="Arial" w:hAnsi="Arial"/>
              </w:rPr>
            </w:pPr>
            <w:r>
              <w:rPr>
                <w:rFonts w:eastAsia="Arial"/>
              </w:rPr>
              <w:t>Snr Manager, CSP RioProjects</w:t>
            </w:r>
          </w:p>
        </w:tc>
        <w:tc>
          <w:tcPr>
            <w:tcW w:w="3071" w:type="dxa"/>
            <w:tcBorders>
              <w:top w:val="dotted" w:sz="4" w:space="0" w:color="000000"/>
              <w:bottom w:val="dotted" w:sz="4" w:space="0" w:color="000000"/>
            </w:tcBorders>
          </w:tcPr>
          <w:p w14:paraId="287F8750" w14:textId="77777777" w:rsidR="00FC1013" w:rsidRDefault="00FC1013">
            <w:pPr>
              <w:rPr>
                <w:rFonts w:ascii="Arial" w:eastAsia="Arial" w:hAnsi="Arial"/>
              </w:rPr>
            </w:pPr>
          </w:p>
        </w:tc>
      </w:tr>
      <w:tr w:rsidR="00FC1013" w14:paraId="14D2A514" w14:textId="77777777">
        <w:trPr>
          <w:trHeight w:val="340"/>
        </w:trPr>
        <w:tc>
          <w:tcPr>
            <w:tcW w:w="1418" w:type="dxa"/>
            <w:tcBorders>
              <w:top w:val="dotted" w:sz="4" w:space="0" w:color="000000"/>
              <w:bottom w:val="dotted" w:sz="4" w:space="0" w:color="000000"/>
            </w:tcBorders>
          </w:tcPr>
          <w:p w14:paraId="4CB44463" w14:textId="77777777" w:rsidR="00FC1013" w:rsidRDefault="004C465B">
            <w:pPr>
              <w:rPr>
                <w:rFonts w:ascii="Arial" w:eastAsia="Arial" w:hAnsi="Arial"/>
              </w:rPr>
            </w:pPr>
            <w:r>
              <w:rPr>
                <w:rFonts w:eastAsia="Arial"/>
              </w:rPr>
              <w:t>Reviewed</w:t>
            </w:r>
          </w:p>
        </w:tc>
        <w:tc>
          <w:tcPr>
            <w:tcW w:w="1847" w:type="dxa"/>
            <w:tcBorders>
              <w:top w:val="dotted" w:sz="4" w:space="0" w:color="000000"/>
              <w:bottom w:val="dotted" w:sz="4" w:space="0" w:color="000000"/>
            </w:tcBorders>
          </w:tcPr>
          <w:p w14:paraId="3AB05A5D" w14:textId="77777777" w:rsidR="00FC1013" w:rsidRDefault="004C465B">
            <w:pPr>
              <w:rPr>
                <w:rFonts w:ascii="Arial" w:eastAsia="Arial" w:hAnsi="Arial"/>
              </w:rPr>
            </w:pPr>
            <w:r>
              <w:rPr>
                <w:rFonts w:eastAsia="Arial"/>
              </w:rPr>
              <w:t>Matt Moroz</w:t>
            </w:r>
          </w:p>
        </w:tc>
        <w:tc>
          <w:tcPr>
            <w:tcW w:w="3260" w:type="dxa"/>
            <w:tcBorders>
              <w:top w:val="dotted" w:sz="4" w:space="0" w:color="000000"/>
              <w:bottom w:val="dotted" w:sz="4" w:space="0" w:color="000000"/>
            </w:tcBorders>
          </w:tcPr>
          <w:p w14:paraId="1A8777CE" w14:textId="77777777" w:rsidR="00FC1013" w:rsidRDefault="004C465B">
            <w:pPr>
              <w:rPr>
                <w:rFonts w:ascii="Arial" w:eastAsia="Arial" w:hAnsi="Arial"/>
              </w:rPr>
            </w:pPr>
            <w:r>
              <w:rPr>
                <w:rFonts w:eastAsia="Arial"/>
              </w:rPr>
              <w:t>Snr Manager, HSES RioProjects</w:t>
            </w:r>
          </w:p>
        </w:tc>
        <w:tc>
          <w:tcPr>
            <w:tcW w:w="3071" w:type="dxa"/>
            <w:tcBorders>
              <w:top w:val="dotted" w:sz="4" w:space="0" w:color="000000"/>
              <w:bottom w:val="dotted" w:sz="4" w:space="0" w:color="000000"/>
            </w:tcBorders>
          </w:tcPr>
          <w:p w14:paraId="5A0BE164" w14:textId="77777777" w:rsidR="00FC1013" w:rsidRDefault="00FC1013">
            <w:pPr>
              <w:rPr>
                <w:rFonts w:ascii="Arial" w:eastAsia="Arial" w:hAnsi="Arial"/>
              </w:rPr>
            </w:pPr>
          </w:p>
        </w:tc>
      </w:tr>
      <w:tr w:rsidR="00FC1013" w14:paraId="52143E74" w14:textId="77777777">
        <w:trPr>
          <w:trHeight w:val="340"/>
        </w:trPr>
        <w:tc>
          <w:tcPr>
            <w:tcW w:w="1418" w:type="dxa"/>
            <w:tcBorders>
              <w:top w:val="dotted" w:sz="4" w:space="0" w:color="000000"/>
            </w:tcBorders>
          </w:tcPr>
          <w:p w14:paraId="7013AB62" w14:textId="77777777" w:rsidR="00FC1013" w:rsidRDefault="004C465B">
            <w:pPr>
              <w:rPr>
                <w:rFonts w:ascii="Arial" w:eastAsia="Arial" w:hAnsi="Arial"/>
              </w:rPr>
            </w:pPr>
            <w:r>
              <w:rPr>
                <w:rFonts w:eastAsia="Arial"/>
              </w:rPr>
              <w:t>Approved</w:t>
            </w:r>
          </w:p>
        </w:tc>
        <w:tc>
          <w:tcPr>
            <w:tcW w:w="1847" w:type="dxa"/>
            <w:tcBorders>
              <w:top w:val="dotted" w:sz="4" w:space="0" w:color="000000"/>
            </w:tcBorders>
          </w:tcPr>
          <w:p w14:paraId="3DA2B481" w14:textId="77777777" w:rsidR="00FC1013" w:rsidRDefault="004C465B">
            <w:pPr>
              <w:rPr>
                <w:rFonts w:ascii="Arial" w:eastAsia="Arial" w:hAnsi="Arial"/>
              </w:rPr>
            </w:pPr>
            <w:r>
              <w:rPr>
                <w:rFonts w:eastAsia="Arial"/>
              </w:rPr>
              <w:t>Greg Doyle</w:t>
            </w:r>
          </w:p>
        </w:tc>
        <w:tc>
          <w:tcPr>
            <w:tcW w:w="3260" w:type="dxa"/>
            <w:tcBorders>
              <w:top w:val="dotted" w:sz="4" w:space="0" w:color="000000"/>
            </w:tcBorders>
          </w:tcPr>
          <w:p w14:paraId="25F393E7" w14:textId="77777777" w:rsidR="00FC1013" w:rsidRDefault="004C465B">
            <w:pPr>
              <w:rPr>
                <w:rFonts w:ascii="Arial" w:eastAsia="Arial" w:hAnsi="Arial"/>
              </w:rPr>
            </w:pPr>
            <w:r>
              <w:rPr>
                <w:rFonts w:eastAsia="Arial"/>
              </w:rPr>
              <w:t>Vice President HSESC, SD&amp;T</w:t>
            </w:r>
          </w:p>
        </w:tc>
        <w:tc>
          <w:tcPr>
            <w:tcW w:w="3071" w:type="dxa"/>
            <w:tcBorders>
              <w:top w:val="dotted" w:sz="4" w:space="0" w:color="000000"/>
            </w:tcBorders>
          </w:tcPr>
          <w:p w14:paraId="0C7DD2FF" w14:textId="77777777" w:rsidR="00FC1013" w:rsidRDefault="00FC1013">
            <w:pPr>
              <w:rPr>
                <w:rFonts w:ascii="Arial" w:eastAsia="Arial" w:hAnsi="Arial"/>
              </w:rPr>
            </w:pPr>
          </w:p>
        </w:tc>
      </w:tr>
    </w:tbl>
    <w:p w14:paraId="6DACBC5C" w14:textId="77777777" w:rsidR="00FC1013" w:rsidRDefault="00FC1013"/>
    <w:p w14:paraId="16C2F58F" w14:textId="77777777" w:rsidR="00FC1013" w:rsidRPr="007B6B9B" w:rsidRDefault="004C465B">
      <w:pPr>
        <w:rPr>
          <w:rFonts w:asciiTheme="majorHAnsi" w:eastAsiaTheme="majorEastAsia" w:hAnsiTheme="majorHAnsi" w:cstheme="majorBidi"/>
          <w:b/>
          <w:szCs w:val="32"/>
        </w:rPr>
      </w:pPr>
      <w:r>
        <w:br w:type="page"/>
      </w: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14:paraId="7FF867E7" w14:textId="77777777" w:rsidR="00FC1013" w:rsidRDefault="00FC1013"/>
    <w:p w14:paraId="77B70838" w14:textId="77777777" w:rsidR="00FC1013" w:rsidRDefault="00FC1013"/>
    <w:p w14:paraId="43C33D8F" w14:textId="77777777" w:rsidR="00FC1013" w:rsidRDefault="00FC1013"/>
    <w:p w14:paraId="7DE44C64" w14:textId="472472E9" w:rsidR="00F92E88" w:rsidRPr="00F92E88" w:rsidRDefault="004C465B" w:rsidP="00F92E88">
      <w:r>
        <w:br w:type="page"/>
      </w:r>
    </w:p>
    <w:p w14:paraId="3F00B330" w14:textId="077DD352" w:rsidR="004C5CA9" w:rsidRDefault="00B03658" w:rsidP="000726E8">
      <w:pPr>
        <w:pStyle w:val="Heading1Numbered"/>
      </w:pPr>
      <w:bookmarkStart w:id="0" w:name="_Toc232534348"/>
      <w:r>
        <w:lastRenderedPageBreak/>
        <w:t>Heading</w:t>
      </w:r>
      <w:bookmarkEnd w:id="0"/>
    </w:p>
    <w:tbl>
      <w:tblPr>
        <w:tblStyle w:val="TableOption1"/>
        <w:tblW w:type="pct" w:w="5000"/>
      </w:tblPr>
      <w:tr>
        <w:tc>
          <w:tcPr>
            <w:shd w:val="clear" w:color="auto" w:fill="FFF2CC"/>
          </w:tcPr>
          <w:p>
            <w:pPr>
              <w:pStyle w:val="Instructions"/>
            </w:pPr>
            <w:r>
              <w:rPr>
                <w:b/>
                <w:bCs/>
                <w:color w:val="C55A11"/>
              </w:rPr>
              <w:t>INSTRUCTION: Read, action and delete this box before this procedure is issued. Delete the entire Section 0 before this document is submitted for review or approval. It must not appear in any approved version of this procedure.</w:t>
            </w:r>
          </w:p>
        </w:tc>
      </w:tr>
    </w:tbl>
    <w:p>
      <w:pPr>
        <w:pStyle w:val="Default"/>
      </w:pPr>
    </w:p>
    <w:p>
      <w:pPr>
        <w:pStyle w:val="Heading1Numbered"/>
      </w:pPr>
      <w:r>
        <w:t>0  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Heading2Numbered"/>
      </w:pPr>
      <w:r>
        <w:t>0.1  Purpose of This Template</w:t>
      </w:r>
    </w:p>
    <w:p>
      <w:pPr>
        <w:pStyle w:val="NormalNumberedtext"/>
      </w:pPr>
      <w:r>
        <w:t>This template supports the preparation of a project-specific Management Review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Heading2Numbered"/>
      </w:pPr>
      <w:r>
        <w:t>0.2  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Heading2Numbered"/>
      </w:pPr>
      <w:r>
        <w:t>0.3  Pre-Issue Checklist</w:t>
      </w:r>
    </w:p>
    <w:p>
      <w:pPr>
        <w:pStyle w:val="NormalNumberedtext"/>
      </w:pPr>
      <w:r>
        <w:t>Before submitting this document for review or approval, confirm all items below are complete, then delete this checklist together with the rest of Section 0.</w:t>
      </w:r>
    </w:p>
    <w:tbl>
      <w:tblPr>
        <w:tblStyle w:val="TableOption2"/>
        <w:tblW w:type="pct" w:w="5000"/>
      </w:tblPr>
      <w:tr>
        <w:trPr>
          <w:tblHeader/>
        </w:trPr>
        <w:tc>
          <w:tcPr>
            <w:shd w:val="clear" w:color="auto" w:fill="1F3864"/>
          </w:tcPr>
          <w:p>
            <w:pPr>
              <w:pStyle w:val="TableContents"/>
            </w:pPr>
            <w:r>
              <w:rPr>
                <w:b/>
                <w:bCs/>
                <w:color w:val="FFFFFF"/>
              </w:rPr>
              <w:t>Check</w:t>
            </w:r>
          </w:p>
        </w:tc>
        <w:tc>
          <w:tcPr>
            <w:shd w:val="clear" w:color="auto" w:fill="1F3864"/>
          </w:tcPr>
          <w:p>
            <w:pPr>
              <w:pStyle w:val="TableContents"/>
            </w:pPr>
            <w:r>
              <w:rPr>
                <w:b/>
                <w:bCs/>
                <w:color w:val="FFFFFF"/>
              </w:rPr>
              <w:t>Complete?</w:t>
            </w:r>
          </w:p>
        </w:tc>
      </w:tr>
      <w:tr>
        <w:tc>
          <w:tcPr/>
          <w:p>
            <w:pPr>
              <w:pStyle w:val="TableContents"/>
            </w:pPr>
            <w:r>
              <w:t>Cover page is complete including document number, revision, date and signatories</w:t>
            </w:r>
          </w:p>
        </w:tc>
        <w:tc>
          <w:tcPr/>
          <w:p>
            <w:pPr>
              <w:pStyle w:val="TableContents"/>
            </w:pPr>
            <w:r>
              <w:t>☐</w:t>
            </w:r>
          </w:p>
        </w:tc>
      </w:tr>
      <w:tr>
        <w:tc>
          <w:tcPr/>
          <w:p>
            <w:pPr>
              <w:pStyle w:val="TableContents"/>
            </w:pPr>
            <w:r>
              <w:t>All [INSERT:] placeholder text has been replaced with project-specific information</w:t>
            </w:r>
          </w:p>
        </w:tc>
        <w:tc>
          <w:tcPr/>
          <w:p>
            <w:pPr>
              <w:pStyle w:val="TableContents"/>
            </w:pPr>
            <w:r>
              <w:t>☐</w:t>
            </w:r>
          </w:p>
        </w:tc>
      </w:tr>
      <w:tr>
        <w:tc>
          <w:tcPr/>
          <w:p>
            <w:pPr>
              <w:pStyle w:val="TableContents"/>
            </w:pPr>
            <w:r>
              <w:t>All instruction boxes have been read, actioned and deleted</w:t>
            </w:r>
          </w:p>
        </w:tc>
        <w:tc>
          <w:tcPr/>
          <w:p>
            <w:pPr>
              <w:pStyle w:val="TableContents"/>
            </w:pPr>
            <w:r>
              <w:t>☐</w:t>
            </w:r>
          </w:p>
        </w:tc>
      </w:tr>
      <w:tr>
        <w:tc>
          <w:tcPr/>
          <w:p>
            <w:pPr>
              <w:pStyle w:val="TableContents"/>
            </w:pPr>
            <w:r>
              <w:t>All role titles match the actual project organisational structure</w:t>
            </w:r>
          </w:p>
        </w:tc>
        <w:tc>
          <w:tcPr/>
          <w:p>
            <w:pPr>
              <w:pStyle w:val="TableContents"/>
            </w:pPr>
            <w:r>
              <w:t>☐</w:t>
            </w:r>
          </w:p>
        </w:tc>
      </w:tr>
      <w:tr>
        <w:tc>
          <w:tcPr/>
          <w:p>
            <w:pPr>
              <w:pStyle w:val="TableContents"/>
            </w:pPr>
            <w:r>
              <w:t>All system and register locations are confirmed and inserted</w:t>
            </w:r>
          </w:p>
        </w:tc>
        <w:tc>
          <w:tcPr/>
          <w:p>
            <w:pPr>
              <w:pStyle w:val="TableContents"/>
            </w:pPr>
            <w:r>
              <w:t>☐</w:t>
            </w:r>
          </w:p>
        </w:tc>
      </w:tr>
      <w:tr>
        <w:tc>
          <w:tcPr/>
          <w:p>
            <w:pPr>
              <w:pStyle w:val="TableContents"/>
            </w:pPr>
            <w:r>
              <w:t>All workshop and meeting dates are confirmed against the project programme</w:t>
            </w:r>
          </w:p>
        </w:tc>
        <w:tc>
          <w:tcPr/>
          <w:p>
            <w:pPr>
              <w:pStyle w:val="TableContents"/>
            </w:pPr>
            <w:r>
              <w:t>☐</w:t>
            </w:r>
          </w:p>
        </w:tc>
      </w:tr>
      <w:tr>
        <w:tc>
          <w:tcPr/>
          <w:p>
            <w:pPr>
              <w:pStyle w:val="TableContents"/>
            </w:pPr>
            <w:r>
              <w:t>Related procedures in the References section are issued or being issued concurrently</w:t>
            </w:r>
          </w:p>
        </w:tc>
        <w:tc>
          <w:tcPr/>
          <w:p>
            <w:pPr>
              <w:pStyle w:val="TableContents"/>
            </w:pPr>
            <w:r>
              <w:t>☐</w:t>
            </w:r>
          </w:p>
        </w:tc>
      </w:tr>
      <w:tr>
        <w:tc>
          <w:tcPr/>
          <w:p>
            <w:pPr>
              <w:pStyle w:val="TableContents"/>
            </w:pPr>
            <w:r>
              <w:t>Section 17 (Source Requirements Traceability) will be deleted before final issue</w:t>
            </w:r>
          </w:p>
        </w:tc>
        <w:tc>
          <w:tcPr/>
          <w:p>
            <w:pPr>
              <w:pStyle w:val="TableContents"/>
            </w:pPr>
            <w:r>
              <w:t>☐</w:t>
            </w:r>
          </w:p>
        </w:tc>
      </w:tr>
      <w:tr>
        <w:tc>
          <w:tcPr/>
          <w:p>
            <w:pPr>
              <w:pStyle w:val="TableContents"/>
            </w:pPr>
            <w:r>
              <w:t>Section 16 (Project Localisation Edits) has been populated with all changes made during preparation</w:t>
            </w:r>
          </w:p>
        </w:tc>
        <w:tc>
          <w:tcPr/>
          <w:p>
            <w:pPr>
              <w:pStyle w:val="TableContents"/>
            </w:pPr>
            <w:r>
              <w:t>☐</w:t>
            </w:r>
          </w:p>
        </w:tc>
      </w:tr>
      <w:tr>
        <w:tc>
          <w:tcPr/>
          <w:p>
            <w:pPr>
              <w:pStyle w:val="TableContents"/>
            </w:pPr>
            <w:r>
              <w:t>Section 0 has been deleted in its entirety</w:t>
            </w:r>
          </w:p>
        </w:tc>
        <w:tc>
          <w:tcPr/>
          <w:p>
            <w:pPr>
              <w:pStyle w:val="TableContents"/>
            </w:pPr>
            <w:r>
              <w:t>☐</w:t>
            </w:r>
          </w:p>
        </w:tc>
      </w:tr>
    </w:tbl>
    <w:p>
      <w:pPr>
        <w:pStyle w:val="Default"/>
      </w:pPr>
    </w:p>
    <w:p>
      <w:pPr>
        <w:pStyle w:val="Heading1Numbered"/>
      </w:pPr>
      <w:r>
        <w:t>1  Purpose and Scope</w:t>
      </w:r>
    </w:p>
    <w:p>
      <w:pPr>
        <w:pStyle w:val="NormalNumberedtext"/>
      </w:pPr>
      <w:r>
        <w:t>This section defines the purpose of this procedure, the project lifecycle phases within scope, and the obligations it establishes from project Execution through to Handover.</w:t>
      </w:r>
    </w:p>
    <w:p>
      <w:pPr>
        <w:pStyle w:val="Heading2Numbered"/>
      </w:pPr>
      <w:r>
        <w:t>1.1  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conducting periodic management reviews of the owner-led project HSESC management system to ensure its continuing suitability, adequacy, and effectiveness — and to drive documented continuous improvement in HSESC performance.</w:t>
      </w:r>
    </w:p>
    <w:p>
      <w:pPr>
        <w:pStyle w:val="Heading2Numbered"/>
      </w:pPr>
      <w:r>
        <w:t>1.2  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management review from project Execution through to Handover.</w:t>
      </w:r>
    </w:p>
    <w:p>
      <w:pPr>
        <w:pStyle w:val="NormalNumberedtext"/>
      </w:pPr>
      <w:r>
        <w:rPr>
          <w:b/>
          <w:bCs/>
          <w:color w:val="0059D1"/>
        </w:rPr>
        <w:t>[INSERT: scope qualifications] — note any activities, phases, or locations excluded from this procedure's scope</w:t>
      </w:r>
    </w:p>
    <w:p>
      <w:pPr>
        <w:pStyle w:val="Heading1Numbered"/>
      </w:pPr>
      <w:r>
        <w:t>2  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tbl>
      <w:tblPr>
        <w:tblStyle w:val="TableOption2"/>
        <w:tblW w:type="pct" w:w="5000"/>
      </w:tblPr>
      <w:tr>
        <w:trPr>
          <w:tblHeader/>
        </w:trPr>
        <w:tc>
          <w:tcPr>
            <w:shd w:val="clear" w:color="auto" w:fill="1F3864"/>
          </w:tcPr>
          <w:p>
            <w:pPr>
              <w:pStyle w:val="TableContents"/>
            </w:pPr>
            <w:r>
              <w:rPr>
                <w:b/>
                <w:bCs/>
                <w:color w:val="FFFFFF"/>
              </w:rPr>
              <w:t>Responsibilities</w:t>
            </w:r>
          </w:p>
        </w:tc>
        <w:tc>
          <w:tcPr>
            <w:shd w:val="clear" w:color="auto" w:fill="1F3864"/>
          </w:tcPr>
          <w:p>
            <w:pPr>
              <w:pStyle w:val="TableContents"/>
            </w:pPr>
            <w:r>
              <w:rPr>
                <w:b/>
                <w:bCs/>
                <w:color w:val="FFFFFF"/>
              </w:rPr>
              <w:t>Company</w:t>
            </w:r>
          </w:p>
        </w:tc>
        <w:tc>
          <w:tcPr>
            <w:shd w:val="clear" w:color="auto" w:fill="1F3864"/>
          </w:tcPr>
          <w:p>
            <w:pPr>
              <w:pStyle w:val="TableContents"/>
            </w:pPr>
            <w:r>
              <w:rPr>
                <w:b/>
                <w:bCs/>
                <w:color w:val="FFFFFF"/>
              </w:rPr>
              <w:t>Contractor</w:t>
            </w:r>
          </w:p>
        </w:tc>
        <w:tc>
          <w:tcPr>
            <w:shd w:val="clear" w:color="auto" w:fill="1F3864"/>
          </w:tcPr>
          <w:p>
            <w:pPr>
              <w:pStyle w:val="TableContents"/>
            </w:pPr>
            <w:r>
              <w:rPr>
                <w:b/>
                <w:bCs/>
                <w:color w:val="FFFFFF"/>
              </w:rPr>
              <w:t>Section</w:t>
            </w:r>
          </w:p>
        </w:tc>
      </w:tr>
      <w:tr>
        <w:tc>
          <w:tcPr>
            <w:gridSpan w:val="4"/>
          </w:tcPr>
          <w:p>
            <w:pPr>
              <w:pStyle w:val="TableHeading"/>
            </w:pPr>
            <w:r>
              <w:t>Project Management</w:t>
            </w:r>
          </w:p>
        </w:tc>
      </w:tr>
      <w:tr>
        <w:tc>
          <w:tcPr/>
          <w:p>
            <w:pPr>
              <w:pStyle w:val="TableBulletPoints"/>
            </w:pPr>
            <w:r>
              <w:t>Holds overall accountability for project compliance with this procedure and approves this procedure and any material amendment.</w:t>
            </w:r>
          </w:p>
        </w:tc>
        <w:tc>
          <w:tcPr/>
          <w:p>
            <w:pPr>
              <w:pStyle w:val="TableContents"/>
            </w:pPr>
            <w:r>
              <w:rPr>
                <w:b/>
                <w:bCs/>
              </w:rPr>
              <w:t>✓</w:t>
            </w:r>
          </w:p>
        </w:tc>
        <w:tc>
          <w:tcPr/>
          <w:p>
            <w:pPr>
              <w:pStyle w:val="TableContents"/>
            </w:pPr>
          </w:p>
        </w:tc>
        <w:tc>
          <w:tcPr/>
          <w:p>
            <w:pPr>
              <w:pStyle w:val="TableContents"/>
            </w:pPr>
          </w:p>
        </w:tc>
      </w:tr>
      <w:tr>
        <w:tc>
          <w:tcPr/>
          <w:p>
            <w:pPr>
              <w:pStyle w:val="TableBulletPoints"/>
            </w:pPr>
            <w:r>
              <w:t>Accepts residual risk at the highest risk class level and authorises continuation where escalation is required.</w:t>
            </w:r>
          </w:p>
        </w:tc>
        <w:tc>
          <w:tcPr/>
          <w:p>
            <w:pPr>
              <w:pStyle w:val="TableContents"/>
            </w:pPr>
            <w:r>
              <w:rPr>
                <w:b/>
                <w:bCs/>
              </w:rPr>
              <w:t>✓</w:t>
            </w:r>
          </w:p>
        </w:tc>
        <w:tc>
          <w:tcPr/>
          <w:p>
            <w:pPr>
              <w:pStyle w:val="TableContents"/>
            </w:pP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HSE/CSP Management</w:t>
            </w:r>
          </w:p>
        </w:tc>
      </w:tr>
      <w:tr>
        <w:tc>
          <w:tcPr/>
          <w:p>
            <w:pPr>
              <w:pStyle w:val="TableBulletPoints"/>
            </w:pPr>
            <w:r>
              <w:t>Maintains and implements this procedure and confirms all activities meet its requirements before work proceeds.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and approves all required assessments, plans, and registers produced under this procedure.</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performance against this procedure at the agreed project HSESC performance meeting.</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Reviews performance data, identifies trends, and incorporates systemic findings into corrective action programmes.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Frontline Supervision</w:t>
            </w:r>
          </w:p>
        </w:tc>
      </w:tr>
      <w:tr>
        <w:tc>
          <w:tcPr/>
          <w:p>
            <w:pPr>
              <w:pStyle w:val="TableBulletPoints"/>
            </w:pPr>
            <w:r>
              <w:t>Ensures work crew compliance with this procedure before and during all relevant task executions.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Stops work when the requirements of this procedure cannot be met and notifies the HSESC Manager.</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Confirms all personnel under their supervision are trained and competent before commencing relevant activities.</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r>
        <w:tc>
          <w:tcPr>
            <w:gridSpan w:val="4"/>
          </w:tcPr>
          <w:p>
            <w:pPr>
              <w:pStyle w:val="TableHeading"/>
            </w:pPr>
            <w:r>
              <w:t>All Project Personnel / Workers</w:t>
            </w:r>
          </w:p>
        </w:tc>
      </w:tr>
      <w:tr>
        <w:tc>
          <w:tcPr/>
          <w:p>
            <w:pPr>
              <w:pStyle w:val="TableBulletPoints"/>
            </w:pPr>
            <w:r>
              <w:t>Complies with the requirements of this procedure in all relevant work activities.</w:t>
            </w:r>
          </w:p>
        </w:tc>
        <w:tc>
          <w:tcPr/>
          <w:p>
            <w:pPr>
              <w:pStyle w:val="TableContents"/>
            </w:pPr>
            <w:r>
              <w:rPr>
                <w:b/>
                <w:bCs/>
              </w:rPr>
              <w:t>✓</w:t>
            </w:r>
          </w:p>
        </w:tc>
        <w:tc>
          <w:tcPr/>
          <w:p>
            <w:pPr>
              <w:pStyle w:val="TableContents"/>
            </w:pPr>
            <w:r>
              <w:rPr>
                <w:b/>
                <w:bCs/>
              </w:rPr>
              <w:t>✓</w:t>
            </w:r>
          </w:p>
        </w:tc>
        <w:tc>
          <w:tcPr/>
          <w:p>
            <w:pPr>
              <w:pStyle w:val="TableContents"/>
            </w:pPr>
          </w:p>
        </w:tc>
      </w:tr>
      <w:tr>
        <w:tc>
          <w:tcPr/>
          <w:p>
            <w:pPr>
              <w:pStyle w:val="TableBulletPoints"/>
            </w:pPr>
            <w:r>
              <w:t>Reports any non-compliance with this procedure immediately to their supervisor.</w:t>
            </w:r>
          </w:p>
        </w:tc>
        <w:tc>
          <w:tcPr/>
          <w:p>
            <w:pPr>
              <w:pStyle w:val="TableContents"/>
            </w:pPr>
            <w:r>
              <w:rPr>
                <w:b/>
                <w:bCs/>
              </w:rPr>
              <w:t>✓</w:t>
            </w:r>
          </w:p>
        </w:tc>
        <w:tc>
          <w:tcPr/>
          <w:p>
            <w:pPr>
              <w:pStyle w:val="TableContents"/>
            </w:pPr>
            <w:r>
              <w:rPr>
                <w:b/>
                <w:bCs/>
              </w:rPr>
              <w:t>✓</w:t>
            </w:r>
          </w:p>
        </w:tc>
        <w:tc>
          <w:tcPr/>
          <w:p>
            <w:pPr>
              <w:pStyle w:val="TableContents"/>
            </w:pPr>
          </w:p>
        </w:tc>
      </w:tr>
      <w:tr>
        <w:tc>
          <w:tcPr>
            <w:gridSpan w:val="4"/>
          </w:tcPr>
          <w:p>
            <w:pPr>
              <w:pStyle w:val="TableContents"/>
            </w:pPr>
            <w:r>
              <w:rPr>
                <w:b/>
                <w:bCs/>
                <w:color w:val="0059D1"/>
              </w:rPr>
              <w:t>[INSERT: add further responsibilities as required]</w:t>
            </w:r>
          </w:p>
        </w:tc>
      </w:tr>
    </w:tbl>
    <w:p>
      <w:pPr>
        <w:pStyle w:val="Default"/>
      </w:pPr>
    </w:p>
    <w:p>
      <w:pPr>
        <w:pStyle w:val="Heading1Numbered"/>
      </w:pPr>
      <w:r>
        <w:t>3  Purpose and Scope</w:t>
      </w:r>
    </w:p>
    <w:p>
      <w:pPr>
        <w:pStyle w:val="NormalNumberedtext"/>
      </w:pPr>
      <w:r>
        <w:t>This section defines the purpose of this procedure, the management review activities it governs, and the project lifecycle phases within scope from Pre-mobilisation through to End of Contract.</w:t>
      </w:r>
    </w:p>
    <w:p>
      <w:pPr>
        <w:pStyle w:val="Heading2Numbered"/>
      </w:pPr>
      <w:r>
        <w:t>3.1  Purpose of This Document</w:t>
      </w:r>
    </w:p>
    <w:p>
      <w:pPr>
        <w:pStyle w:val="NormalNumberedtext"/>
      </w:pPr>
      <w:r>
        <w:t>This section states the purpose of this procedure, the management review framework it establishes, and the requirements it creates for the project.</w:t>
      </w:r>
    </w:p>
    <w:p>
      <w:pPr>
        <w:pStyle w:val="NormalNumberedtext"/>
      </w:pPr>
      <w:r>
        <w:t>This procedure meets the following purpose requirements:</w:t>
      </w:r>
    </w:p>
    <w:p>
      <w:pPr>
        <w:pStyle w:val="NormalNumberedtext"/>
      </w:pPr>
      <w:r>
        <w:t>This procedure establishes the formal management review process for the HSESC management system on this project, meeting the following purposes:</w:t>
      </w:r>
    </w:p>
    <w:p>
      <w:pPr>
        <w:pStyle w:val="NumberedBulletL1"/>
      </w:pPr>
      <w:r>
        <w:t>This procedure defines the schedule, inputs, outputs, and governance for formal management reviews conducted across all project phases, and supports [INSERT: project name].</w:t>
      </w:r>
    </w:p>
    <w:p>
      <w:pPr>
        <w:pStyle w:val="NumberedBulletL1"/>
      </w:pPr>
      <w:r>
        <w:t>This procedure operationalises Rio Tinto Group management review requirements into a documented, project-specific process for evaluating HSESC system performance, driving continuous improvement, and discharging senior leadership accountability.</w:t>
      </w:r>
    </w:p>
    <w:p>
      <w:pPr>
        <w:pStyle w:val="NumberedBulletL1"/>
      </w:pPr>
      <w:r>
        <w:t>This procedure defines management review requirements from Pre-mobilisation through Execution, Commissioning Readiness, and End of Contract. It addresses health, safety, environment, security and community performance in one integrated review process.</w:t>
      </w:r>
    </w:p>
    <w:p>
      <w:pPr>
        <w:pStyle w:val="Heading2Numbered"/>
      </w:pPr>
      <w:r>
        <w:t>3.2  Scope of This Document</w:t>
      </w:r>
    </w:p>
    <w:p>
      <w:pPr>
        <w:pStyle w:val="NormalNumberedtext"/>
      </w:pPr>
      <w:r>
        <w:t>This section defines which management review activities and lifecycle phases this procedure governs and how it connects to other project monitoring and improvement processes.</w:t>
      </w:r>
    </w:p>
    <w:p>
      <w:pPr>
        <w:pStyle w:val="NormalNumberedtext"/>
      </w:pPr>
      <w:r>
        <w:t>This procedure applies the following scope requirements:</w:t>
      </w:r>
    </w:p>
    <w:p>
      <w:pPr>
        <w:pStyle w:val="NumberedBulletL1"/>
      </w:pPr>
      <w:r>
        <w:t>This procedure governs the formal management review process. It is distinct from operational performance reviews, which are governed by the Improvement Planning Procedure, RTPR-HSE-PRO-0007.</w:t>
      </w:r>
    </w:p>
    <w:p>
      <w:pPr>
        <w:pStyle w:val="NumberedBulletL1"/>
      </w:pPr>
      <w:r>
        <w:t>This procedure applies to all formal management reviews from the Pre-mobilisation phase through to End of Contract. It governs the schedule, inputs, outputs, action tracking, and continuous improvement integration requirements for each review.</w:t>
      </w:r>
    </w:p>
    <w:p>
      <w:pPr>
        <w:pStyle w:val="NumberedBulletL1"/>
      </w:pPr>
      <w:r>
        <w:t>This procedure applies to Rio Tinto senior project leadership, the HSESC Manager, functional representatives, and relevant contractor leadership. All participants hold defined responsibilities under this procedure.</w:t>
      </w:r>
    </w:p>
    <w:p>
      <w:pPr>
        <w:pStyle w:val="Heading1Numbered"/>
      </w:pPr>
      <w:r>
        <w:t>4  Review Schedule and Participants</w:t>
      </w:r>
    </w:p>
    <w:p>
      <w:pPr>
        <w:pStyle w:val="NormalNumberedtext"/>
      </w:pPr>
      <w:r>
        <w:t>This section defines the management review schedule aligned to project phases, the required participants at each review, and the performance topics that must be addressed at every review cycle.</w:t>
      </w:r>
    </w:p>
    <w:p>
      <w:pPr>
        <w:pStyle w:val="Heading2Numbered"/>
      </w:pPr>
      <w:r>
        <w:t>4.1  Management Review Schedule</w:t>
      </w:r>
    </w:p>
    <w:p>
      <w:pPr>
        <w:pStyle w:val="NormalNumberedtext"/>
      </w:pPr>
      <w:r>
        <w:t>The management review schedule defines the minimum review frequency by project phase and the project-specific dates for each review.</w:t>
      </w:r>
    </w:p>
    <w:p>
      <w:pPr>
        <w:pStyle w:val="NormalNumberedtext"/>
      </w:pPr>
      <w:r>
        <w:t>The HSESC management system on this project is subject to formal management review at each of the phases defined in Table 1. The schedule below reflects the minimum requirement. The project team inserts the confirmed dates before mobilisation.</w:t>
      </w:r>
    </w:p>
    <w:p>
      <w:pPr>
        <w:pStyle w:val="NormalNumberedtext"/>
      </w:pPr>
      <w:r>
        <w:t>Table 1: Management Review Schedule by Project Phase</w:t>
      </w:r>
    </w:p>
    <w:tbl>
      <w:tblPr>
        <w:tblStyle w:val="TableOption2"/>
        <w:tblW w:type="pct" w:w="5000"/>
      </w:tblPr>
      <w:tr>
        <w:trPr>
          <w:tblHeader/>
        </w:trPr>
        <w:tc>
          <w:tcPr>
            <w:shd w:val="clear" w:color="auto" w:fill="1F3864"/>
          </w:tcPr>
          <w:p>
            <w:pPr>
              <w:pStyle w:val="TableContents"/>
            </w:pPr>
            <w:r>
              <w:rPr>
                <w:b/>
                <w:bCs/>
                <w:color w:val="FFFFFF"/>
              </w:rPr>
              <w:t>Review Type</w:t>
            </w:r>
          </w:p>
        </w:tc>
        <w:tc>
          <w:tcPr>
            <w:shd w:val="clear" w:color="auto" w:fill="1F3864"/>
          </w:tcPr>
          <w:p>
            <w:pPr>
              <w:pStyle w:val="TableContents"/>
            </w:pPr>
            <w:r>
              <w:rPr>
                <w:b/>
                <w:bCs/>
                <w:color w:val="FFFFFF"/>
              </w:rPr>
              <w:t>Project Phase</w:t>
            </w:r>
          </w:p>
        </w:tc>
        <w:tc>
          <w:tcPr>
            <w:shd w:val="clear" w:color="auto" w:fill="1F3864"/>
          </w:tcPr>
          <w:p>
            <w:pPr>
              <w:pStyle w:val="TableContents"/>
            </w:pPr>
            <w:r>
              <w:rPr>
                <w:b/>
                <w:bCs/>
                <w:color w:val="FFFFFF"/>
              </w:rPr>
              <w:t>Minimum Frequency</w:t>
            </w:r>
          </w:p>
        </w:tc>
        <w:tc>
          <w:tcPr>
            <w:shd w:val="clear" w:color="auto" w:fill="1F3864"/>
          </w:tcPr>
          <w:p>
            <w:pPr>
              <w:pStyle w:val="TableContents"/>
            </w:pPr>
            <w:r>
              <w:rPr>
                <w:b/>
                <w:bCs/>
                <w:color w:val="FFFFFF"/>
              </w:rPr>
              <w:t>Project-Specific Date</w:t>
            </w:r>
          </w:p>
        </w:tc>
      </w:tr>
      <w:tr>
        <w:tc>
          <w:tcPr/>
          <w:p>
            <w:pPr>
              <w:pStyle w:val="TableContents"/>
            </w:pPr>
            <w:r>
              <w:t>Pre-mobilisation Review</w:t>
            </w:r>
          </w:p>
        </w:tc>
        <w:tc>
          <w:tcPr/>
          <w:p>
            <w:pPr>
              <w:pStyle w:val="TableContents"/>
            </w:pPr>
            <w:r>
              <w:t>Pre-mobilisation</w:t>
            </w:r>
          </w:p>
        </w:tc>
        <w:tc>
          <w:tcPr/>
          <w:p>
            <w:pPr>
              <w:pStyle w:val="TableContents"/>
            </w:pPr>
            <w:r>
              <w:t>Once, prior to first personnel mobilisation</w:t>
            </w:r>
          </w:p>
        </w:tc>
        <w:tc>
          <w:tcPr/>
          <w:p>
            <w:pPr>
              <w:pStyle w:val="TableContents"/>
            </w:pPr>
            <w:r>
              <w:rPr>
                <w:b/>
                <w:bCs/>
                <w:color w:val="0059D1"/>
              </w:rPr>
              <w:t>[INSERT: confirmed date]</w:t>
            </w:r>
          </w:p>
        </w:tc>
      </w:tr>
      <w:tr>
        <w:tc>
          <w:tcPr/>
          <w:p>
            <w:pPr>
              <w:pStyle w:val="TableContents"/>
            </w:pPr>
            <w:r>
              <w:t>Quarterly Execution Review</w:t>
            </w:r>
          </w:p>
        </w:tc>
        <w:tc>
          <w:tcPr/>
          <w:p>
            <w:pPr>
              <w:pStyle w:val="TableContents"/>
            </w:pPr>
            <w:r>
              <w:t>Execution</w:t>
            </w:r>
          </w:p>
        </w:tc>
        <w:tc>
          <w:tcPr/>
          <w:p>
            <w:pPr>
              <w:pStyle w:val="TableContents"/>
            </w:pPr>
            <w:r>
              <w:t>Once per quarter</w:t>
            </w:r>
          </w:p>
        </w:tc>
        <w:tc>
          <w:tcPr/>
          <w:p>
            <w:pPr>
              <w:pStyle w:val="TableContents"/>
            </w:pPr>
            <w:r>
              <w:rPr>
                <w:b/>
                <w:bCs/>
                <w:color w:val="0059D1"/>
              </w:rPr>
              <w:t>[INSERT: confirmed dates for each quarter]</w:t>
            </w:r>
          </w:p>
        </w:tc>
      </w:tr>
      <w:tr>
        <w:tc>
          <w:tcPr/>
          <w:p>
            <w:pPr>
              <w:pStyle w:val="TableContents"/>
            </w:pPr>
            <w:r>
              <w:t>Commissioning Readiness Review</w:t>
            </w:r>
          </w:p>
        </w:tc>
        <w:tc>
          <w:tcPr/>
          <w:p>
            <w:pPr>
              <w:pStyle w:val="TableContents"/>
            </w:pPr>
            <w:r>
              <w:t>Commissioning</w:t>
            </w:r>
          </w:p>
        </w:tc>
        <w:tc>
          <w:tcPr/>
          <w:p>
            <w:pPr>
              <w:pStyle w:val="TableContents"/>
            </w:pPr>
            <w:r>
              <w:t>Once, prior to commissioning activities commencing</w:t>
            </w:r>
          </w:p>
        </w:tc>
        <w:tc>
          <w:tcPr/>
          <w:p>
            <w:pPr>
              <w:pStyle w:val="TableContents"/>
            </w:pPr>
            <w:r>
              <w:rPr>
                <w:b/>
                <w:bCs/>
                <w:color w:val="0059D1"/>
              </w:rPr>
              <w:t>[INSERT: confirmed date]</w:t>
            </w:r>
          </w:p>
        </w:tc>
      </w:tr>
      <w:tr>
        <w:tc>
          <w:tcPr/>
          <w:p>
            <w:pPr>
              <w:pStyle w:val="TableContents"/>
            </w:pPr>
            <w:r>
              <w:t>End of Contract Review</w:t>
            </w:r>
          </w:p>
        </w:tc>
        <w:tc>
          <w:tcPr/>
          <w:p>
            <w:pPr>
              <w:pStyle w:val="TableContents"/>
            </w:pPr>
            <w:r>
              <w:t>Closeout</w:t>
            </w:r>
          </w:p>
        </w:tc>
        <w:tc>
          <w:tcPr/>
          <w:p>
            <w:pPr>
              <w:pStyle w:val="TableContents"/>
            </w:pPr>
            <w:r>
              <w:t>Once, prior to project demobilisation</w:t>
            </w:r>
          </w:p>
        </w:tc>
        <w:tc>
          <w:tcPr/>
          <w:p>
            <w:pPr>
              <w:pStyle w:val="TableContents"/>
            </w:pPr>
            <w:r>
              <w:rPr>
                <w:b/>
                <w:bCs/>
                <w:color w:val="0059D1"/>
              </w:rPr>
              <w:t>[INSERT: confirmed date]</w:t>
            </w:r>
          </w:p>
        </w:tc>
      </w:tr>
    </w:tbl>
    <w:p>
      <w:pPr>
        <w:pStyle w:val="Default"/>
      </w:pPr>
    </w:p>
    <w:p>
      <w:pPr>
        <w:pStyle w:val="NormalNumberedtext"/>
      </w:pPr>
      <w:r>
        <w:t>The HSESC Manager maintains the management review schedule and confirms dates with the project director no later than [INSERT: timeframe, e.g. four weeks] before each review is due. If a project phase is accelerated or delayed, the HSESC Manager adjusts the review date accordingly and notifies all required participants.</w:t>
      </w:r>
    </w:p>
    <w:tbl>
      <w:tblPr>
        <w:tblStyle w:val="TableOption1"/>
        <w:tblW w:type="pct" w:w="5000"/>
      </w:tblPr>
      <w:tr>
        <w:tc>
          <w:tcPr>
            <w:shd w:val="clear" w:color="auto" w:fill="FFF2CC"/>
          </w:tcPr>
          <w:p>
            <w:pPr>
              <w:pStyle w:val="Instructions"/>
            </w:pPr>
            <w:r>
              <w:rPr>
                <w:b/>
                <w:bCs/>
                <w:color w:val="C55A11"/>
              </w:rPr>
              <w:t>PROJECT COMPLETION GUIDANCE 1: Define the management review dates for this project relative to the project programme phases. The procedure defines the minimum schedule — insert the project-specific dates in Table 1 above before this document is issued.</w:t>
            </w:r>
          </w:p>
        </w:tc>
      </w:tr>
    </w:tbl>
    <w:p>
      <w:pPr>
        <w:pStyle w:val="Default"/>
      </w:pPr>
    </w:p>
    <w:p>
      <w:pPr>
        <w:pStyle w:val="Heading2Numbered"/>
      </w:pPr>
      <w:r>
        <w:t>4.2  Required Participants</w:t>
      </w:r>
    </w:p>
    <w:p>
      <w:pPr>
        <w:pStyle w:val="NormalNumberedtext"/>
      </w:pPr>
      <w:r>
        <w:t>This section defines the required participants at each management review and the roles responsible for chairing and recording each review.</w:t>
      </w:r>
    </w:p>
    <w:p>
      <w:pPr>
        <w:pStyle w:val="NormalNumberedtext"/>
      </w:pPr>
      <w:r>
        <w:t>Senior management sets safety and health targets through the management review process and reviews performance against those targets at each review cycle, consistent with the requirements of the TSM Safe, Healthy and Respectful Workplaces Protocol, Indicator SH1. Participation by senior project leadership is mandatory at every review; attendance by proxy is not an acceptable substitute for required roles.</w:t>
      </w:r>
    </w:p>
    <w:p>
      <w:pPr>
        <w:pStyle w:val="NormalNumberedtext"/>
      </w:pPr>
      <w:r>
        <w:t>Table 2: Required Management Review Participants</w:t>
      </w:r>
    </w:p>
    <w:tbl>
      <w:tblPr>
        <w:tblStyle w:val="TableOption2"/>
        <w:tblW w:type="pct" w:w="5000"/>
      </w:tblPr>
      <w:tr>
        <w:trPr>
          <w:tblHeader/>
        </w:trPr>
        <w:tc>
          <w:tcPr>
            <w:shd w:val="clear" w:color="auto" w:fill="1F3864"/>
          </w:tcPr>
          <w:p>
            <w:pPr>
              <w:pStyle w:val="TableContents"/>
            </w:pPr>
            <w:r>
              <w:rPr>
                <w:b/>
                <w:bCs/>
                <w:color w:val="FFFFFF"/>
              </w:rPr>
              <w:t>Role</w:t>
            </w:r>
          </w:p>
        </w:tc>
        <w:tc>
          <w:tcPr>
            <w:shd w:val="clear" w:color="auto" w:fill="1F3864"/>
          </w:tcPr>
          <w:p>
            <w:pPr>
              <w:pStyle w:val="TableContents"/>
            </w:pPr>
            <w:r>
              <w:rPr>
                <w:b/>
                <w:bCs/>
                <w:color w:val="FFFFFF"/>
              </w:rPr>
              <w:t>Participation Requirement</w:t>
            </w:r>
          </w:p>
        </w:tc>
        <w:tc>
          <w:tcPr>
            <w:shd w:val="clear" w:color="auto" w:fill="1F3864"/>
          </w:tcPr>
          <w:p>
            <w:pPr>
              <w:pStyle w:val="TableContents"/>
            </w:pPr>
            <w:r>
              <w:rPr>
                <w:b/>
                <w:bCs/>
                <w:color w:val="FFFFFF"/>
              </w:rPr>
              <w:t>Project Position Title</w:t>
            </w:r>
          </w:p>
        </w:tc>
      </w:tr>
      <w:tr>
        <w:tc>
          <w:tcPr/>
          <w:p>
            <w:pPr>
              <w:pStyle w:val="TableContents"/>
            </w:pPr>
            <w:r>
              <w:t>Rio Tinto Project Director</w:t>
            </w:r>
          </w:p>
        </w:tc>
        <w:tc>
          <w:tcPr/>
          <w:p>
            <w:pPr>
              <w:pStyle w:val="TableContents"/>
            </w:pPr>
            <w:r>
              <w:t>Mandatory — chairs the review and provides formal sign-off on outputs</w:t>
            </w:r>
          </w:p>
        </w:tc>
        <w:tc>
          <w:tcPr/>
          <w:p>
            <w:pPr>
              <w:pStyle w:val="TableContents"/>
            </w:pPr>
            <w:r>
              <w:rPr>
                <w:b/>
                <w:bCs/>
                <w:color w:val="0059D1"/>
              </w:rPr>
              <w:t>[INSERT: position title]</w:t>
            </w:r>
          </w:p>
        </w:tc>
      </w:tr>
      <w:tr>
        <w:tc>
          <w:tcPr/>
          <w:p>
            <w:pPr>
              <w:pStyle w:val="TableContents"/>
            </w:pPr>
            <w:r>
              <w:t>HSESC Manager</w:t>
            </w:r>
          </w:p>
        </w:tc>
        <w:tc>
          <w:tcPr/>
          <w:p>
            <w:pPr>
              <w:pStyle w:val="TableContents"/>
            </w:pPr>
            <w:r>
              <w:t>Mandatory — presents performance data and facilitates review agenda</w:t>
            </w:r>
          </w:p>
        </w:tc>
        <w:tc>
          <w:tcPr/>
          <w:p>
            <w:pPr>
              <w:pStyle w:val="TableContents"/>
            </w:pPr>
            <w:r>
              <w:rPr>
                <w:b/>
                <w:bCs/>
                <w:color w:val="0059D1"/>
              </w:rPr>
              <w:t>[INSERT: position title]</w:t>
            </w:r>
          </w:p>
        </w:tc>
      </w:tr>
      <w:tr>
        <w:tc>
          <w:tcPr/>
          <w:p>
            <w:pPr>
              <w:pStyle w:val="TableContents"/>
            </w:pPr>
            <w:r>
              <w:t>Rio Tinto Senior Project Leadership</w:t>
            </w:r>
          </w:p>
        </w:tc>
        <w:tc>
          <w:tcPr/>
          <w:p>
            <w:pPr>
              <w:pStyle w:val="TableContents"/>
            </w:pPr>
            <w:r>
              <w:t>Mandatory — all members of the HSESC Leadership Team as defined in RTPR-HSE-PRO-0003</w:t>
            </w:r>
          </w:p>
        </w:tc>
        <w:tc>
          <w:tcPr/>
          <w:p>
            <w:pPr>
              <w:pStyle w:val="TableContents"/>
            </w:pPr>
            <w:r>
              <w:rPr>
                <w:b/>
                <w:bCs/>
                <w:color w:val="0059D1"/>
              </w:rPr>
              <w:t>[INSERT: position titles]</w:t>
            </w:r>
          </w:p>
        </w:tc>
      </w:tr>
      <w:tr>
        <w:tc>
          <w:tcPr/>
          <w:p>
            <w:pPr>
              <w:pStyle w:val="TableContents"/>
            </w:pPr>
            <w:r>
              <w:t>Functional Representatives</w:t>
            </w:r>
          </w:p>
        </w:tc>
        <w:tc>
          <w:tcPr/>
          <w:p>
            <w:pPr>
              <w:pStyle w:val="TableContents"/>
            </w:pPr>
            <w:r>
              <w:t>Mandatory — environment, community, security, and health functions as applicable to the review phase</w:t>
            </w:r>
          </w:p>
        </w:tc>
        <w:tc>
          <w:tcPr/>
          <w:p>
            <w:pPr>
              <w:pStyle w:val="TableContents"/>
            </w:pPr>
            <w:r>
              <w:rPr>
                <w:b/>
                <w:bCs/>
                <w:color w:val="0059D1"/>
              </w:rPr>
              <w:t>[INSERT: position titles]</w:t>
            </w:r>
          </w:p>
        </w:tc>
      </w:tr>
      <w:tr>
        <w:tc>
          <w:tcPr/>
          <w:p>
            <w:pPr>
              <w:pStyle w:val="TableContents"/>
            </w:pPr>
            <w:r>
              <w:t>Principal Contractor Leadership</w:t>
            </w:r>
          </w:p>
        </w:tc>
        <w:tc>
          <w:tcPr/>
          <w:p>
            <w:pPr>
              <w:pStyle w:val="TableContents"/>
            </w:pPr>
            <w:r>
              <w:t>Mandatory — project manager and HSESC lead from each principal contractor</w:t>
            </w:r>
          </w:p>
        </w:tc>
        <w:tc>
          <w:tcPr/>
          <w:p>
            <w:pPr>
              <w:pStyle w:val="TableContents"/>
            </w:pPr>
            <w:r>
              <w:rPr>
                <w:b/>
                <w:bCs/>
                <w:color w:val="0059D1"/>
              </w:rPr>
              <w:t>[INSERT: contractor organisation names and position titles]</w:t>
            </w:r>
          </w:p>
        </w:tc>
      </w:tr>
      <w:tr>
        <w:tc>
          <w:tcPr/>
          <w:p>
            <w:pPr>
              <w:pStyle w:val="TableContents"/>
            </w:pPr>
            <w:r>
              <w:t>Additional Contractor Leadership</w:t>
            </w:r>
          </w:p>
        </w:tc>
        <w:tc>
          <w:tcPr/>
          <w:p>
            <w:pPr>
              <w:pStyle w:val="TableContents"/>
            </w:pPr>
            <w:r>
              <w:t>As required — invited by the HSESC Manager based on the performance topics for the review cycle</w:t>
            </w:r>
          </w:p>
        </w:tc>
        <w:tc>
          <w:tcPr/>
          <w:p>
            <w:pPr>
              <w:pStyle w:val="TableContents"/>
            </w:pPr>
            <w:r>
              <w:rPr>
                <w:b/>
                <w:bCs/>
                <w:color w:val="0059D1"/>
              </w:rPr>
              <w:t>[INSERT: criteria for inclusion]</w:t>
            </w:r>
          </w:p>
        </w:tc>
      </w:tr>
    </w:tbl>
    <w:p>
      <w:pPr>
        <w:pStyle w:val="Default"/>
      </w:pPr>
    </w:p>
    <w:p>
      <w:pPr>
        <w:pStyle w:val="NormalNumberedtext"/>
      </w:pPr>
      <w:r>
        <w:t>The governance framework for the HSESC Leadership Team, including composition and escalation authority, is defined in the Organisational Resources Procedure, RTPR-HSE-PRO-0003. This procedure does not repeat that content.</w:t>
      </w:r>
    </w:p>
    <w:tbl>
      <w:tblPr>
        <w:tblStyle w:val="TableOption1"/>
        <w:tblW w:type="pct" w:w="5000"/>
      </w:tblPr>
      <w:tr>
        <w:tc>
          <w:tcPr>
            <w:shd w:val="clear" w:color="auto" w:fill="FFF2CC"/>
          </w:tcPr>
          <w:p>
            <w:pPr>
              <w:pStyle w:val="Instructions"/>
            </w:pPr>
            <w:r>
              <w:rPr>
                <w:b/>
                <w:bCs/>
                <w:color w:val="C55A11"/>
              </w:rPr>
              <w:t>PROJECT COMPLETION GUIDANCE 2: Define the management review chair and required attendees for this project. The procedure requires senior leadership participation — identify each required role by position title in Table 2 above before this document is issued.</w:t>
            </w:r>
          </w:p>
        </w:tc>
      </w:tr>
    </w:tbl>
    <w:p>
      <w:pPr>
        <w:pStyle w:val="Default"/>
      </w:pPr>
    </w:p>
    <w:p>
      <w:pPr>
        <w:pStyle w:val="Heading2Numbered"/>
      </w:pPr>
      <w:r>
        <w:t>4.3  Performance Topics at Every Review</w:t>
      </w:r>
    </w:p>
    <w:p>
      <w:pPr>
        <w:pStyle w:val="NormalNumberedtext"/>
      </w:pPr>
      <w:r>
        <w:t>This section defines the performance topics that must be addressed at each management review, regardless of project phase.</w:t>
      </w:r>
    </w:p>
    <w:p>
      <w:pPr>
        <w:pStyle w:val="NormalNumberedtext"/>
      </w:pPr>
      <w:r>
        <w:t>Each management review includes an explicit review of performance against the project's goals for elimination of fatalities, serious injuries, and psychosocial hazards, consistent with ICMM Principle 5, Performance Expectation 5.1. These topics are standing agenda items and are not deferred or combined with other agenda items.</w:t>
      </w:r>
    </w:p>
    <w:p>
      <w:pPr>
        <w:pStyle w:val="NormalNumberedtext"/>
      </w:pPr>
      <w:r>
        <w:t>The following performance topics are standing agenda items at every management review:</w:t>
      </w:r>
    </w:p>
    <w:p>
      <w:pPr>
        <w:pStyle w:val="NumberedBulletL1"/>
      </w:pPr>
      <w:r>
        <w:t>Performance against project targets for elimination of fatalities and life-altering injuries, including high-potential incident trends.</w:t>
      </w:r>
    </w:p>
    <w:p>
      <w:pPr>
        <w:pStyle w:val="NumberedBulletL1"/>
      </w:pPr>
      <w:r>
        <w:t>Performance against project targets for elimination or control of serious injuries and occupational illnesses.</w:t>
      </w:r>
    </w:p>
    <w:p>
      <w:pPr>
        <w:pStyle w:val="NumberedBulletL1"/>
      </w:pPr>
      <w:r>
        <w:t>Performance against project targets for psychosocial hazard identification, reporting, and control.</w:t>
      </w:r>
    </w:p>
    <w:p>
      <w:pPr>
        <w:pStyle w:val="NumberedBulletL1"/>
      </w:pPr>
      <w:r>
        <w:t>Progress against actions and improvement commitments from the previous management review.</w:t>
      </w:r>
    </w:p>
    <w:p>
      <w:pPr>
        <w:pStyle w:val="NumberedBulletL1"/>
      </w:pPr>
      <w:r>
        <w:t>Overall HSESC system effectiveness as assessed against the programme as a whole, not only individual element performance.</w:t>
      </w:r>
    </w:p>
    <w:p>
      <w:pPr>
        <w:pStyle w:val="Heading1Numbered"/>
      </w:pPr>
      <w:r>
        <w:t>5  Review Inputs</w:t>
      </w:r>
    </w:p>
    <w:p>
      <w:pPr>
        <w:pStyle w:val="NormalNumberedtext"/>
      </w:pPr>
      <w:r>
        <w:t>This section defines the mandatory inputs to each management review, the sources from which inputs are drawn, and how monitoring and stakeholder data are incorporated into the review package.</w:t>
      </w:r>
    </w:p>
    <w:p>
      <w:pPr>
        <w:pStyle w:val="Heading2Numbered"/>
      </w:pPr>
      <w:r>
        <w:t>5.1  Mandatory Review Input Requirements</w:t>
      </w:r>
    </w:p>
    <w:p>
      <w:pPr>
        <w:pStyle w:val="NormalNumberedtext"/>
      </w:pPr>
      <w:r>
        <w:t>The HSESC Manager compiles and distributes the review input package to all participants before each management review.</w:t>
      </w:r>
    </w:p>
    <w:p>
      <w:pPr>
        <w:pStyle w:val="NormalNumberedtext"/>
      </w:pPr>
      <w:r>
        <w:t>Monitoring data and stakeholder feedback are incorporated into management review inputs to ensure the review reflects real-world project performance and not only internal programme metrics, consistent with IFC PS1 §22. Monitoring data is drawn from the Monitoring Procedure, RTPR-HSE-PRO-0042, and stakeholder feedback is incorporated from community and stakeholder engagement records held by the relevant functional team.</w:t>
      </w:r>
    </w:p>
    <w:p>
      <w:pPr>
        <w:pStyle w:val="NormalNumberedtext"/>
      </w:pPr>
      <w:r>
        <w:t>The HSESC Manager distributes the complete review input package to all required participants no later than [INSERT: timeframe, e.g. five business days] before the scheduled review date. Inputs are drawn from the project management system and cross-referenced to source documents; source content is not reproduced in the input package.</w:t>
      </w:r>
    </w:p>
    <w:p>
      <w:pPr>
        <w:pStyle w:val="NormalNumberedtext"/>
      </w:pPr>
      <w:r>
        <w:t>The following inputs are mandatory at each management review:</w:t>
      </w:r>
    </w:p>
    <w:p>
      <w:pPr>
        <w:pStyle w:val="NumberedBulletL1"/>
      </w:pPr>
      <w:r>
        <w:t>HSESC performance metrics covering both leading indicators and lagging indicators for the review period, drawn from the Monitoring Procedure, RTPR-HSE-PRO-0042.</w:t>
      </w:r>
    </w:p>
    <w:p>
      <w:pPr>
        <w:pStyle w:val="NumberedBulletL1"/>
      </w:pPr>
      <w:r>
        <w:t>Audit and inspection findings, including open findings, overdue actions, and repeat findings, drawn from the Auditing Procedure, RTPR-HSE-PRO-0044.</w:t>
      </w:r>
    </w:p>
    <w:p>
      <w:pPr>
        <w:pStyle w:val="NumberedBulletL1"/>
      </w:pPr>
      <w:r>
        <w:t>Incident trends and root cause analysis summaries for the review period, drawn from the Incident Management Procedure, RTPR-HSE-PRO-0009.</w:t>
      </w:r>
    </w:p>
    <w:p>
      <w:pPr>
        <w:pStyle w:val="NumberedBulletL1"/>
      </w:pPr>
      <w:r>
        <w:t>Critical Risk Management programme performance, including critical control verification outcomes and any critical control failures in the review period.</w:t>
      </w:r>
    </w:p>
    <w:p>
      <w:pPr>
        <w:pStyle w:val="NumberedBulletL1"/>
      </w:pPr>
      <w:r>
        <w:t>Safety and Health Management Maturity assessment outcomes where a maturity assessment has been completed since the previous review.</w:t>
      </w:r>
    </w:p>
    <w:p>
      <w:pPr>
        <w:pStyle w:val="NumberedBulletL1"/>
      </w:pPr>
      <w:r>
        <w:t>Community complaints and feedback received during the review period, including response status and any unresolved items.</w:t>
      </w:r>
    </w:p>
    <w:p>
      <w:pPr>
        <w:pStyle w:val="NumberedBulletL1"/>
      </w:pPr>
      <w:r>
        <w:t>Environmental performance against project environmental criteria and any exceedances or non-conformances in the review period.</w:t>
      </w:r>
    </w:p>
    <w:p>
      <w:pPr>
        <w:pStyle w:val="NumberedBulletL1"/>
      </w:pPr>
      <w:r>
        <w:t>Legal and regulatory compliance status, including any notices, directions, or changes to applicable legislation since the last review.</w:t>
      </w:r>
    </w:p>
    <w:p>
      <w:pPr>
        <w:pStyle w:val="NumberedBulletL1"/>
      </w:pPr>
      <w:r>
        <w:t>Status of all actions from the previous management review, including actions closed, actions overdue, and actions pending.</w:t>
      </w:r>
    </w:p>
    <w:p>
      <w:pPr>
        <w:pStyle w:val="NumberedBulletL1"/>
      </w:pPr>
      <w:r>
        <w:t>Risks and opportunities identified or changed since the previous review, including any new significant risks to the HSESC system.</w:t>
      </w:r>
    </w:p>
    <w:p>
      <w:pPr>
        <w:pStyle w:val="Heading2Numbered"/>
      </w:pPr>
      <w:r>
        <w:t>5.2  Input Preparation Responsibilities</w:t>
      </w:r>
    </w:p>
    <w:p>
      <w:pPr>
        <w:pStyle w:val="NormalNumberedtext"/>
      </w:pPr>
      <w:r>
        <w:t>This section defines who is responsible for preparing and submitting each input category to the HSESC Manager before the review.</w:t>
      </w:r>
    </w:p>
    <w:p>
      <w:pPr>
        <w:pStyle w:val="NormalNumberedtext"/>
      </w:pPr>
      <w:r>
        <w:t>Table 3: Management Review Input Responsibilities</w:t>
      </w:r>
    </w:p>
    <w:tbl>
      <w:tblPr>
        <w:tblStyle w:val="TableOption2"/>
        <w:tblW w:type="pct" w:w="5000"/>
      </w:tblPr>
      <w:tr>
        <w:trPr>
          <w:tblHeader/>
        </w:trPr>
        <w:tc>
          <w:tcPr>
            <w:shd w:val="clear" w:color="auto" w:fill="1F3864"/>
          </w:tcPr>
          <w:p>
            <w:pPr>
              <w:pStyle w:val="TableContents"/>
            </w:pPr>
            <w:r>
              <w:rPr>
                <w:b/>
                <w:bCs/>
                <w:color w:val="FFFFFF"/>
              </w:rPr>
              <w:t>Input Category</w:t>
            </w:r>
          </w:p>
        </w:tc>
        <w:tc>
          <w:tcPr>
            <w:shd w:val="clear" w:color="auto" w:fill="1F3864"/>
          </w:tcPr>
          <w:p>
            <w:pPr>
              <w:pStyle w:val="TableContents"/>
            </w:pPr>
            <w:r>
              <w:rPr>
                <w:b/>
                <w:bCs/>
                <w:color w:val="FFFFFF"/>
              </w:rPr>
              <w:t>Responsible Role</w:t>
            </w:r>
          </w:p>
        </w:tc>
        <w:tc>
          <w:tcPr>
            <w:shd w:val="clear" w:color="auto" w:fill="1F3864"/>
          </w:tcPr>
          <w:p>
            <w:pPr>
              <w:pStyle w:val="TableContents"/>
            </w:pPr>
            <w:r>
              <w:rPr>
                <w:b/>
                <w:bCs/>
                <w:color w:val="FFFFFF"/>
              </w:rPr>
              <w:t>Source Document or System</w:t>
            </w:r>
          </w:p>
        </w:tc>
      </w:tr>
      <w:tr>
        <w:tc>
          <w:tcPr/>
          <w:p>
            <w:pPr>
              <w:pStyle w:val="TableContents"/>
            </w:pPr>
            <w:r>
              <w:t>HSESC performance metrics — leading and lagging</w:t>
            </w:r>
          </w:p>
        </w:tc>
        <w:tc>
          <w:tcPr/>
          <w:p>
            <w:pPr>
              <w:pStyle w:val="TableContents"/>
            </w:pPr>
            <w:r>
              <w:t>HSESC Manager</w:t>
            </w:r>
          </w:p>
        </w:tc>
        <w:tc>
          <w:tcPr/>
          <w:p>
            <w:pPr>
              <w:pStyle w:val="TableContents"/>
            </w:pPr>
            <w:r>
              <w:t>RTPR-HSE-PRO-0042 — Monitoring</w:t>
            </w:r>
          </w:p>
        </w:tc>
      </w:tr>
      <w:tr>
        <w:tc>
          <w:tcPr/>
          <w:p>
            <w:pPr>
              <w:pStyle w:val="TableContents"/>
            </w:pPr>
            <w:r>
              <w:t>Audit and inspection findings</w:t>
            </w:r>
          </w:p>
        </w:tc>
        <w:tc>
          <w:tcPr/>
          <w:p>
            <w:pPr>
              <w:pStyle w:val="TableContents"/>
            </w:pPr>
            <w:r>
              <w:t>HSESC Manager — Audit Function</w:t>
            </w:r>
          </w:p>
        </w:tc>
        <w:tc>
          <w:tcPr/>
          <w:p>
            <w:pPr>
              <w:pStyle w:val="TableContents"/>
            </w:pPr>
            <w:r>
              <w:t>RTPR-HSE-PRO-0044 — Auditing</w:t>
            </w:r>
          </w:p>
        </w:tc>
      </w:tr>
      <w:tr>
        <w:tc>
          <w:tcPr/>
          <w:p>
            <w:pPr>
              <w:pStyle w:val="TableContents"/>
            </w:pPr>
            <w:r>
              <w:t>Incident trends and root cause summaries</w:t>
            </w:r>
          </w:p>
        </w:tc>
        <w:tc>
          <w:tcPr/>
          <w:p>
            <w:pPr>
              <w:pStyle w:val="TableContents"/>
            </w:pPr>
            <w:r>
              <w:t>HSESC Manager</w:t>
            </w:r>
          </w:p>
        </w:tc>
        <w:tc>
          <w:tcPr/>
          <w:p>
            <w:pPr>
              <w:pStyle w:val="TableContents"/>
            </w:pPr>
            <w:r>
              <w:t>RTPR-HSE-PRO-0009 — Incident Management</w:t>
            </w:r>
          </w:p>
        </w:tc>
      </w:tr>
      <w:tr>
        <w:tc>
          <w:tcPr/>
          <w:p>
            <w:pPr>
              <w:pStyle w:val="TableContents"/>
            </w:pPr>
            <w:r>
              <w:t>CRM programme performance</w:t>
            </w:r>
          </w:p>
        </w:tc>
        <w:tc>
          <w:tcPr/>
          <w:p>
            <w:pPr>
              <w:pStyle w:val="TableContents"/>
            </w:pPr>
            <w:r>
              <w:t>HSESC Manager</w:t>
            </w:r>
          </w:p>
        </w:tc>
        <w:tc>
          <w:tcPr/>
          <w:p>
            <w:pPr>
              <w:pStyle w:val="TableContents"/>
            </w:pPr>
            <w:r>
              <w:rPr>
                <w:b/>
                <w:bCs/>
                <w:color w:val="0059D1"/>
              </w:rPr>
              <w:t>[INSERT: CRM programme register or system]</w:t>
            </w:r>
          </w:p>
        </w:tc>
      </w:tr>
      <w:tr>
        <w:tc>
          <w:tcPr/>
          <w:p>
            <w:pPr>
              <w:pStyle w:val="TableContents"/>
            </w:pPr>
            <w:r>
              <w:t>SMM maturity assessment outcomes</w:t>
            </w:r>
          </w:p>
        </w:tc>
        <w:tc>
          <w:tcPr/>
          <w:p>
            <w:pPr>
              <w:pStyle w:val="TableContents"/>
            </w:pPr>
            <w:r>
              <w:t>HSESC Manager</w:t>
            </w:r>
          </w:p>
        </w:tc>
        <w:tc>
          <w:tcPr/>
          <w:p>
            <w:pPr>
              <w:pStyle w:val="TableContents"/>
            </w:pPr>
            <w:r>
              <w:rPr>
                <w:b/>
                <w:bCs/>
                <w:color w:val="0059D1"/>
              </w:rPr>
              <w:t>[INSERT: maturity assessment record location]</w:t>
            </w:r>
          </w:p>
        </w:tc>
      </w:tr>
      <w:tr>
        <w:tc>
          <w:tcPr/>
          <w:p>
            <w:pPr>
              <w:pStyle w:val="TableContents"/>
            </w:pPr>
            <w:r>
              <w:t>Community complaints and feedback</w:t>
            </w:r>
          </w:p>
        </w:tc>
        <w:tc>
          <w:tcPr/>
          <w:p>
            <w:pPr>
              <w:pStyle w:val="TableContents"/>
            </w:pPr>
            <w:r>
              <w:t>Community Relations Lead</w:t>
            </w:r>
          </w:p>
        </w:tc>
        <w:tc>
          <w:tcPr/>
          <w:p>
            <w:pPr>
              <w:pStyle w:val="TableContents"/>
            </w:pPr>
            <w:r>
              <w:rPr>
                <w:b/>
                <w:bCs/>
                <w:color w:val="0059D1"/>
              </w:rPr>
              <w:t>[INSERT: stakeholder engagement register]</w:t>
            </w:r>
          </w:p>
        </w:tc>
      </w:tr>
      <w:tr>
        <w:tc>
          <w:tcPr/>
          <w:p>
            <w:pPr>
              <w:pStyle w:val="TableContents"/>
            </w:pPr>
            <w:r>
              <w:t>Environmental performance</w:t>
            </w:r>
          </w:p>
        </w:tc>
        <w:tc>
          <w:tcPr/>
          <w:p>
            <w:pPr>
              <w:pStyle w:val="TableContents"/>
            </w:pPr>
            <w:r>
              <w:t>Environmental Lead</w:t>
            </w:r>
          </w:p>
        </w:tc>
        <w:tc>
          <w:tcPr/>
          <w:p>
            <w:pPr>
              <w:pStyle w:val="TableContents"/>
            </w:pPr>
            <w:r>
              <w:rPr>
                <w:b/>
                <w:bCs/>
                <w:color w:val="0059D1"/>
              </w:rPr>
              <w:t>[INSERT: environmental monitoring register]</w:t>
            </w:r>
          </w:p>
        </w:tc>
      </w:tr>
      <w:tr>
        <w:tc>
          <w:tcPr/>
          <w:p>
            <w:pPr>
              <w:pStyle w:val="TableContents"/>
            </w:pPr>
            <w:r>
              <w:t>Legal and regulatory compliance status</w:t>
            </w:r>
          </w:p>
        </w:tc>
        <w:tc>
          <w:tcPr/>
          <w:p>
            <w:pPr>
              <w:pStyle w:val="TableContents"/>
            </w:pPr>
            <w:r>
              <w:t>HSESC Manager</w:t>
            </w:r>
          </w:p>
        </w:tc>
        <w:tc>
          <w:tcPr/>
          <w:p>
            <w:pPr>
              <w:pStyle w:val="TableContents"/>
            </w:pPr>
            <w:r>
              <w:rPr>
                <w:b/>
                <w:bCs/>
                <w:color w:val="0059D1"/>
              </w:rPr>
              <w:t>[INSERT: compliance register]</w:t>
            </w:r>
          </w:p>
        </w:tc>
      </w:tr>
      <w:tr>
        <w:tc>
          <w:tcPr/>
          <w:p>
            <w:pPr>
              <w:pStyle w:val="TableContents"/>
            </w:pPr>
            <w:r>
              <w:t>Status of previous review actions</w:t>
            </w:r>
          </w:p>
        </w:tc>
        <w:tc>
          <w:tcPr/>
          <w:p>
            <w:pPr>
              <w:pStyle w:val="TableContents"/>
            </w:pPr>
            <w:r>
              <w:t>HSESC Manager</w:t>
            </w:r>
          </w:p>
        </w:tc>
        <w:tc>
          <w:tcPr/>
          <w:p>
            <w:pPr>
              <w:pStyle w:val="TableContents"/>
            </w:pPr>
            <w:r>
              <w:rPr>
                <w:b/>
                <w:bCs/>
                <w:color w:val="0059D1"/>
              </w:rPr>
              <w:t>[INSERT: action tracking register]</w:t>
            </w:r>
          </w:p>
        </w:tc>
      </w:tr>
      <w:tr>
        <w:tc>
          <w:tcPr/>
          <w:p>
            <w:pPr>
              <w:pStyle w:val="TableContents"/>
            </w:pPr>
            <w:r>
              <w:t>Risks and opportunities update</w:t>
            </w:r>
          </w:p>
        </w:tc>
        <w:tc>
          <w:tcPr/>
          <w:p>
            <w:pPr>
              <w:pStyle w:val="TableContents"/>
            </w:pPr>
            <w:r>
              <w:t>HSESC Manager</w:t>
            </w:r>
          </w:p>
        </w:tc>
        <w:tc>
          <w:tcPr/>
          <w:p>
            <w:pPr>
              <w:pStyle w:val="TableContents"/>
            </w:pPr>
            <w:r>
              <w:rPr>
                <w:b/>
                <w:bCs/>
                <w:color w:val="0059D1"/>
              </w:rPr>
              <w:t>[INSERT: project risk register]</w:t>
            </w:r>
          </w:p>
        </w:tc>
      </w:tr>
    </w:tbl>
    <w:p>
      <w:pPr>
        <w:pStyle w:val="Default"/>
      </w:pPr>
    </w:p>
    <w:p>
      <w:pPr>
        <w:pStyle w:val="Heading1Numbered"/>
      </w:pPr>
      <w:r>
        <w:t>6  Review Outputs and Continuous Improvement</w:t>
      </w:r>
    </w:p>
    <w:p>
      <w:pPr>
        <w:pStyle w:val="NormalNumberedtext"/>
      </w:pPr>
      <w:r>
        <w:t>This section defines the required outputs from each management review, the documentation and action tracking requirements that apply to all outputs, and how outputs drive systemic improvement in the HSESC management system.</w:t>
      </w:r>
    </w:p>
    <w:p>
      <w:pPr>
        <w:pStyle w:val="Heading2Numbered"/>
      </w:pPr>
      <w:r>
        <w:t>6.1  Required Review Outputs</w:t>
      </w:r>
    </w:p>
    <w:p>
      <w:pPr>
        <w:pStyle w:val="NormalNumberedtext"/>
      </w:pPr>
      <w:r>
        <w:t>Management review outputs must address the overall effectiveness of the HSESC programme and set programme-level improvement targets for the next review period.</w:t>
      </w:r>
    </w:p>
    <w:p>
      <w:pPr>
        <w:pStyle w:val="NormalNumberedtext"/>
      </w:pPr>
      <w:r>
        <w:t>The overall effectiveness of the safety and health programme is evaluated at each management review, not only the performance of individual system elements, consistent with the OSHA Programme Evaluation and Improvement requirements. The review sets programme-level improvement targets for the next review period and records them as actions with assigned owners and due dates.</w:t>
      </w:r>
    </w:p>
    <w:p>
      <w:pPr>
        <w:pStyle w:val="NormalNumberedtext"/>
      </w:pPr>
      <w:r>
        <w:t>The following outputs are required from each management review:</w:t>
      </w:r>
    </w:p>
    <w:p>
      <w:pPr>
        <w:pStyle w:val="NumberedBulletL1"/>
      </w:pPr>
      <w:r>
        <w:t>Improvement decisions for the HSESC management system, including decisions to revise, strengthen, or simplify system elements based on review findings.</w:t>
      </w:r>
    </w:p>
    <w:p>
      <w:pPr>
        <w:pStyle w:val="NumberedBulletL1"/>
      </w:pPr>
      <w:r>
        <w:t>Resource changes required to address identified gaps in personnel, equipment, or budget allocation for HSESC activities.</w:t>
      </w:r>
    </w:p>
    <w:p>
      <w:pPr>
        <w:pStyle w:val="NumberedBulletL1"/>
      </w:pPr>
      <w:r>
        <w:t>Revisions to policies, objectives, or targets where review findings indicate that current settings are no longer appropriate or achievable.</w:t>
      </w:r>
    </w:p>
    <w:p>
      <w:pPr>
        <w:pStyle w:val="NumberedBulletL1"/>
      </w:pPr>
      <w:r>
        <w:t>Lessons learned captured from the review period, formatted for retention in the project lessons learned register and for sharing with the Rio Tinto project delivery community.</w:t>
      </w:r>
    </w:p>
    <w:p>
      <w:pPr>
        <w:pStyle w:val="NumberedBulletL1"/>
      </w:pPr>
      <w:r>
        <w:t>Programme-level improvement targets for the next review period, set against the overall effectiveness of the HSESC programme.</w:t>
      </w:r>
    </w:p>
    <w:p>
      <w:pPr>
        <w:pStyle w:val="NumberedBulletL1"/>
      </w:pPr>
      <w:r>
        <w:t>Formal sign-off by the project director confirming the review was conducted, findings were considered, and outputs were endorsed.</w:t>
      </w:r>
    </w:p>
    <w:p>
      <w:pPr>
        <w:pStyle w:val="Heading2Numbered"/>
      </w:pPr>
      <w:r>
        <w:t>6.2  Systemic Improvement Integration</w:t>
      </w:r>
    </w:p>
    <w:p>
      <w:pPr>
        <w:pStyle w:val="NormalNumberedtext"/>
      </w:pPr>
      <w:r>
        <w:t>Management review outputs are used to drive systemic improvement in the management system, not only to generate individual corrective actions.</w:t>
      </w:r>
    </w:p>
    <w:p>
      <w:pPr>
        <w:pStyle w:val="NormalNumberedtext"/>
      </w:pPr>
      <w:r>
        <w:t>Management review outputs are used to drive systemic improvement in the HSESC management system, consistent with IFC PS1 §11. The risk assessment, management plans, and monitoring programmes are updated based on management review conclusions where the review identifies that current settings do not adequately reflect project risk or performance. These updates are initiated by the HSESC Manager within [INSERT: timeframe, e.g. 10 business days] of the review sign-off date.</w:t>
      </w:r>
    </w:p>
    <w:p>
      <w:pPr>
        <w:pStyle w:val="NormalNumberedtext"/>
      </w:pPr>
      <w:r>
        <w:t>The continuous improvement process that operationalises management review outputs into the project HSESC programme is governed by the Improvement Planning Procedure, RTPR-HSE-PRO-0007. This procedure does not repeat that process content.</w:t>
      </w:r>
    </w:p>
    <w:p>
      <w:pPr>
        <w:pStyle w:val="NormalNumberedtext"/>
      </w:pPr>
      <w:r>
        <w:t>The following systemic improvement actions are triggered by management review outputs where applicable:</w:t>
      </w:r>
    </w:p>
    <w:p>
      <w:pPr>
        <w:pStyle w:val="NumberedBulletL1"/>
      </w:pPr>
      <w:r>
        <w:t>Update to the project risk register to reflect new or changed risks identified during the review.</w:t>
      </w:r>
    </w:p>
    <w:p>
      <w:pPr>
        <w:pStyle w:val="NumberedBulletL1"/>
      </w:pPr>
      <w:r>
        <w:t>Update to HSESC management plans where review conclusions identify gaps between planned and actual controls.</w:t>
      </w:r>
    </w:p>
    <w:p>
      <w:pPr>
        <w:pStyle w:val="NumberedBulletL1"/>
      </w:pPr>
      <w:r>
        <w:t>Update to the monitoring programme where review findings indicate that current monitoring does not capture the information required to assess HSESC system performance.</w:t>
      </w:r>
    </w:p>
    <w:p>
      <w:pPr>
        <w:pStyle w:val="NumberedBulletL1"/>
      </w:pPr>
      <w:r>
        <w:t>Update to project targets and objectives where the review determines that current settings require revision.</w:t>
      </w:r>
    </w:p>
    <w:p>
      <w:pPr>
        <w:pStyle w:val="Heading2Numbered"/>
      </w:pPr>
      <w:r>
        <w:t>6.3  Minutes, Action Tracking, and Sign-Off</w:t>
      </w:r>
    </w:p>
    <w:p>
      <w:pPr>
        <w:pStyle w:val="NormalNumberedtext"/>
      </w:pPr>
      <w:r>
        <w:t>This section defines the documentation, distribution, action tracking, and formal sign-off requirements for every management review.</w:t>
      </w:r>
    </w:p>
    <w:p>
      <w:pPr>
        <w:pStyle w:val="NormalNumberedtext"/>
      </w:pPr>
      <w:r>
        <w:t>The HSESC Manager ensures minutes are recorded for every management review, distributed to all participants and relevant stakeholders, and retained in the project document management system. Minutes record attendance, agenda items discussed, decisions made, and all actions raised.</w:t>
      </w:r>
    </w:p>
    <w:p>
      <w:pPr>
        <w:pStyle w:val="NormalNumberedtext"/>
      </w:pPr>
      <w:r>
        <w:t>The minutes format and distribution list for this project are defined below. The HSESC Manager distributes final minutes within [INSERT: timeframe, e.g. five business days] of the review date.</w:t>
      </w:r>
    </w:p>
    <w:p>
      <w:pPr>
        <w:pStyle w:val="NormalNumberedtext"/>
      </w:pPr>
      <w:r>
        <w:rPr>
          <w:b/>
          <w:bCs/>
          <w:color w:val="0059D1"/>
        </w:rPr>
        <w:t>[INSERT: minutes_format_and_distribution] — Define the management review minutes format and distribution list for this project, including the document template reference and the list of roles and organisations that receive final minutes.</w:t>
      </w:r>
    </w:p>
    <w:tbl>
      <w:tblPr>
        <w:tblStyle w:val="TableOption1"/>
        <w:tblW w:type="pct" w:w="5000"/>
      </w:tblPr>
      <w:tr>
        <w:tc>
          <w:tcPr>
            <w:shd w:val="clear" w:color="auto" w:fill="FFF2CC"/>
          </w:tcPr>
          <w:p>
            <w:pPr>
              <w:pStyle w:val="Instructions"/>
            </w:pPr>
            <w:r>
              <w:rPr>
                <w:b/>
                <w:bCs/>
                <w:color w:val="C55A11"/>
              </w:rPr>
              <w:t>PROJECT COMPLETION GUIDANCE 3: Define the management review minutes format and distribution list for this project. Insert the document template reference and the complete distribution list in the placeholder above before this document is issued.</w:t>
            </w:r>
          </w:p>
        </w:tc>
      </w:tr>
    </w:tbl>
    <w:p>
      <w:pPr>
        <w:pStyle w:val="Default"/>
      </w:pPr>
    </w:p>
    <w:p>
      <w:pPr>
        <w:pStyle w:val="NormalNumberedtext"/>
      </w:pPr>
      <w:r>
        <w:t>All actions arising from the management review are entered into the project action tracking register with a defined owner, due date, and priority rating. Action tracking for management review outputs follows the process defined in the Improvement Planning Procedure, RTPR-HSE-PRO-0007.</w:t>
      </w:r>
    </w:p>
    <w:p>
      <w:pPr>
        <w:pStyle w:val="NormalNumberedtext"/>
      </w:pPr>
      <w:r>
        <w:t>Table 4: Management Review Action Tracking Requirements</w:t>
      </w:r>
    </w:p>
    <w:tbl>
      <w:tblPr>
        <w:tblStyle w:val="TableOption2"/>
        <w:tblW w:type="pct" w:w="5000"/>
      </w:tblPr>
      <w:tr>
        <w:trPr>
          <w:tblHeader/>
        </w:trPr>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Standard</w:t>
            </w:r>
          </w:p>
        </w:tc>
        <w:tc>
          <w:tcPr>
            <w:shd w:val="clear" w:color="auto" w:fill="1F3864"/>
          </w:tcPr>
          <w:p>
            <w:pPr>
              <w:pStyle w:val="TableContents"/>
            </w:pPr>
            <w:r>
              <w:rPr>
                <w:b/>
                <w:bCs/>
                <w:color w:val="FFFFFF"/>
              </w:rPr>
              <w:t>Project-Specific Detail</w:t>
            </w:r>
          </w:p>
        </w:tc>
      </w:tr>
      <w:tr>
        <w:tc>
          <w:tcPr/>
          <w:p>
            <w:pPr>
              <w:pStyle w:val="TableContents"/>
            </w:pPr>
            <w:r>
              <w:t>Action tracking register location</w:t>
            </w:r>
          </w:p>
        </w:tc>
        <w:tc>
          <w:tcPr/>
          <w:p>
            <w:pPr>
              <w:pStyle w:val="TableContents"/>
            </w:pPr>
            <w:r>
              <w:t>All actions entered within two business days of review sign-off</w:t>
            </w:r>
          </w:p>
        </w:tc>
        <w:tc>
          <w:tcPr/>
          <w:p>
            <w:pPr>
              <w:pStyle w:val="TableContents"/>
            </w:pPr>
            <w:r>
              <w:rPr>
                <w:b/>
                <w:bCs/>
                <w:color w:val="0059D1"/>
              </w:rPr>
              <w:t>[INSERT: action tracking register name and system location]</w:t>
            </w:r>
          </w:p>
        </w:tc>
      </w:tr>
      <w:tr>
        <w:tc>
          <w:tcPr/>
          <w:p>
            <w:pPr>
              <w:pStyle w:val="TableContents"/>
            </w:pPr>
            <w:r>
              <w:t>Action owner assignment</w:t>
            </w:r>
          </w:p>
        </w:tc>
        <w:tc>
          <w:tcPr/>
          <w:p>
            <w:pPr>
              <w:pStyle w:val="TableContents"/>
            </w:pPr>
            <w:r>
              <w:t>Each action assigned to a named position title, not a team or function</w:t>
            </w:r>
          </w:p>
        </w:tc>
        <w:tc>
          <w:tcPr/>
          <w:p>
            <w:pPr>
              <w:pStyle w:val="TableContents"/>
            </w:pPr>
            <w:r>
              <w:rPr>
                <w:b/>
                <w:bCs/>
                <w:color w:val="0059D1"/>
              </w:rPr>
              <w:t>[INSERT: confirm owner assignment process]</w:t>
            </w:r>
          </w:p>
        </w:tc>
      </w:tr>
      <w:tr>
        <w:tc>
          <w:tcPr/>
          <w:p>
            <w:pPr>
              <w:pStyle w:val="TableContents"/>
            </w:pPr>
            <w:r>
              <w:t>Due date assignment</w:t>
            </w:r>
          </w:p>
        </w:tc>
        <w:tc>
          <w:tcPr/>
          <w:p>
            <w:pPr>
              <w:pStyle w:val="TableContents"/>
            </w:pPr>
            <w:r>
              <w:t>Each action assigned a due date consistent with its priority rating</w:t>
            </w:r>
          </w:p>
        </w:tc>
        <w:tc>
          <w:tcPr/>
          <w:p>
            <w:pPr>
              <w:pStyle w:val="TableContents"/>
            </w:pPr>
            <w:r>
              <w:rPr>
                <w:b/>
                <w:bCs/>
                <w:color w:val="0059D1"/>
              </w:rPr>
              <w:t>[INSERT: priority rating definitions if not defined in RTPR-HSE-PRO-0007]</w:t>
            </w:r>
          </w:p>
        </w:tc>
      </w:tr>
      <w:tr>
        <w:tc>
          <w:tcPr/>
          <w:p>
            <w:pPr>
              <w:pStyle w:val="TableContents"/>
            </w:pPr>
            <w:r>
              <w:t>Closure reporting at next review</w:t>
            </w:r>
          </w:p>
        </w:tc>
        <w:tc>
          <w:tcPr/>
          <w:p>
            <w:pPr>
              <w:pStyle w:val="TableContents"/>
            </w:pPr>
            <w:r>
              <w:t>All actions from the previous review reported as closed, overdue, or in progress at the opening of the next review</w:t>
            </w:r>
          </w:p>
        </w:tc>
        <w:tc>
          <w:tcPr/>
          <w:p>
            <w:pPr>
              <w:pStyle w:val="TableContents"/>
            </w:pPr>
            <w:r>
              <w:rPr>
                <w:b/>
                <w:bCs/>
                <w:color w:val="0059D1"/>
              </w:rPr>
              <w:t>[INSERT: confirm reporting format]</w:t>
            </w:r>
          </w:p>
        </w:tc>
      </w:tr>
      <w:tr>
        <w:tc>
          <w:tcPr/>
          <w:p>
            <w:pPr>
              <w:pStyle w:val="TableContents"/>
            </w:pPr>
            <w:r>
              <w:t>Escalation for overdue actions</w:t>
            </w:r>
          </w:p>
        </w:tc>
        <w:tc>
          <w:tcPr/>
          <w:p>
            <w:pPr>
              <w:pStyle w:val="TableContents"/>
            </w:pPr>
            <w:r>
              <w:t>Overdue actions escalated to the project director before the next scheduled review</w:t>
            </w:r>
          </w:p>
        </w:tc>
        <w:tc>
          <w:tcPr/>
          <w:p>
            <w:pPr>
              <w:pStyle w:val="TableContents"/>
            </w:pPr>
            <w:r>
              <w:rPr>
                <w:b/>
                <w:bCs/>
                <w:color w:val="0059D1"/>
              </w:rPr>
              <w:t>[INSERT: escalation timeframe and process]</w:t>
            </w:r>
          </w:p>
        </w:tc>
      </w:tr>
    </w:tbl>
    <w:p>
      <w:pPr>
        <w:pStyle w:val="Default"/>
      </w:pPr>
    </w:p>
    <w:tbl>
      <w:tblPr>
        <w:tblStyle w:val="TableOption1"/>
        <w:tblW w:type="pct" w:w="5000"/>
      </w:tblPr>
      <w:tr>
        <w:tc>
          <w:tcPr>
            <w:shd w:val="clear" w:color="auto" w:fill="FFF2CC"/>
          </w:tcPr>
          <w:p>
            <w:pPr>
              <w:pStyle w:val="Instructions"/>
            </w:pPr>
            <w:r>
              <w:rPr>
                <w:b/>
                <w:bCs/>
                <w:color w:val="C55A11"/>
              </w:rPr>
              <w:t>PROJECT COMPLETION GUIDANCE 4: Define how management review actions are tracked in the project action register and how actions from one review are reported as closed at the next review. Insert the register location and process details in Table 4 above before this document is issued.</w:t>
            </w:r>
          </w:p>
        </w:tc>
      </w:tr>
    </w:tbl>
    <w:p>
      <w:pPr>
        <w:pStyle w:val="Default"/>
      </w:pPr>
    </w:p>
    <w:p>
      <w:pPr>
        <w:pStyle w:val="NormalNumberedtext"/>
      </w:pPr>
      <w:r>
        <w:t>The project director provides formal sign-off on the management review minutes confirming the review was conducted, all mandatory inputs were considered, and the outputs were endorsed. Signed minutes are retained in the project document management system as a quality and compliance record.</w:t>
      </w:r>
    </w:p>
    <w:p>
      <w:pPr>
        <w:pStyle w:val="Heading1Numbered"/>
      </w:pPr>
      <w:r>
        <w:t>7  Definitions and Acronyms</w:t>
      </w:r>
    </w:p>
    <w:p>
      <w:pPr>
        <w:pStyle w:val="NormalNumberedtext"/>
      </w:pPr>
      <w:r>
        <w:t>The following terms are used throughout this procedure. Where a term is also used in other project HSESC procedures, the definition below applies consistently across the system.</w:t>
      </w:r>
    </w:p>
    <w:tbl>
      <w:tblPr>
        <w:tblStyle w:val="TableOption2"/>
        <w:tblW w:type="pct" w:w="5000"/>
      </w:tblPr>
      <w:tr>
        <w:trPr>
          <w:tblHeader/>
        </w:trPr>
        <w:tc>
          <w:tcPr>
            <w:shd w:val="clear" w:color="auto" w:fill="1F3864"/>
          </w:tcPr>
          <w:p>
            <w:pPr>
              <w:pStyle w:val="TableContents"/>
            </w:pPr>
            <w:r>
              <w:rPr>
                <w:b/>
                <w:bCs/>
                <w:color w:val="FFFFFF"/>
              </w:rPr>
              <w:t>Term</w:t>
            </w:r>
          </w:p>
        </w:tc>
        <w:tc>
          <w:tcPr>
            <w:shd w:val="clear" w:color="auto" w:fill="1F3864"/>
          </w:tcPr>
          <w:p>
            <w:pPr>
              <w:pStyle w:val="TableContents"/>
            </w:pPr>
            <w:r>
              <w:rPr>
                <w:b/>
                <w:bCs/>
                <w:color w:val="FFFFFF"/>
              </w:rPr>
              <w:t>Definition</w:t>
            </w:r>
          </w:p>
        </w:tc>
      </w:tr>
      <w:tr>
        <w:tc>
          <w:tcPr/>
          <w:p>
            <w:pPr>
              <w:pStyle w:val="TableContents"/>
            </w:pPr>
            <w:r>
              <w:t>HSESC</w:t>
            </w:r>
          </w:p>
        </w:tc>
        <w:tc>
          <w:tcPr/>
          <w:p>
            <w:pPr>
              <w:pStyle w:val="TableContents"/>
            </w:pPr>
            <w:r>
              <w:t>Health, Safety, Environment and Security Committee — the governance body responsible for overseeing HSESC management system performance across the project.</w:t>
            </w:r>
          </w:p>
        </w:tc>
      </w:tr>
      <w:tr>
        <w:tc>
          <w:tcPr/>
          <w:p>
            <w:pPr>
              <w:pStyle w:val="TableContents"/>
            </w:pPr>
            <w:r>
              <w:t>HSESCLT</w:t>
            </w:r>
          </w:p>
        </w:tc>
        <w:tc>
          <w:tcPr/>
          <w:p>
            <w:pPr>
              <w:pStyle w:val="TableContents"/>
            </w:pPr>
            <w:r>
              <w:t>Health, Safety, Environment, Security and Community Leadership Team — the senior leadership group responsible for providing governance and strategic direction over the HSESC management system, including formal management review.</w:t>
            </w:r>
          </w:p>
        </w:tc>
      </w:tr>
      <w:tr>
        <w:tc>
          <w:tcPr/>
          <w:p>
            <w:pPr>
              <w:pStyle w:val="TableContents"/>
            </w:pPr>
            <w:r>
              <w:t>PRO</w:t>
            </w:r>
          </w:p>
        </w:tc>
        <w:tc>
          <w:tcPr/>
          <w:p>
            <w:pPr>
              <w:pStyle w:val="TableContents"/>
            </w:pPr>
            <w:r>
              <w:t>Procedure — a documented instruction that specifies the method by which an activity or process within the HSESC management system is to be carried out.</w:t>
            </w:r>
          </w:p>
        </w:tc>
      </w:tr>
      <w:tr>
        <w:tc>
          <w:tcPr/>
          <w:p>
            <w:pPr>
              <w:pStyle w:val="TableContents"/>
            </w:pPr>
            <w:r>
              <w:t>RTPR</w:t>
            </w:r>
          </w:p>
        </w:tc>
        <w:tc>
          <w:tcPr/>
          <w:p>
            <w:pPr>
              <w:pStyle w:val="TableContents"/>
            </w:pPr>
            <w:r>
              <w:t>Rio Tinto Projects — the Rio Tinto owner-led project delivery entity accountable for executing capital projects in accordance with Rio Tinto standards, requirements and management systems.</w:t>
            </w:r>
          </w:p>
        </w:tc>
      </w:tr>
      <w:tr>
        <w:tc>
          <w:tcPr/>
          <w:p>
            <w:pPr>
              <w:pStyle w:val="TableContents"/>
            </w:pPr>
            <w:r>
              <w:t>HSE</w:t>
            </w:r>
          </w:p>
        </w:tc>
        <w:tc>
          <w:tcPr/>
          <w:p>
            <w:pPr>
              <w:pStyle w:val="TableContents"/>
            </w:pPr>
            <w:r>
              <w:t>Health, Safety and Environment — the combined discipline area addressing occupational health, safety and environmental protection obligations within the project management system.</w:t>
            </w:r>
          </w:p>
        </w:tc>
      </w:tr>
      <w:tr>
        <w:tc>
          <w:tcPr/>
          <w:p>
            <w:pPr>
              <w:pStyle w:val="TableContents"/>
            </w:pPr>
            <w:r>
              <w:t>MS</w:t>
            </w:r>
          </w:p>
        </w:tc>
        <w:tc>
          <w:tcPr/>
          <w:p>
            <w:pPr>
              <w:pStyle w:val="TableContents"/>
            </w:pPr>
            <w:r>
              <w:t>Management System — the integrated set of policies, standards, procedures, plans and controls used to direct and control an organisation's activities in relation to HSESC performance.</w:t>
            </w:r>
          </w:p>
        </w:tc>
      </w:tr>
      <w:tr>
        <w:tc>
          <w:tcPr/>
          <w:p>
            <w:pPr>
              <w:pStyle w:val="TableContents"/>
            </w:pPr>
            <w:r>
              <w:t>KPI</w:t>
            </w:r>
          </w:p>
        </w:tc>
        <w:tc>
          <w:tcPr/>
          <w:p>
            <w:pPr>
              <w:pStyle w:val="TableContents"/>
            </w:pPr>
            <w:r>
              <w:t>Key Performance Indicator — a quantifiable measure used to evaluate the success or progress of the HSESC management system against defined objectives and targets.</w:t>
            </w:r>
          </w:p>
        </w:tc>
      </w:tr>
      <w:tr>
        <w:tc>
          <w:tcPr/>
          <w:p>
            <w:pPr>
              <w:pStyle w:val="TableContents"/>
            </w:pPr>
            <w:r>
              <w:t>OFI</w:t>
            </w:r>
          </w:p>
        </w:tc>
        <w:tc>
          <w:tcPr/>
          <w:p>
            <w:pPr>
              <w:pStyle w:val="TableContents"/>
            </w:pPr>
            <w:r>
              <w:t>Opportunity for Improvement — an identified area within the HSESC management system where a change or enhancement could result in improved performance, without necessarily being a nonconformance.</w:t>
            </w:r>
          </w:p>
        </w:tc>
      </w:tr>
      <w:tr>
        <w:tc>
          <w:tcPr/>
          <w:p>
            <w:pPr>
              <w:pStyle w:val="TableContents"/>
            </w:pPr>
            <w:r>
              <w:t>CAR</w:t>
            </w:r>
          </w:p>
        </w:tc>
        <w:tc>
          <w:tcPr/>
          <w:p>
            <w:pPr>
              <w:pStyle w:val="TableContents"/>
            </w:pPr>
            <w:r>
              <w:t>Corrective Action Request — a formal documented requirement to address a confirmed nonconformance, audit finding or incident causal factor within the HSESC management system.</w:t>
            </w:r>
          </w:p>
        </w:tc>
      </w:tr>
      <w:tr>
        <w:tc>
          <w:tcPr/>
          <w:p>
            <w:pPr>
              <w:pStyle w:val="TableContents"/>
            </w:pPr>
            <w:r>
              <w:t>NCR</w:t>
            </w:r>
          </w:p>
        </w:tc>
        <w:tc>
          <w:tcPr/>
          <w:p>
            <w:pPr>
              <w:pStyle w:val="TableContents"/>
            </w:pPr>
            <w:r>
              <w:t>Nonconformance Report — a formal record documenting a failure to comply with a specified HSESC management system requirement, standard or procedure.</w:t>
            </w:r>
          </w:p>
        </w:tc>
      </w:tr>
      <w:tr>
        <w:tc>
          <w:tcPr/>
          <w:p>
            <w:pPr>
              <w:pStyle w:val="TableContents"/>
            </w:pPr>
            <w:r>
              <w:t>PDCA</w:t>
            </w:r>
          </w:p>
        </w:tc>
        <w:tc>
          <w:tcPr/>
          <w:p>
            <w:pPr>
              <w:pStyle w:val="TableContents"/>
            </w:pPr>
            <w:r>
              <w:t>Plan-Do-Check-Act — a cyclical continual improvement framework underpinning the structure and operation of the HSESC management system, consistent with ISO 45001 and ISO 14001 requirements.</w:t>
            </w:r>
          </w:p>
        </w:tc>
      </w:tr>
      <w:tr>
        <w:tc>
          <w:tcPr/>
          <w:p>
            <w:pPr>
              <w:pStyle w:val="TableContents"/>
            </w:pPr>
            <w:r>
              <w:t>ISO</w:t>
            </w:r>
          </w:p>
        </w:tc>
        <w:tc>
          <w:tcPr/>
          <w:p>
            <w:pPr>
              <w:pStyle w:val="TableContents"/>
            </w:pPr>
            <w:r>
              <w:t>International Organization for Standardization — the international body that publishes standards including ISO 45001 (Occupational Health and Safety Management Systems) and ISO 14001 (Environmental Management Systems), which inform the Rio Tinto HSESC management system framework.</w:t>
            </w:r>
          </w:p>
        </w:tc>
      </w:tr>
      <w:tr>
        <w:tc>
          <w:tcPr/>
          <w:p>
            <w:pPr>
              <w:pStyle w:val="TableContents"/>
            </w:pPr>
            <w:r>
              <w:t>RT</w:t>
            </w:r>
          </w:p>
        </w:tc>
        <w:tc>
          <w:tcPr/>
          <w:p>
            <w:pPr>
              <w:pStyle w:val="TableContents"/>
            </w:pPr>
            <w:r>
              <w:t>Rio Tinto — the parent company whose standards, requirements and risk management framework govern the HSESC management system applied across all owner-led projects.</w:t>
            </w:r>
          </w:p>
        </w:tc>
      </w:tr>
      <w:tr>
        <w:tc>
          <w:tcPr/>
          <w:p>
            <w:pPr>
              <w:pStyle w:val="TableContents"/>
            </w:pPr>
            <w:r>
              <w:t>CAPA</w:t>
            </w:r>
          </w:p>
        </w:tc>
        <w:tc>
          <w:tcPr/>
          <w:p>
            <w:pPr>
              <w:pStyle w:val="TableContents"/>
            </w:pPr>
            <w:r>
              <w:t>Corrective and Preventive Action — a structured response to identified nonconformances, incidents or audit findings that addresses root causes and prevents recurrence within the HSESC management system.</w:t>
            </w:r>
          </w:p>
        </w:tc>
      </w:tr>
      <w:tr>
        <w:tc>
          <w:tcPr/>
          <w:p>
            <w:pPr>
              <w:pStyle w:val="TableContents"/>
            </w:pPr>
            <w:r>
              <w:t>SLT</w:t>
            </w:r>
          </w:p>
        </w:tc>
        <w:tc>
          <w:tcPr/>
          <w:p>
            <w:pPr>
              <w:pStyle w:val="TableContents"/>
            </w:pPr>
            <w:r>
              <w:t>Senior Leadership Team — the senior project management personnel who participate in formal management review meetings and hold accountability for HSESC system performance and resource allocation.</w:t>
            </w:r>
          </w:p>
        </w:tc>
      </w:tr>
      <w:tr>
        <w:tc>
          <w:tcPr/>
          <w:p>
            <w:pPr>
              <w:pStyle w:val="TableContents"/>
            </w:pPr>
            <w:r>
              <w:t>MRM</w:t>
            </w:r>
          </w:p>
        </w:tc>
        <w:tc>
          <w:tcPr/>
          <w:p>
            <w:pPr>
              <w:pStyle w:val="TableContents"/>
            </w:pPr>
            <w:r>
              <w:t>Management Review Meeting — a formal, scheduled meeting at which the HSESCLT reviews the performance, suitability, adequacy and effectiveness of the HSESC management system and approves actions for continual improvement.</w:t>
            </w:r>
          </w:p>
        </w:tc>
      </w:tr>
      <w:tr>
        <w:tc>
          <w:tcPr/>
          <w:p>
            <w:pPr>
              <w:pStyle w:val="TableContents"/>
            </w:pPr>
            <w:r>
              <w:rPr>
                <w:b/>
                <w:bCs/>
                <w:color w:val="0059D1"/>
              </w:rPr>
              <w:t>[INSERT: add project-specific terms]</w:t>
            </w:r>
          </w:p>
        </w:tc>
        <w:tc>
          <w:tcPr/>
          <w:p>
            <w:pPr>
              <w:pStyle w:val="TableContents"/>
            </w:pPr>
            <w:r>
              <w:rPr>
                <w:b/>
                <w:bCs/>
                <w:color w:val="0059D1"/>
              </w:rPr>
              <w:t>[INSERT: definition]</w:t>
            </w:r>
          </w:p>
        </w:tc>
      </w:tr>
    </w:tbl>
    <w:p>
      <w:pPr>
        <w:pStyle w:val="Default"/>
      </w:pPr>
    </w:p>
    <w:p>
      <w:pPr>
        <w:pStyle w:val="Heading1Numbered"/>
      </w:pPr>
      <w:r>
        <w:t>8  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tbl>
      <w:tblPr>
        <w:tblStyle w:val="TableOption2"/>
        <w:tblW w:type="pct" w:w="5000"/>
      </w:tblPr>
      <w:tr>
        <w:trPr>
          <w:tblHeader/>
        </w:trPr>
        <w:tc>
          <w:tcPr>
            <w:shd w:val="clear" w:color="auto" w:fill="1F3864"/>
          </w:tcPr>
          <w:p>
            <w:pPr>
              <w:pStyle w:val="TableContents"/>
            </w:pPr>
            <w:r>
              <w:rPr>
                <w:b/>
                <w:bCs/>
                <w:color w:val="FFFFFF"/>
              </w:rPr>
              <w:t>Document</w:t>
            </w:r>
          </w:p>
        </w:tc>
        <w:tc>
          <w:tcPr>
            <w:shd w:val="clear" w:color="auto" w:fill="1F3864"/>
          </w:tcPr>
          <w:p>
            <w:pPr>
              <w:pStyle w:val="TableContents"/>
            </w:pPr>
            <w:r>
              <w:rPr>
                <w:b/>
                <w:bCs/>
                <w:color w:val="FFFFFF"/>
              </w:rPr>
              <w:t>Reference</w:t>
            </w:r>
          </w:p>
        </w:tc>
        <w:tc>
          <w:tcPr>
            <w:shd w:val="clear" w:color="auto" w:fill="1F3864"/>
          </w:tcPr>
          <w:p>
            <w:pPr>
              <w:pStyle w:val="TableContents"/>
            </w:pPr>
            <w:r>
              <w:rPr>
                <w:b/>
                <w:bCs/>
                <w:color w:val="FFFFFF"/>
              </w:rPr>
              <w:t>Type</w:t>
            </w:r>
          </w:p>
        </w:tc>
      </w:tr>
      <w:tr>
        <w:tc>
          <w:tcPr/>
          <w:p>
            <w:pPr>
              <w:pStyle w:val="TableContents"/>
            </w:pPr>
            <w:r>
              <w:t>Improvement Planning Procedure</w:t>
            </w:r>
          </w:p>
        </w:tc>
        <w:tc>
          <w:tcPr/>
          <w:p>
            <w:pPr>
              <w:pStyle w:val="TableContents"/>
            </w:pPr>
            <w:r>
              <w:t>RTPR-HSE-PRO-0007</w:t>
            </w:r>
          </w:p>
        </w:tc>
        <w:tc>
          <w:tcPr/>
          <w:p>
            <w:pPr>
              <w:pStyle w:val="TableContents"/>
            </w:pPr>
            <w:r>
              <w:t>Internal procedure</w:t>
            </w:r>
          </w:p>
        </w:tc>
      </w:tr>
      <w:tr>
        <w:tc>
          <w:tcPr/>
          <w:p>
            <w:pPr>
              <w:pStyle w:val="TableContents"/>
            </w:pPr>
            <w:r>
              <w:t>Monitoring Procedure</w:t>
            </w:r>
          </w:p>
        </w:tc>
        <w:tc>
          <w:tcPr/>
          <w:p>
            <w:pPr>
              <w:pStyle w:val="TableContents"/>
            </w:pPr>
            <w:r>
              <w:t>RTPR-HSE-PRO-0042</w:t>
            </w:r>
          </w:p>
        </w:tc>
        <w:tc>
          <w:tcPr/>
          <w:p>
            <w:pPr>
              <w:pStyle w:val="TableContents"/>
            </w:pPr>
            <w:r>
              <w:t>Internal procedure</w:t>
            </w:r>
          </w:p>
        </w:tc>
      </w:tr>
      <w:tr>
        <w:tc>
          <w:tcPr/>
          <w:p>
            <w:pPr>
              <w:pStyle w:val="TableContents"/>
            </w:pPr>
            <w:r>
              <w:t>Auditing Procedure</w:t>
            </w:r>
          </w:p>
        </w:tc>
        <w:tc>
          <w:tcPr/>
          <w:p>
            <w:pPr>
              <w:pStyle w:val="TableContents"/>
            </w:pPr>
            <w:r>
              <w:t>RTPR-HSE-PRO-0044</w:t>
            </w:r>
          </w:p>
        </w:tc>
        <w:tc>
          <w:tcPr/>
          <w:p>
            <w:pPr>
              <w:pStyle w:val="TableContents"/>
            </w:pPr>
            <w:r>
              <w:t>Internal procedure</w:t>
            </w:r>
          </w:p>
        </w:tc>
      </w:tr>
      <w:tr>
        <w:tc>
          <w:tcPr/>
          <w:p>
            <w:pPr>
              <w:pStyle w:val="TableContents"/>
            </w:pPr>
            <w:r>
              <w:t>Incident Management Procedure</w:t>
            </w:r>
          </w:p>
        </w:tc>
        <w:tc>
          <w:tcPr/>
          <w:p>
            <w:pPr>
              <w:pStyle w:val="TableContents"/>
            </w:pPr>
            <w:r>
              <w:t>RTPR-HSE-PRO-0009</w:t>
            </w:r>
          </w:p>
        </w:tc>
        <w:tc>
          <w:tcPr/>
          <w:p>
            <w:pPr>
              <w:pStyle w:val="TableContents"/>
            </w:pPr>
            <w:r>
              <w:t>Internal procedure</w:t>
            </w:r>
          </w:p>
        </w:tc>
      </w:tr>
      <w:tr>
        <w:tc>
          <w:tcPr/>
          <w:p>
            <w:pPr>
              <w:pStyle w:val="TableContents"/>
            </w:pPr>
            <w:r>
              <w:t>Organisational Resources Procedure</w:t>
            </w:r>
          </w:p>
        </w:tc>
        <w:tc>
          <w:tcPr/>
          <w:p>
            <w:pPr>
              <w:pStyle w:val="TableContents"/>
            </w:pPr>
            <w:r>
              <w:t>RTPR-HSE-PRO-0003</w:t>
            </w:r>
          </w:p>
        </w:tc>
        <w:tc>
          <w:tcPr/>
          <w:p>
            <w:pPr>
              <w:pStyle w:val="TableContents"/>
            </w:pPr>
            <w:r>
              <w:t>Internal procedure</w:t>
            </w:r>
          </w:p>
        </w:tc>
      </w:tr>
      <w:tr>
        <w:tc>
          <w:tcPr/>
          <w:p>
            <w:pPr>
              <w:pStyle w:val="TableContents"/>
            </w:pPr>
            <w:r>
              <w:t>Rio Tinto Risk Management Standard</w:t>
            </w:r>
          </w:p>
        </w:tc>
        <w:tc>
          <w:tcPr/>
          <w:p>
            <w:pPr>
              <w:pStyle w:val="TableContents"/>
            </w:pPr>
            <w:r>
              <w:t>Rio Tinto Risk Management Standard</w:t>
            </w:r>
          </w:p>
        </w:tc>
        <w:tc>
          <w:tcPr/>
          <w:p>
            <w:pPr>
              <w:pStyle w:val="TableContents"/>
            </w:pPr>
            <w:r>
              <w:t>External RT</w:t>
            </w:r>
          </w:p>
        </w:tc>
      </w:tr>
      <w:tr>
        <w:tc>
          <w:tcPr/>
          <w:p>
            <w:pPr>
              <w:pStyle w:val="TableContents"/>
            </w:pPr>
            <w:r>
              <w:t>Rio Tinto Risk Management Standard — Appendix C, Section C-1</w:t>
            </w:r>
          </w:p>
        </w:tc>
        <w:tc>
          <w:tcPr/>
          <w:p>
            <w:pPr>
              <w:pStyle w:val="TableContents"/>
            </w:pPr>
            <w:r>
              <w:t>Rio Tinto Risk Management Standard, Appendix C, C-1</w:t>
            </w:r>
          </w:p>
        </w:tc>
        <w:tc>
          <w:tcPr/>
          <w:p>
            <w:pPr>
              <w:pStyle w:val="TableContents"/>
            </w:pPr>
            <w:r>
              <w:t>External RT</w:t>
            </w:r>
          </w:p>
        </w:tc>
      </w:tr>
      <w:tr>
        <w:tc>
          <w:tcPr/>
          <w:p>
            <w:pPr>
              <w:pStyle w:val="TableContents"/>
            </w:pPr>
            <w:r>
              <w:t>ISO 45001 — Occupational Health and Safety Management Systems — Requirements with Guidance for Use</w:t>
            </w:r>
          </w:p>
        </w:tc>
        <w:tc>
          <w:tcPr/>
          <w:p>
            <w:pPr>
              <w:pStyle w:val="TableContents"/>
            </w:pPr>
            <w:r>
              <w:t>ISO 45001:2018</w:t>
            </w:r>
          </w:p>
        </w:tc>
        <w:tc>
          <w:tcPr/>
          <w:p>
            <w:pPr>
              <w:pStyle w:val="TableContents"/>
            </w:pPr>
            <w:r>
              <w:t>External framework</w:t>
            </w:r>
          </w:p>
        </w:tc>
      </w:tr>
      <w:tr>
        <w:tc>
          <w:tcPr/>
          <w:p>
            <w:pPr>
              <w:pStyle w:val="TableContents"/>
            </w:pPr>
            <w:r>
              <w:t>ISO 14001 — Environmental Management Systems — Requirements with Guidance for Use</w:t>
            </w:r>
          </w:p>
        </w:tc>
        <w:tc>
          <w:tcPr/>
          <w:p>
            <w:pPr>
              <w:pStyle w:val="TableContents"/>
            </w:pPr>
            <w:r>
              <w:t>ISO 14001:2015</w:t>
            </w:r>
          </w:p>
        </w:tc>
        <w:tc>
          <w:tcPr/>
          <w:p>
            <w:pPr>
              <w:pStyle w:val="TableContents"/>
            </w:pPr>
            <w:r>
              <w:t>External framework</w:t>
            </w:r>
          </w:p>
        </w:tc>
      </w:tr>
      <w:tr>
        <w:tc>
          <w:tcPr/>
          <w:p>
            <w:pPr>
              <w:pStyle w:val="TableContents"/>
            </w:pPr>
            <w:r>
              <w:t>ISO 9001 — Quality Management Systems — Requirements</w:t>
            </w:r>
          </w:p>
        </w:tc>
        <w:tc>
          <w:tcPr/>
          <w:p>
            <w:pPr>
              <w:pStyle w:val="TableContents"/>
            </w:pPr>
            <w:r>
              <w:t>ISO 9001:2015</w:t>
            </w:r>
          </w:p>
        </w:tc>
        <w:tc>
          <w:tcPr/>
          <w:p>
            <w:pPr>
              <w:pStyle w:val="TableContents"/>
            </w:pPr>
            <w:r>
              <w:t>External framework</w:t>
            </w:r>
          </w:p>
        </w:tc>
      </w:tr>
      <w:tr>
        <w:tc>
          <w:tcPr/>
          <w:p>
            <w:pPr>
              <w:pStyle w:val="TableContents"/>
            </w:pPr>
            <w:r>
              <w:rPr>
                <w:b/>
                <w:bCs/>
                <w:color w:val="0059D1"/>
              </w:rPr>
              <w:t>[INSERT: further referenced document, where applicable]</w:t>
            </w:r>
          </w:p>
        </w:tc>
        <w:tc>
          <w:tcPr/>
          <w:p>
            <w:pPr>
              <w:pStyle w:val="TableContents"/>
            </w:pPr>
            <w:r>
              <w:rPr>
                <w:b/>
                <w:bCs/>
                <w:color w:val="0059D1"/>
              </w:rPr>
              <w:t>[INSERT: reference]</w:t>
            </w:r>
          </w:p>
        </w:tc>
        <w:tc>
          <w:tcPr/>
          <w:p>
            <w:pPr>
              <w:pStyle w:val="TableContents"/>
            </w:pPr>
            <w:r>
              <w:rPr>
                <w:b/>
                <w:bCs/>
                <w:color w:val="0059D1"/>
              </w:rPr>
              <w:t>[INSERT: type]</w:t>
            </w:r>
          </w:p>
        </w:tc>
      </w:tr>
    </w:tbl>
    <w:p>
      <w:pPr>
        <w:pStyle w:val="Default"/>
      </w:pPr>
    </w:p>
    <w:p>
      <w:pPr>
        <w:pStyle w:val="Heading1Numbered"/>
      </w:pPr>
      <w:r>
        <w:t>9  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new content additions</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p>
      <w:pPr>
        <w:pStyle w:val="NormalNumberedtext"/>
      </w:pPr>
      <w:r>
        <w:t>Records of content removal</w:t>
      </w:r>
    </w:p>
    <w:tbl>
      <w:tblPr>
        <w:tblStyle w:val="TableOption2"/>
        <w:tblW w:type="pct" w:w="5000"/>
      </w:tblPr>
      <w:tr>
        <w:trPr>
          <w:tblHeader/>
        </w:trPr>
        <w:tc>
          <w:tcPr>
            <w:shd w:val="clear" w:color="auto" w:fill="1F3864"/>
          </w:tcPr>
          <w:p>
            <w:pPr>
              <w:pStyle w:val="TableContents"/>
            </w:pPr>
            <w:r>
              <w:rPr>
                <w:b/>
                <w:bCs/>
                <w:color w:val="FFFFFF"/>
              </w:rPr>
              <w:t>Description of the Change</w:t>
            </w:r>
          </w:p>
        </w:tc>
        <w:tc>
          <w:tcPr>
            <w:shd w:val="clear" w:color="auto" w:fill="1F3864"/>
          </w:tcPr>
          <w:p>
            <w:pPr>
              <w:pStyle w:val="TableContents"/>
            </w:pPr>
            <w:r>
              <w:rPr>
                <w:b/>
                <w:bCs/>
                <w:color w:val="FFFFFF"/>
              </w:rPr>
              <w:t>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r>
        <w:tc>
          <w:tcPr/>
          <w:p>
            <w:pPr>
              <w:pStyle w:val="TableContents"/>
            </w:pPr>
            <w:r>
              <w:rPr>
                <w:b/>
                <w:bCs/>
                <w:color w:val="0059D1"/>
              </w:rPr>
              <w:t>[INSERT: description of change]</w:t>
            </w:r>
          </w:p>
        </w:tc>
        <w:tc>
          <w:tcPr/>
          <w:p>
            <w:pPr>
              <w:pStyle w:val="TableContents"/>
            </w:pPr>
            <w:r>
              <w:rPr>
                <w:b/>
                <w:bCs/>
                <w:color w:val="0059D1"/>
              </w:rPr>
              <w:t>[INSERT: section]</w:t>
            </w:r>
          </w:p>
        </w:tc>
      </w:tr>
    </w:tbl>
    <w:p>
      <w:pPr>
        <w:pStyle w:val="Default"/>
      </w:pPr>
    </w:p>
    <w:tbl>
      <w:tblPr>
        <w:tblStyle w:val="TableOption1"/>
        <w:tblW w:type="pct" w:w="5000"/>
      </w:tblPr>
      <w:tr>
        <w:tc>
          <w:tcPr>
            <w:shd w:val="clear" w:color="auto" w:fill="FCE4D6"/>
          </w:tcPr>
          <w:p>
            <w:pPr>
              <w:pStyle w:val="Instructions"/>
            </w:pPr>
            <w:r>
              <w:rPr>
                <w:b/>
                <w:bCs/>
                <w:color w:val="C55A11"/>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Default"/>
      </w:pPr>
    </w:p>
    <w:p>
      <w:pPr>
        <w:pStyle w:val="Heading1Numbered"/>
      </w:pPr>
      <w:r>
        <w:t>10  Source Requirements Traceability (DELETE BEFORE ISSUE)</w:t>
      </w:r>
    </w:p>
    <w:p>
      <w:pPr>
        <w:pStyle w:val="Heading2Numbered"/>
      </w:pPr>
      <w:r>
        <w:t>10.1  Requirements Addressed in This Procedure</w:t>
      </w:r>
    </w:p>
    <w:tbl>
      <w:tblPr>
        <w:tblStyle w:val="TableOption2"/>
        <w:tblW w:type="pct" w:w="5000"/>
      </w:tblPr>
      <w:tr>
        <w:trPr>
          <w:tblHeader/>
        </w:trPr>
        <w:tc>
          <w:tcPr>
            <w:shd w:val="clear" w:color="auto" w:fill="1F3864"/>
          </w:tcPr>
          <w:p>
            <w:pPr>
              <w:pStyle w:val="TableContents"/>
            </w:pPr>
            <w:r>
              <w:rPr>
                <w:b/>
                <w:bCs/>
                <w:color w:val="FFFFFF"/>
              </w:rPr>
              <w:t>Section</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Requirement</w:t>
            </w:r>
          </w:p>
        </w:tc>
        <w:tc>
          <w:tcPr>
            <w:shd w:val="clear" w:color="auto" w:fill="1F3864"/>
          </w:tcPr>
          <w:p>
            <w:pPr>
              <w:pStyle w:val="TableContents"/>
            </w:pPr>
            <w:r>
              <w:rPr>
                <w:b/>
                <w:bCs/>
                <w:color w:val="FFFFFF"/>
              </w:rPr>
              <w:t>Status</w:t>
            </w:r>
          </w:p>
        </w:tc>
      </w:tr>
      <w:tr>
        <w:tc>
          <w:tcPr/>
          <w:p>
            <w:pPr>
              <w:pStyle w:val="TableContents"/>
            </w:pPr>
            <w:r>
              <w:rPr>
                <w:b/>
                <w:bCs/>
                <w:color w:val="0059D1"/>
              </w:rPr>
              <w:t>[INSERT: section]</w:t>
            </w:r>
          </w:p>
        </w:tc>
        <w:tc>
          <w:tcPr/>
          <w:p>
            <w:pPr>
              <w:pStyle w:val="TableContents"/>
            </w:pPr>
            <w:r>
              <w:t>Appendix C C-1 §41.2</w:t>
            </w:r>
          </w:p>
        </w:tc>
        <w:tc>
          <w:tcPr/>
          <w:p>
            <w:pPr>
              <w:pStyle w:val="TableContents"/>
            </w:pPr>
            <w:r>
              <w:t>Requires management reviews aligned to defined project phases with specified mandatory participants and inputs including performance metrics, audit findings, incident trends, and CRM performance.</w:t>
            </w:r>
          </w:p>
        </w:tc>
        <w:tc>
          <w:tcPr/>
          <w:p>
            <w:pPr>
              <w:pStyle w:val="TableContents"/>
            </w:pPr>
            <w:r>
              <w:t>Full</w:t>
            </w:r>
          </w:p>
        </w:tc>
      </w:tr>
      <w:tr>
        <w:tc>
          <w:tcPr/>
          <w:p>
            <w:pPr>
              <w:pStyle w:val="TableContents"/>
            </w:pPr>
            <w:r>
              <w:rPr>
                <w:b/>
                <w:bCs/>
                <w:color w:val="0059D1"/>
              </w:rPr>
              <w:t>[INSERT: section]</w:t>
            </w:r>
          </w:p>
        </w:tc>
        <w:tc>
          <w:tcPr/>
          <w:p>
            <w:pPr>
              <w:pStyle w:val="TableContents"/>
            </w:pPr>
            <w:r>
              <w:t>Appendix C C-1 §40</w:t>
            </w:r>
          </w:p>
        </w:tc>
        <w:tc>
          <w:tcPr/>
          <w:p>
            <w:pPr>
              <w:pStyle w:val="TableContents"/>
            </w:pPr>
            <w:r>
              <w:t>Requires mandatory inputs to management review covering audit and inspection findings, performance data, and status of previous actions.</w:t>
            </w:r>
          </w:p>
        </w:tc>
        <w:tc>
          <w:tcPr/>
          <w:p>
            <w:pPr>
              <w:pStyle w:val="TableContents"/>
            </w:pPr>
            <w:r>
              <w:t>Full</w:t>
            </w:r>
          </w:p>
        </w:tc>
      </w:tr>
      <w:tr>
        <w:tc>
          <w:tcPr/>
          <w:p>
            <w:pPr>
              <w:pStyle w:val="TableContents"/>
            </w:pPr>
            <w:r>
              <w:rPr>
                <w:b/>
                <w:bCs/>
                <w:color w:val="0059D1"/>
              </w:rPr>
              <w:t>[INSERT: section]</w:t>
            </w:r>
          </w:p>
        </w:tc>
        <w:tc>
          <w:tcPr/>
          <w:p>
            <w:pPr>
              <w:pStyle w:val="TableContents"/>
            </w:pPr>
            <w:r>
              <w:t>TSM Safe, Healthy and Respectful Workplaces Protocol, Indicator SH1</w:t>
            </w:r>
          </w:p>
        </w:tc>
        <w:tc>
          <w:tcPr/>
          <w:p>
            <w:pPr>
              <w:pStyle w:val="TableContents"/>
            </w:pPr>
            <w:r>
              <w:t>Requires senior management to set safety and health targets through the management review process and review performance against them at each review cycle.</w:t>
            </w:r>
          </w:p>
        </w:tc>
        <w:tc>
          <w:tcPr/>
          <w:p>
            <w:pPr>
              <w:pStyle w:val="TableContents"/>
            </w:pPr>
            <w:r>
              <w:t>Full</w:t>
            </w:r>
          </w:p>
        </w:tc>
      </w:tr>
      <w:tr>
        <w:tc>
          <w:tcPr/>
          <w:p>
            <w:pPr>
              <w:pStyle w:val="TableContents"/>
            </w:pPr>
            <w:r>
              <w:rPr>
                <w:b/>
                <w:bCs/>
                <w:color w:val="0059D1"/>
              </w:rPr>
              <w:t>[INSERT: section]</w:t>
            </w:r>
          </w:p>
        </w:tc>
        <w:tc>
          <w:tcPr/>
          <w:p>
            <w:pPr>
              <w:pStyle w:val="TableContents"/>
            </w:pPr>
            <w:r>
              <w:t>ICMM Principle 5, Performance Expectation 5.1</w:t>
            </w:r>
          </w:p>
        </w:tc>
        <w:tc>
          <w:tcPr/>
          <w:p>
            <w:pPr>
              <w:pStyle w:val="TableContents"/>
            </w:pPr>
            <w:r>
              <w:t>Requires explicit review at each management review of performance against goals for elimination of fatalities, serious injuries, and psychosocial hazards.</w:t>
            </w:r>
          </w:p>
        </w:tc>
        <w:tc>
          <w:tcPr/>
          <w:p>
            <w:pPr>
              <w:pStyle w:val="TableContents"/>
            </w:pPr>
            <w:r>
              <w:t>Full</w:t>
            </w:r>
          </w:p>
        </w:tc>
      </w:tr>
      <w:tr>
        <w:tc>
          <w:tcPr/>
          <w:p>
            <w:pPr>
              <w:pStyle w:val="TableContents"/>
            </w:pPr>
            <w:r>
              <w:rPr>
                <w:b/>
                <w:bCs/>
                <w:color w:val="0059D1"/>
              </w:rPr>
              <w:t>[INSERT: section]</w:t>
            </w:r>
          </w:p>
        </w:tc>
        <w:tc>
          <w:tcPr/>
          <w:p>
            <w:pPr>
              <w:pStyle w:val="TableContents"/>
            </w:pPr>
            <w:r>
              <w:t>IFC PS1 §22</w:t>
            </w:r>
          </w:p>
        </w:tc>
        <w:tc>
          <w:tcPr/>
          <w:p>
            <w:pPr>
              <w:pStyle w:val="TableContents"/>
            </w:pPr>
            <w:r>
              <w:t>Requires monitoring data and stakeholder feedback to be incorporated into management review inputs so the review reflects real-world project performance.</w:t>
            </w:r>
          </w:p>
        </w:tc>
        <w:tc>
          <w:tcPr/>
          <w:p>
            <w:pPr>
              <w:pStyle w:val="TableContents"/>
            </w:pPr>
            <w:r>
              <w:t>Full</w:t>
            </w:r>
          </w:p>
        </w:tc>
      </w:tr>
      <w:tr>
        <w:tc>
          <w:tcPr/>
          <w:p>
            <w:pPr>
              <w:pStyle w:val="TableContents"/>
            </w:pPr>
            <w:r>
              <w:rPr>
                <w:b/>
                <w:bCs/>
                <w:color w:val="0059D1"/>
              </w:rPr>
              <w:t>[INSERT: section]</w:t>
            </w:r>
          </w:p>
        </w:tc>
        <w:tc>
          <w:tcPr/>
          <w:p>
            <w:pPr>
              <w:pStyle w:val="TableContents"/>
            </w:pPr>
            <w:r>
              <w:t>IFC PS1 §11</w:t>
            </w:r>
          </w:p>
        </w:tc>
        <w:tc>
          <w:tcPr/>
          <w:p>
            <w:pPr>
              <w:pStyle w:val="TableContents"/>
            </w:pPr>
            <w:r>
              <w:t>Requires management review outputs to drive systemic improvement in the management system and to update risk assessments, management plans, and monitoring programmes.</w:t>
            </w:r>
          </w:p>
        </w:tc>
        <w:tc>
          <w:tcPr/>
          <w:p>
            <w:pPr>
              <w:pStyle w:val="TableContents"/>
            </w:pPr>
            <w:r>
              <w:t>Full</w:t>
            </w:r>
          </w:p>
        </w:tc>
      </w:tr>
      <w:tr>
        <w:tc>
          <w:tcPr/>
          <w:p>
            <w:pPr>
              <w:pStyle w:val="TableContents"/>
            </w:pPr>
            <w:r>
              <w:rPr>
                <w:b/>
                <w:bCs/>
                <w:color w:val="0059D1"/>
              </w:rPr>
              <w:t>[INSERT: section]</w:t>
            </w:r>
          </w:p>
        </w:tc>
        <w:tc>
          <w:tcPr/>
          <w:p>
            <w:pPr>
              <w:pStyle w:val="TableContents"/>
            </w:pPr>
            <w:r>
              <w:t>OSHA RP 2016 – Program Evaluation and Improvement</w:t>
            </w:r>
          </w:p>
        </w:tc>
        <w:tc>
          <w:tcPr/>
          <w:p>
            <w:pPr>
              <w:pStyle w:val="TableContents"/>
            </w:pPr>
            <w:r>
              <w:t>Requires evaluation of the overall effectiveness of the safety and health programme during management review, with programme-level improvement targets set for the next review period.</w:t>
            </w:r>
          </w:p>
        </w:tc>
        <w:tc>
          <w:tcPr/>
          <w:p>
            <w:pPr>
              <w:pStyle w:val="TableContents"/>
            </w:pPr>
            <w:r>
              <w:t>Full</w:t>
            </w:r>
          </w:p>
        </w:tc>
      </w:tr>
    </w:tbl>
    <w:p>
      <w:pPr>
        <w:pStyle w:val="Default"/>
      </w:pPr>
    </w:p>
    <w:p>
      <w:pPr>
        <w:pStyle w:val="Heading2Numbered"/>
      </w:pPr>
      <w:r>
        <w:t>10.2  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tbl>
      <w:tblPr>
        <w:tblStyle w:val="TableOption2"/>
        <w:tblW w:type="pct" w:w="5000"/>
      </w:tblPr>
      <w:tr>
        <w:trPr>
          <w:tblHeader/>
        </w:trPr>
        <w:tc>
          <w:tcPr>
            <w:shd w:val="clear" w:color="auto" w:fill="1F3864"/>
          </w:tcPr>
          <w:p>
            <w:pPr>
              <w:pStyle w:val="TableContents"/>
            </w:pPr>
            <w:r>
              <w:rPr>
                <w:b/>
                <w:bCs/>
                <w:color w:val="FFFFFF"/>
              </w:rPr>
              <w:t>Requirement Not Covered</w:t>
            </w:r>
          </w:p>
        </w:tc>
        <w:tc>
          <w:tcPr>
            <w:shd w:val="clear" w:color="auto" w:fill="1F3864"/>
          </w:tcPr>
          <w:p>
            <w:pPr>
              <w:pStyle w:val="TableContents"/>
            </w:pPr>
            <w:r>
              <w:rPr>
                <w:b/>
                <w:bCs/>
                <w:color w:val="FFFFFF"/>
              </w:rPr>
              <w:t>Source</w:t>
            </w:r>
          </w:p>
        </w:tc>
        <w:tc>
          <w:tcPr>
            <w:shd w:val="clear" w:color="auto" w:fill="1F3864"/>
          </w:tcPr>
          <w:p>
            <w:pPr>
              <w:pStyle w:val="TableContents"/>
            </w:pPr>
            <w:r>
              <w:rPr>
                <w:b/>
                <w:bCs/>
                <w:color w:val="FFFFFF"/>
              </w:rPr>
              <w:t>Justification</w:t>
            </w:r>
          </w:p>
        </w:tc>
      </w:tr>
      <w:tr>
        <w:tc>
          <w:tcPr/>
          <w:p>
            <w:pPr>
              <w:pStyle w:val="TableContents"/>
            </w:pPr>
            <w:r>
              <w:rPr>
                <w:b/>
                <w:bCs/>
                <w:color w:val="0059D1"/>
              </w:rPr>
              <w:t>[INSERT: description of requirement not covered]</w:t>
            </w:r>
          </w:p>
        </w:tc>
        <w:tc>
          <w:tcPr/>
          <w:p>
            <w:pPr>
              <w:pStyle w:val="TableContents"/>
            </w:pPr>
            <w:r>
              <w:rPr>
                <w:b/>
                <w:bCs/>
                <w:color w:val="0059D1"/>
              </w:rPr>
              <w:t>[INSERT: source and clause]</w:t>
            </w:r>
          </w:p>
        </w:tc>
        <w:tc>
          <w:tcPr/>
          <w:p>
            <w:pPr>
              <w:pStyle w:val="TableContents"/>
            </w:pPr>
            <w:r>
              <w:rPr>
                <w:b/>
                <w:bCs/>
                <w:color w:val="0059D1"/>
              </w:rPr>
              <w:t>[INSERT: specific written justification]</w:t>
            </w:r>
          </w:p>
        </w:tc>
      </w:tr>
    </w:tbl>
    <w:p>
      <w:pPr>
        <w:pStyle w:val="Defaul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