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Scaffolding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Scaffolding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Scaffolding is one of the highest-risk activities on any construction project — it combines working at height, heavy manual tasks, complex temporary structure integrity, and simultaneous activities involving multiple trades. This procedure addresses the full scaffold lifecycle: planning and design; erection; use; inspection; modification; and dismantling. For work performed from scaffold (as opposed to erection and dismantling), the Working at Heights Procedure also applies.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scaffolding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scaffold lifecycle phases it governs, and its application to all personnel involved in scaffolding activities on the project.</w:t>
      </w:r>
    </w:p>
    <w:p>
      <w:pPr>
        <w:pStyle w:val="Heading2Numbered"/>
      </w:pPr>
      <w:r>
        <w:t>3.1  Purpose of This Document</w:t>
      </w:r>
    </w:p>
    <w:p>
      <w:pPr>
        <w:pStyle w:val="NormalNumberedtext"/>
      </w:pPr>
      <w:r>
        <w:t>This procedure establishes the minimum requirements for the safe management of scaffolding across the full scaffold lifecycle.</w:t>
      </w:r>
    </w:p>
    <w:p>
      <w:pPr>
        <w:pStyle w:val="NormalNumberedtext"/>
      </w:pPr>
      <w:r>
        <w:t>This procedure applies the scaffold management requirements defined in the Rio Tinto APPC and applicable international standards to the project context. It supports [INSERT: project name] and governs all scaffolding activities from planning and design through erection, use, inspection, and dismantling.</w:t>
      </w:r>
    </w:p>
    <w:p>
      <w:pPr>
        <w:pStyle w:val="NormalNumberedtext"/>
      </w:pPr>
      <w:r>
        <w:t>This procedure establishes the Scaffold Safe System of Work (SSoW), defines competency requirements by scaffold role, and sets controls for specific hazard scenarios including scaffolding over water and scaffolding in proximity to energised electrical installations.</w:t>
      </w:r>
    </w:p>
    <w:p>
      <w:pPr>
        <w:pStyle w:val="NormalNumberedtext"/>
      </w:pPr>
      <w:r>
        <w:t>Scaffold risk assessments are conducted and maintained in accordance with the Risk Management Procedure, refer RTPR-HSE-PRO-0002. Scaffold competency records are maintained in accordance with the Training Procedure, refer RTPR-HSE-PRO-0004, and recorded in RTPR-HSE-REG-0003.</w:t>
      </w:r>
    </w:p>
    <w:p>
      <w:pPr>
        <w:pStyle w:val="Heading2Numbered"/>
      </w:pPr>
      <w:r>
        <w:t>3.2  Scope of This Document</w:t>
      </w:r>
    </w:p>
    <w:p>
      <w:pPr>
        <w:pStyle w:val="NormalNumberedtext"/>
      </w:pPr>
      <w:r>
        <w:t>This procedure applies to all Rio Tinto staff and contractor personnel involved in any scaffolding activity on the project.</w:t>
      </w:r>
    </w:p>
    <w:p>
      <w:pPr>
        <w:pStyle w:val="NormalNumberedtext"/>
      </w:pPr>
      <w:r>
        <w:t>This procedure governs all scaffolding activities on the project site, including planning, design, procurement, erection, modification, inspection, handover, use, extended use, and dismantling of all scaffold types.</w:t>
      </w:r>
    </w:p>
    <w:p>
      <w:pPr>
        <w:pStyle w:val="NormalNumberedtext"/>
      </w:pPr>
      <w:r>
        <w:t>This procedure applies to all scaffold types including tube-and-coupler, system scaffold, mobile scaffold, slung scaffold, suspended scaffold, cantilever scaffold, and scaffold erected over or adjacent to water.</w:t>
      </w:r>
    </w:p>
    <w:p>
      <w:pPr>
        <w:pStyle w:val="NormalNumberedtext"/>
      </w:pPr>
      <w:r>
        <w:t>Fall protection requirements for scaffold users are governed by the Working at Height Procedure, refer RTPR-HSE-PRO-0008. Exclusion zones during erection and dismantling are governed by the Barricading Procedure, refer RTPR-HSE-PRO-0028. Permit to work requirements are governed by the Permit to Work Procedure, refer RTPR-HSE-PRO-0021.</w:t>
      </w:r>
    </w:p>
    <w:p>
      <w:pPr>
        <w:pStyle w:val="Heading1Numbered"/>
      </w:pPr>
      <w:r>
        <w:t>4  Scaffold Safe System of Work</w:t>
      </w:r>
    </w:p>
    <w:p>
      <w:pPr>
        <w:pStyle w:val="NormalNumberedtext"/>
      </w:pPr>
      <w:r>
        <w:t>This section defines the requirements for the project Scaffold Safe System of Work, covering the full scaffold lifecycle and the specific hazard scenarios it must address.</w:t>
      </w:r>
    </w:p>
    <w:p>
      <w:pPr>
        <w:pStyle w:val="Heading2Numbered"/>
      </w:pPr>
      <w:r>
        <w:t>4.1  SSoW Requirements</w:t>
      </w:r>
    </w:p>
    <w:p>
      <w:pPr>
        <w:pStyle w:val="NormalNumberedtext"/>
      </w:pPr>
      <w:r>
        <w:t>The project must develop and implement a Scaffold SSoW before any scaffolding activity commences on site.</w:t>
      </w:r>
    </w:p>
    <w:p>
      <w:pPr>
        <w:pStyle w:val="NormalNumberedtext"/>
      </w:pPr>
      <w:r>
        <w:t>The SSoW must cover the full scaffold lifecycle — planning, design, erection, modification, inspection, handover, use, extended use, and dismantling — and must incorporate local legislative requirements and relevant standards applicable to the project jurisdiction, consistent with APPC Appendix C, C-2 §55.4.</w:t>
      </w:r>
    </w:p>
    <w:p>
      <w:pPr>
        <w:pStyle w:val="NormalNumberedtext"/>
      </w:pPr>
      <w:r>
        <w:t>The SSoW must require all scaffolding to be erected by a competent scaffolder operating within their class of licence. Scaffolding must be assembled and dismantled by authorised personnel following an approved sequence procedure. No unauthorised person may erect, modify, or dismantle any scaffold component.</w:t>
      </w:r>
    </w:p>
    <w:p>
      <w:pPr>
        <w:pStyle w:val="NormalNumberedtext"/>
      </w:pPr>
      <w:r>
        <w:t>The SSoW must address the following specific risk scenarios:</w:t>
      </w:r>
    </w:p>
    <w:p>
      <w:pPr>
        <w:pStyle w:val="NormalNumberedtext"/>
      </w:pPr>
      <w:r>
        <w:t>Specific risk scenarios the SSoW must address:</w:t>
      </w:r>
    </w:p>
    <w:p>
      <w:pPr>
        <w:pStyle w:val="NumberedBulletL1"/>
      </w:pPr>
      <w:r>
        <w:t>Scaffolding over or adjacent to water — refer Section 7 of this procedure and the Over Water Procedure, RTPR-HSE-PRO-0030.</w:t>
      </w:r>
    </w:p>
    <w:p>
      <w:pPr>
        <w:pStyle w:val="NumberedBulletL1"/>
      </w:pPr>
      <w:r>
        <w:t>Scaffolding adjacent to or within proximity of energised electrical installations — refer Section 5 of this procedure and the Electrical Safety Procedure, RTPR-HSE-PRO-0025.</w:t>
      </w:r>
    </w:p>
    <w:p>
      <w:pPr>
        <w:pStyle w:val="NumberedBulletL1"/>
      </w:pPr>
      <w:r>
        <w:t>Scaffolding during adverse weather conditions including high wind, heavy rain, storm, and reduced visibility.</w:t>
      </w:r>
    </w:p>
    <w:p>
      <w:pPr>
        <w:pStyle w:val="NormalNumberedtext"/>
      </w:pPr>
      <w:r>
        <w:t>The Scaffold Supervisor is responsible for maintaining the SSoW and ensuring all scaffolding personnel are informed of its requirements before commencing work.</w:t>
      </w:r>
    </w:p>
    <w:p>
      <w:pPr>
        <w:pStyle w:val="NormalNumberedtext"/>
      </w:pPr>
      <w:r>
        <w:rPr>
          <w:b/>
          <w:bCs/>
          <w:color w:val="0059D1"/>
        </w:rPr>
        <w:t>[INSERT: Scaffold Supervisor role] — Identify the role title of the Scaffold Supervisor for this project, or confirm this is a contractor appointment and identify the contractor role responsible for the SSoW.</w:t>
      </w:r>
    </w:p>
    <w:p>
      <w:pPr>
        <w:pStyle w:val="NormalNumberedtext"/>
      </w:pPr>
      <w:r>
        <w:t>Raise a permit via the site PTW system before commencing any scaffolding activity, refer RTPR-HSE-PRO-0021. Report all incidents and near misses per project requirements, refer RTPR-HSE-PRO-0009.</w:t>
      </w:r>
    </w:p>
    <w:p>
      <w:pPr>
        <w:pStyle w:val="Heading1Numbered"/>
      </w:pPr>
      <w:r>
        <w:t>5  Planning, Selection and Design</w:t>
      </w:r>
    </w:p>
    <w:p>
      <w:pPr>
        <w:pStyle w:val="NormalNumberedtext"/>
      </w:pPr>
      <w:r>
        <w:t>This section defines the requirements for scaffold planning, selection, design, and engineering review, including competency requirements and design content for all scaffold configurations.</w:t>
      </w:r>
    </w:p>
    <w:p>
      <w:pPr>
        <w:pStyle w:val="Heading2Numbered"/>
      </w:pPr>
      <w:r>
        <w:t>5.1  Competency for Planning, Selection and Design</w:t>
      </w:r>
    </w:p>
    <w:p>
      <w:pPr>
        <w:pStyle w:val="NormalNumberedtext"/>
      </w:pPr>
      <w:r>
        <w:t>Personnel involved in scaffold planning, selection, and design must hold the necessary experience, training, and competency for the scaffold type and configuration.</w:t>
      </w:r>
    </w:p>
    <w:p>
      <w:pPr>
        <w:pStyle w:val="NormalNumberedtext"/>
      </w:pPr>
      <w:r>
        <w:t>Scaffolding must be selected and designed by a competent scaffolder operating within their competency class and in accordance with local legislative and regulatory requirements, consistent with APPC Appendix C, C-2 §55.7. Where the scaffold configuration is complex or non-standard, the design must be prepared or reviewed by a qualified engineer before erection commences, consistent with APPC Appendix C, C-2 §55.8.</w:t>
      </w:r>
    </w:p>
    <w:p>
      <w:pPr>
        <w:pStyle w:val="NormalNumberedtext"/>
      </w:pPr>
      <w:r>
        <w:t>Complex and non-standard scaffold configurations requiring engineer review before erection include:</w:t>
      </w:r>
    </w:p>
    <w:p>
      <w:pPr>
        <w:pStyle w:val="NumberedBulletL1"/>
      </w:pPr>
      <w:r>
        <w:t>Slung scaffold.</w:t>
      </w:r>
    </w:p>
    <w:p>
      <w:pPr>
        <w:pStyle w:val="NumberedBulletL1"/>
      </w:pPr>
      <w:r>
        <w:t>Suspended scaffold.</w:t>
      </w:r>
    </w:p>
    <w:p>
      <w:pPr>
        <w:pStyle w:val="NumberedBulletL1"/>
      </w:pPr>
      <w:r>
        <w:t>Scaffold over water or erected on barges.</w:t>
      </w:r>
    </w:p>
    <w:p>
      <w:pPr>
        <w:pStyle w:val="NumberedBulletL1"/>
      </w:pPr>
      <w:r>
        <w:t>Scaffold adjacent to rail lines.</w:t>
      </w:r>
    </w:p>
    <w:p>
      <w:pPr>
        <w:pStyle w:val="NumberedBulletL1"/>
      </w:pPr>
      <w:r>
        <w:t>Cantilever scaffold.</w:t>
      </w:r>
    </w:p>
    <w:p>
      <w:pPr>
        <w:pStyle w:val="NumberedBulletL1"/>
      </w:pPr>
      <w:r>
        <w:rPr>
          <w:b/>
          <w:bCs/>
          <w:color w:val="0059D1"/>
        </w:rPr>
        <w:t>[INSERT: Additional complex scaffold types]</w:t>
      </w:r>
    </w:p>
    <w:p>
      <w:pPr>
        <w:pStyle w:val="NormalNumberedtext"/>
      </w:pPr>
      <w:r>
        <w:t>Any scaffold over 4 metres in height must be documented in a basic scaffolding plan and/or design drawing approved by a competent person before erection commences, consistent with APPC Appendix C, C-2 §55.7.2.2.</w:t>
      </w:r>
    </w:p>
    <w:p>
      <w:pPr>
        <w:pStyle w:val="NormalNumberedtext"/>
      </w:pPr>
      <w:r>
        <w:rPr>
          <w:b/>
          <w:bCs/>
          <w:color w:val="0059D1"/>
        </w:rPr>
        <w:t>[INSERT: Engineering review process for complex scaffolds] — Define the project-specific engineering review process for complex scaffold configurations: who conducts the review, what documentation is required, and how approval is recorded.</w:t>
      </w:r>
    </w:p>
    <w:p>
      <w:pPr>
        <w:pStyle w:val="Heading2Numbered"/>
      </w:pPr>
      <w:r>
        <w:t>5.2  Design Content Requirements</w:t>
      </w:r>
    </w:p>
    <w:p>
      <w:pPr>
        <w:pStyle w:val="NormalNumberedtext"/>
      </w:pPr>
      <w:r>
        <w:t>Scaffold designs must account for all load conditions and site-specific hazards relevant to the proposed configuration and work activity.</w:t>
      </w:r>
    </w:p>
    <w:p>
      <w:pPr>
        <w:pStyle w:val="NormalNumberedtext"/>
      </w:pPr>
      <w:r>
        <w:t>The scaffold design must consider all factors relevant to the safe performance of the structure, consistent with APPC Appendix C, C-2 §55.7.2. Design loads must account for the maximum anticipated static and dynamic loads, including wind loading and the cumulative load of concurrent users, materials, and equipment on the structure, consistent with IFC EHS General Guidelines §2.1.</w:t>
      </w:r>
    </w:p>
    <w:p>
      <w:pPr>
        <w:pStyle w:val="NormalNumberedtext"/>
      </w:pPr>
      <w:r>
        <w:t>The scaffold design must address the following as a minimum:</w:t>
      </w:r>
    </w:p>
    <w:p>
      <w:pPr>
        <w:pStyle w:val="NumberedBulletL1"/>
      </w:pPr>
      <w:r>
        <w:t>The activity to be undertaken on the structure.</w:t>
      </w:r>
    </w:p>
    <w:p>
      <w:pPr>
        <w:pStyle w:val="NumberedBulletL1"/>
      </w:pPr>
      <w:r>
        <w:t>Static and dynamic load capacity.</w:t>
      </w:r>
    </w:p>
    <w:p>
      <w:pPr>
        <w:pStyle w:val="NumberedBulletL1"/>
      </w:pPr>
      <w:r>
        <w:t>Ground conditions and underground services.</w:t>
      </w:r>
    </w:p>
    <w:p>
      <w:pPr>
        <w:pStyle w:val="NumberedBulletL1"/>
      </w:pPr>
      <w:r>
        <w:t>Fall protection systems and edge protection.</w:t>
      </w:r>
    </w:p>
    <w:p>
      <w:pPr>
        <w:pStyle w:val="NumberedBulletL1"/>
      </w:pPr>
      <w:r>
        <w:t>Anchor points for fall arrest during erection and dismantling.</w:t>
      </w:r>
    </w:p>
    <w:p>
      <w:pPr>
        <w:pStyle w:val="NumberedBulletL1"/>
      </w:pPr>
      <w:r>
        <w:t>Access and egress provisions.</w:t>
      </w:r>
    </w:p>
    <w:p>
      <w:pPr>
        <w:pStyle w:val="NumberedBulletL1"/>
      </w:pPr>
      <w:r>
        <w:t>Adjacent activities including vehicle movements.</w:t>
      </w:r>
    </w:p>
    <w:p>
      <w:pPr>
        <w:pStyle w:val="NumberedBulletL1"/>
      </w:pPr>
      <w:r>
        <w:t>Wind loading and adverse weather exposure.</w:t>
      </w:r>
    </w:p>
    <w:p>
      <w:pPr>
        <w:pStyle w:val="NumberedBulletL1"/>
      </w:pPr>
      <w:r>
        <w:t>Cumulative load of concurrent users, materials, and equipment.</w:t>
      </w:r>
    </w:p>
    <w:p>
      <w:pPr>
        <w:pStyle w:val="Heading1Numbered"/>
      </w:pPr>
      <w:r>
        <w:t>6  Ground Conditions and Load Capacity</w:t>
      </w:r>
    </w:p>
    <w:p>
      <w:pPr>
        <w:pStyle w:val="NormalNumberedtext"/>
      </w:pPr>
      <w:r>
        <w:t>This section defines ground condition assessment requirements and scaffold load capacity controls that must be applied before erection commences.</w:t>
      </w:r>
    </w:p>
    <w:p>
      <w:pPr>
        <w:pStyle w:val="Heading2Numbered"/>
      </w:pPr>
      <w:r>
        <w:t>6.1  Ground Condition Assessment</w:t>
      </w:r>
    </w:p>
    <w:p>
      <w:pPr>
        <w:pStyle w:val="NormalNumberedtext"/>
      </w:pPr>
      <w:r>
        <w:t>A ground condition assessment must be completed by a competent person before any scaffold is erected.</w:t>
      </w:r>
    </w:p>
    <w:p>
      <w:pPr>
        <w:pStyle w:val="NormalNumberedtext"/>
      </w:pPr>
      <w:r>
        <w:t>The ground condition assessment must verify that the ground is suitable to support the scaffold and its imposed loads, consistent with APPC Appendix C, C-2 §55.13. The assessment must be documented and retained on site before erection commences.</w:t>
      </w:r>
    </w:p>
    <w:p>
      <w:pPr>
        <w:pStyle w:val="NormalNumberedtext"/>
      </w:pPr>
      <w:r>
        <w:t>The ground condition assessment must verify the following:</w:t>
      </w:r>
    </w:p>
    <w:p>
      <w:pPr>
        <w:pStyle w:val="NumberedBulletL1"/>
      </w:pPr>
      <w:r>
        <w:t>Adequate bearing capacity for the scaffold structure and all imposed loads.</w:t>
      </w:r>
    </w:p>
    <w:p>
      <w:pPr>
        <w:pStyle w:val="NumberedBulletL1"/>
      </w:pPr>
      <w:r>
        <w:t>Absence of underground services within the zone of influence of the scaffold foundations.</w:t>
      </w:r>
    </w:p>
    <w:p>
      <w:pPr>
        <w:pStyle w:val="NumberedBulletL1"/>
      </w:pPr>
      <w:r>
        <w:t>Absence of subsidence, softening, or saturation that could affect foundation stability.</w:t>
      </w:r>
    </w:p>
    <w:p>
      <w:pPr>
        <w:pStyle w:val="NumberedBulletL1"/>
      </w:pPr>
      <w:r>
        <w:t>Suitability of proposed mudsills, base plates, or other load-spreading measures.</w:t>
      </w:r>
    </w:p>
    <w:p>
      <w:pPr>
        <w:pStyle w:val="Heading2Numbered"/>
      </w:pPr>
      <w:r>
        <w:t>6.2  Scaffold Load Capacity</w:t>
      </w:r>
    </w:p>
    <w:p>
      <w:pPr>
        <w:pStyle w:val="NormalNumberedtext"/>
      </w:pPr>
      <w:r>
        <w:t>Load capacity requirements must be defined in the scaffold design and communicated to all scaffold users before the scaffold is handed over for use.</w:t>
      </w:r>
    </w:p>
    <w:p>
      <w:pPr>
        <w:pStyle w:val="NormalNumberedtext"/>
      </w:pPr>
      <w:r>
        <w:t>Scaffold load capacity requirements must be defined in the scaffold design documentation, consistent with APPC Appendix C, C-2 §55.9. Load capacity information must be displayed on the scaffold tag at all access points.</w:t>
      </w:r>
    </w:p>
    <w:p>
      <w:pPr>
        <w:pStyle w:val="NormalNumberedtext"/>
      </w:pPr>
      <w:r>
        <w:t>Scaffold load capacity documentation must define:</w:t>
      </w:r>
    </w:p>
    <w:p>
      <w:pPr>
        <w:pStyle w:val="NumberedBulletL1"/>
      </w:pPr>
      <w:r>
        <w:t>Design load rating for the scaffold type and configuration.</w:t>
      </w:r>
    </w:p>
    <w:p>
      <w:pPr>
        <w:pStyle w:val="NumberedBulletL1"/>
      </w:pPr>
      <w:r>
        <w:t>Maximum permissible distributed load per bay.</w:t>
      </w:r>
    </w:p>
    <w:p>
      <w:pPr>
        <w:pStyle w:val="NumberedBulletL1"/>
      </w:pPr>
      <w:r>
        <w:t>Maximum permissible point load.</w:t>
      </w:r>
    </w:p>
    <w:p>
      <w:pPr>
        <w:pStyle w:val="NumberedBulletL1"/>
      </w:pPr>
      <w:r>
        <w:t>Restrictions on storing materials on scaffold bays — materials may only be stored on scaffold where the design specifically accommodates material loading.</w:t>
      </w:r>
    </w:p>
    <w:p>
      <w:pPr>
        <w:pStyle w:val="Heading1Numbered"/>
      </w:pPr>
      <w:r>
        <w:t>7  Proximity to Electricity and Energised Plant</w:t>
      </w:r>
    </w:p>
    <w:p>
      <w:pPr>
        <w:pStyle w:val="NormalNumberedtext"/>
      </w:pPr>
      <w:r>
        <w:t>This section defines the controls required when scaffolding is erected, used, or dismantled in proximity to electrical installations or energised plant.</w:t>
      </w:r>
    </w:p>
    <w:p>
      <w:pPr>
        <w:pStyle w:val="Heading2Numbered"/>
      </w:pPr>
      <w:r>
        <w:t>7.1  Electrical Proximity Controls</w:t>
      </w:r>
    </w:p>
    <w:p>
      <w:pPr>
        <w:pStyle w:val="NormalNumberedtext"/>
      </w:pPr>
      <w:r>
        <w:t>Where there is a risk of contact with live electricity during scaffolding activities, controls must be applied before work commences.</w:t>
      </w:r>
    </w:p>
    <w:p>
      <w:pPr>
        <w:pStyle w:val="NormalNumberedtext"/>
      </w:pPr>
      <w:r>
        <w:t>Where scaffolding activities create a risk of contact with energised electrical installations, the relevant installations must be de-energised before work commences, consistent with APPC Appendix C, C-2 §55.10. Electrical isolation must be managed through the Electrical Safety Procedure, refer RTPR-HSE-PRO-0025.</w:t>
      </w:r>
    </w:p>
    <w:p>
      <w:pPr>
        <w:pStyle w:val="NormalNumberedtext"/>
      </w:pPr>
      <w:r>
        <w:t>Where de-energisation is not practicable, the following controls must be applied:</w:t>
      </w:r>
    </w:p>
    <w:p>
      <w:pPr>
        <w:pStyle w:val="NumberedBulletL1"/>
      </w:pPr>
      <w:r>
        <w:t>Minimum approach distances to live conductors must be defined and communicated to all scaffold personnel before work commences.</w:t>
      </w:r>
    </w:p>
    <w:p>
      <w:pPr>
        <w:pStyle w:val="NumberedBulletL1"/>
      </w:pPr>
      <w:r>
        <w:t>Insulating covers, screens, or physical barriers must be installed to maintain the required separation where minimum approach distances cannot be achieved by work positioning alone.</w:t>
      </w:r>
    </w:p>
    <w:p>
      <w:pPr>
        <w:pStyle w:val="NumberedBulletL1"/>
      </w:pPr>
      <w:r>
        <w:t>Scaffold structures must be earthed by a competent person during erection and dismantling where there is a risk of contact with live conductors, consistent with APPC Appendix C, C-2 §55.10.1.</w:t>
      </w:r>
    </w:p>
    <w:p>
      <w:pPr>
        <w:pStyle w:val="NormalNumberedtext"/>
      </w:pPr>
      <w:r>
        <w:t>Where scaffolding cannot be separated from energised conductors by the required clearance distance, a specific risk assessment and Energised Work Authorisation must be completed before work commences. The Energised Work Authorisation must be raised in accordance with RTPR-HSE-PRO-0025 and the site PTW system, refer RTPR-HSE-PRO-0021.</w:t>
      </w:r>
    </w:p>
    <w:p>
      <w:pPr>
        <w:pStyle w:val="NormalNumberedtext"/>
      </w:pPr>
      <w:r>
        <w:rPr>
          <w:b/>
          <w:bCs/>
          <w:color w:val="0059D1"/>
        </w:rPr>
        <w:t>[INSERT: Minimum approach distances] — Define the project minimum approach distances to live conductors by voltage class, or reference the applicable jurisdiction standard from which approach distances are derived, consistent with APPC Appendix C, C-2 §55.10.1.</w:t>
      </w:r>
    </w:p>
    <w:p>
      <w:pPr>
        <w:pStyle w:val="Heading1Numbered"/>
      </w:pPr>
      <w:r>
        <w:t>8  Access, Egress and Edge Protection</w:t>
      </w:r>
    </w:p>
    <w:p>
      <w:pPr>
        <w:pStyle w:val="NormalNumberedtext"/>
      </w:pPr>
      <w:r>
        <w:t>This section defines the requirements for scaffold access and egress provisions, edge protection design, and fall protection during periods when edge protection is not in place.</w:t>
      </w:r>
    </w:p>
    <w:p>
      <w:pPr>
        <w:pStyle w:val="Heading2Numbered"/>
      </w:pPr>
      <w:r>
        <w:t>8.1  Access and Egress</w:t>
      </w:r>
    </w:p>
    <w:p>
      <w:pPr>
        <w:pStyle w:val="NormalNumberedtext"/>
      </w:pPr>
      <w:r>
        <w:t>Access to and egress from scaffolding is only permitted through purpose-designed entry and exit points.</w:t>
      </w:r>
    </w:p>
    <w:p>
      <w:pPr>
        <w:pStyle w:val="NormalNumberedtext"/>
      </w:pPr>
      <w:r>
        <w:t>Access to and egress from all scaffold structures must only be through purpose-designed entry and exit points incorporated in the scaffold design, consistent with APPC Appendix C, C-2 §55.14. Climbing the scaffold structure, or accessing or leaving the scaffold by any means other than designated entry and exit points, is prohibited.</w:t>
      </w:r>
    </w:p>
    <w:p>
      <w:pPr>
        <w:pStyle w:val="NormalNumberedtext"/>
      </w:pPr>
      <w:r>
        <w:t>Mobile scaffolds must never be moved while personnel are on the structure, consistent with APPC Appendix C, C-2 §55.11.1. Wheels must be locked when the mobile scaffold is in use. The scaffold must be inspected by a competent person after any movement before personnel resume access.</w:t>
      </w:r>
    </w:p>
    <w:p>
      <w:pPr>
        <w:pStyle w:val="Heading2Numbered"/>
      </w:pPr>
      <w:r>
        <w:t>8.2  Edge Protection</w:t>
      </w:r>
    </w:p>
    <w:p>
      <w:pPr>
        <w:pStyle w:val="NormalNumberedtext"/>
      </w:pPr>
      <w:r>
        <w:t>Edge protection must be installed and maintained on all scaffold platforms where a fall hazard exists.</w:t>
      </w:r>
    </w:p>
    <w:p>
      <w:pPr>
        <w:pStyle w:val="NormalNumberedtext"/>
      </w:pPr>
      <w:r>
        <w:t>Edge protection must be designed and installed to include guardrails at a minimum height of 900 mm, mid-rails, and toe boards, consistent with APPC Appendix C, C-2 §55.16.3. The scaffold work method or scaffold plan must include a sequential edge protection installation sequence that prevents workers being exposed to an open edge during erection.</w:t>
      </w:r>
    </w:p>
    <w:p>
      <w:pPr>
        <w:pStyle w:val="NormalNumberedtext"/>
      </w:pPr>
      <w:r>
        <w:t>Where workers are exposed to fall distances of two metres or more during erection or dismantling and before edge protection is in place, a harness and lanyard attached to an independent anchor point must be worn. Fall protection requirements for scaffold users are governed by the Working at Height Procedure, refer RTPR-HSE-PRO-0008.</w:t>
      </w:r>
    </w:p>
    <w:p>
      <w:pPr>
        <w:pStyle w:val="Heading1Numbered"/>
      </w:pPr>
      <w:r>
        <w:t>9  Erection Sequencing and Fall Protection During Erection</w:t>
      </w:r>
    </w:p>
    <w:p>
      <w:pPr>
        <w:pStyle w:val="NormalNumberedtext"/>
      </w:pPr>
      <w:r>
        <w:t>This section defines the requirements for documented erection sequences, fall protection controls during erection, and SIMOPS management during erection activities.</w:t>
      </w:r>
    </w:p>
    <w:p>
      <w:pPr>
        <w:pStyle w:val="Heading2Numbered"/>
      </w:pPr>
      <w:r>
        <w:t>9.1  Erection Sequence Documentation</w:t>
      </w:r>
    </w:p>
    <w:p>
      <w:pPr>
        <w:pStyle w:val="NormalNumberedtext"/>
      </w:pPr>
      <w:r>
        <w:t>A documented erection sequence and method must be prepared and approved before erection commences.</w:t>
      </w:r>
    </w:p>
    <w:p>
      <w:pPr>
        <w:pStyle w:val="NormalNumberedtext"/>
      </w:pPr>
      <w:r>
        <w:t>A documented erection sequence and method must be prepared before erection commences for every scaffold, consistent with APPC Appendix C, C-2 §55.16.1. The erection sequence must be approved by the Scaffold Supervisor before work begins.</w:t>
      </w:r>
    </w:p>
    <w:p>
      <w:pPr>
        <w:pStyle w:val="NormalNumberedtext"/>
      </w:pPr>
      <w:r>
        <w:t>The erection sequence documentation must identify:</w:t>
      </w:r>
    </w:p>
    <w:p>
      <w:pPr>
        <w:pStyle w:val="NumberedBulletL1"/>
      </w:pPr>
      <w:r>
        <w:t>The order of component installation.</w:t>
      </w:r>
    </w:p>
    <w:p>
      <w:pPr>
        <w:pStyle w:val="NumberedBulletL1"/>
      </w:pPr>
      <w:r>
        <w:t>The means by which leading edge protection is provided at each stage of erection.</w:t>
      </w:r>
    </w:p>
    <w:p>
      <w:pPr>
        <w:pStyle w:val="NumberedBulletL1"/>
      </w:pPr>
      <w:r>
        <w:t>The anchor points available for fall arrest during each phase of erection.</w:t>
      </w:r>
    </w:p>
    <w:p>
      <w:pPr>
        <w:pStyle w:val="NumberedBulletL1"/>
      </w:pPr>
      <w:r>
        <w:t>The maximum height to which erection may proceed before the scaffold is handed over for inspection.</w:t>
      </w:r>
    </w:p>
    <w:p>
      <w:pPr>
        <w:pStyle w:val="Heading2Numbered"/>
      </w:pPr>
      <w:r>
        <w:t>9.2  Fall Protection Controls During Erection</w:t>
      </w:r>
    </w:p>
    <w:p>
      <w:pPr>
        <w:pStyle w:val="NormalNumberedtext"/>
      </w:pPr>
      <w:r>
        <w:t>Fall protection controls must be applied from the commencement of erection and maintained throughout all erection and dismantling activities.</w:t>
      </w:r>
    </w:p>
    <w:p>
      <w:pPr>
        <w:pStyle w:val="NormalNumberedtext"/>
      </w:pPr>
      <w:r>
        <w:t>The following controls must be applied to manage the risk of falls during erection, consistent with APPC Appendix C, C-2 §55.16.2:</w:t>
      </w:r>
    </w:p>
    <w:p>
      <w:pPr>
        <w:pStyle w:val="NormalNumberedtext"/>
      </w:pPr>
      <w:r>
        <w:t>Fall protection controls during erection must include:</w:t>
      </w:r>
    </w:p>
    <w:p>
      <w:pPr>
        <w:pStyle w:val="NumberedBulletL1"/>
      </w:pPr>
      <w:r>
        <w:t>Advance installation of temporary anchor points before personnel progress to the next lift level.</w:t>
      </w:r>
    </w:p>
    <w:p>
      <w:pPr>
        <w:pStyle w:val="NumberedBulletL1"/>
      </w:pPr>
      <w:r>
        <w:t>Use of self-retracting lanyards where the erection method requires worker mobility.</w:t>
      </w:r>
    </w:p>
    <w:p>
      <w:pPr>
        <w:pStyle w:val="NumberedBulletL1"/>
      </w:pPr>
      <w:r>
        <w:t>Prohibition of working from the top of a partially erected scaffold without an approved fall protection system in place.</w:t>
      </w:r>
    </w:p>
    <w:p>
      <w:pPr>
        <w:pStyle w:val="NormalNumberedtext"/>
      </w:pPr>
      <w:r>
        <w:t>Erection sequencing must be reviewed for SIMOPS conflicts before erection commences, particularly where erection is occurring above or adjacent to active work areas, consistent with IFC EHS General Guidelines §2.1. Exclusion zones during erection must be established and maintained in accordance with the Barricading Procedure, refer RTPR-HSE-PRO-0028.</w:t>
      </w:r>
    </w:p>
    <w:p>
      <w:pPr>
        <w:pStyle w:val="Heading1Numbered"/>
      </w:pPr>
      <w:r>
        <w:t>10  Design Verification, Handover and Tagging</w:t>
      </w:r>
    </w:p>
    <w:p>
      <w:pPr>
        <w:pStyle w:val="NormalNumberedtext"/>
      </w:pPr>
      <w:r>
        <w:t>This section defines the scaffold design verification, formal handover, and tagging system requirements that must be completed before any scaffold is made available for use.</w:t>
      </w:r>
    </w:p>
    <w:p>
      <w:pPr>
        <w:pStyle w:val="Heading2Numbered"/>
      </w:pPr>
      <w:r>
        <w:t>10.1  Design Verification and Handover</w:t>
      </w:r>
    </w:p>
    <w:p>
      <w:pPr>
        <w:pStyle w:val="NormalNumberedtext"/>
      </w:pPr>
      <w:r>
        <w:t>No scaffold may be accessed for use until design verification and formal handover have been completed.</w:t>
      </w:r>
    </w:p>
    <w:p>
      <w:pPr>
        <w:pStyle w:val="NormalNumberedtext"/>
      </w:pPr>
      <w:r>
        <w:t>Before any scaffold is used, the scaffold must be inspected and verified by a competent person against the design documentation, consistent with APPC Appendix C, C-2 §55.17.1. A formal handover must be completed between the erecting scaffolder and the receiving work group. The scaffold must be tagged at all access points before use is permitted.</w:t>
      </w:r>
    </w:p>
    <w:p>
      <w:pPr>
        <w:pStyle w:val="Heading2Numbered"/>
      </w:pPr>
      <w:r>
        <w:t>10.2  Scaffold Tagging System</w:t>
      </w:r>
    </w:p>
    <w:p>
      <w:pPr>
        <w:pStyle w:val="NormalNumberedtext"/>
      </w:pPr>
      <w:r>
        <w:t>A three-status scaffold tagging system must be applied to all scaffolds on site.</w:t>
      </w:r>
    </w:p>
    <w:p>
      <w:pPr>
        <w:pStyle w:val="NormalNumberedtext"/>
      </w:pPr>
      <w:r>
        <w:t>The scaffold tagging system must use the three-status system defined below, consistent with APPC Appendix C, C-2 §55.17.4. Tags must be placed at all access points and must be removed and replaced whenever the scaffold status changes.</w:t>
      </w:r>
    </w:p>
    <w:p>
      <w:pPr>
        <w:pStyle w:val="NormalNumberedtext"/>
      </w:pPr>
      <w:r>
        <w:t>Table: Scaffold Tagging System</w:t>
      </w:r>
    </w:p>
    <w:tbl>
      <w:tblPr>
        <w:tblStyle w:val="TableOption2"/>
        <w:tblW w:type="pct" w:w="5000"/>
      </w:tblPr>
      <w:tr>
        <w:trPr>
          <w:tblHeader/>
        </w:trPr>
        <w:tc>
          <w:tcPr>
            <w:shd w:val="clear" w:color="auto" w:fill="1F3864"/>
          </w:tcPr>
          <w:p>
            <w:pPr>
              <w:pStyle w:val="TableContents"/>
            </w:pPr>
            <w:r>
              <w:rPr>
                <w:b/>
                <w:bCs/>
                <w:color w:val="FFFFFF"/>
              </w:rPr>
              <w:t>Tag Colour</w:t>
            </w:r>
          </w:p>
        </w:tc>
        <w:tc>
          <w:tcPr>
            <w:shd w:val="clear" w:color="auto" w:fill="1F3864"/>
          </w:tcPr>
          <w:p>
            <w:pPr>
              <w:pStyle w:val="TableContents"/>
            </w:pPr>
            <w:r>
              <w:rPr>
                <w:b/>
                <w:bCs/>
                <w:color w:val="FFFFFF"/>
              </w:rPr>
              <w:t>Status</w:t>
            </w:r>
          </w:p>
        </w:tc>
        <w:tc>
          <w:tcPr>
            <w:shd w:val="clear" w:color="auto" w:fill="1F3864"/>
          </w:tcPr>
          <w:p>
            <w:pPr>
              <w:pStyle w:val="TableContents"/>
            </w:pPr>
            <w:r>
              <w:rPr>
                <w:b/>
                <w:bCs/>
                <w:color w:val="FFFFFF"/>
              </w:rPr>
              <w:t>Meaning</w:t>
            </w:r>
          </w:p>
        </w:tc>
        <w:tc>
          <w:tcPr>
            <w:shd w:val="clear" w:color="auto" w:fill="1F3864"/>
          </w:tcPr>
          <w:p>
            <w:pPr>
              <w:pStyle w:val="TableContents"/>
            </w:pPr>
            <w:r>
              <w:rPr>
                <w:b/>
                <w:bCs/>
                <w:color w:val="FFFFFF"/>
              </w:rPr>
              <w:t>Action Required</w:t>
            </w:r>
          </w:p>
        </w:tc>
      </w:tr>
      <w:tr>
        <w:tc>
          <w:tcPr/>
          <w:p>
            <w:pPr>
              <w:pStyle w:val="TableContents"/>
            </w:pPr>
            <w:r>
              <w:t>Green</w:t>
            </w:r>
          </w:p>
        </w:tc>
        <w:tc>
          <w:tcPr/>
          <w:p>
            <w:pPr>
              <w:pStyle w:val="TableContents"/>
            </w:pPr>
            <w:r>
              <w:t>Safe to Use</w:t>
            </w:r>
          </w:p>
        </w:tc>
        <w:tc>
          <w:tcPr/>
          <w:p>
            <w:pPr>
              <w:pStyle w:val="TableContents"/>
            </w:pPr>
            <w:r>
              <w:t>Scaffold is fully compliant with design. No restrictions on use.</w:t>
            </w:r>
          </w:p>
        </w:tc>
        <w:tc>
          <w:tcPr/>
          <w:p>
            <w:pPr>
              <w:pStyle w:val="TableContents"/>
            </w:pPr>
            <w:r>
              <w:t>None — scaffold is available for authorised use.</w:t>
            </w:r>
          </w:p>
        </w:tc>
      </w:tr>
      <w:tr>
        <w:tc>
          <w:tcPr/>
          <w:p>
            <w:pPr>
              <w:pStyle w:val="TableContents"/>
            </w:pPr>
            <w:r>
              <w:t>Yellow</w:t>
            </w:r>
          </w:p>
        </w:tc>
        <w:tc>
          <w:tcPr/>
          <w:p>
            <w:pPr>
              <w:pStyle w:val="TableContents"/>
            </w:pPr>
            <w:r>
              <w:t>Use with Restrictions</w:t>
            </w:r>
          </w:p>
        </w:tc>
        <w:tc>
          <w:tcPr/>
          <w:p>
            <w:pPr>
              <w:pStyle w:val="TableContents"/>
            </w:pPr>
            <w:r>
              <w:t>Scaffold has specific limitations that must be observed. Restrictions are defined on the tag.</w:t>
            </w:r>
          </w:p>
        </w:tc>
        <w:tc>
          <w:tcPr/>
          <w:p>
            <w:pPr>
              <w:pStyle w:val="TableContents"/>
            </w:pPr>
            <w:r>
              <w:t>Read restrictions before accessing. Comply with all defined limitations.</w:t>
            </w:r>
          </w:p>
        </w:tc>
      </w:tr>
      <w:tr>
        <w:tc>
          <w:tcPr/>
          <w:p>
            <w:pPr>
              <w:pStyle w:val="TableContents"/>
            </w:pPr>
            <w:r>
              <w:t>Red</w:t>
            </w:r>
          </w:p>
        </w:tc>
        <w:tc>
          <w:tcPr/>
          <w:p>
            <w:pPr>
              <w:pStyle w:val="TableContents"/>
            </w:pPr>
            <w:r>
              <w:t>Do Not Use</w:t>
            </w:r>
          </w:p>
        </w:tc>
        <w:tc>
          <w:tcPr/>
          <w:p>
            <w:pPr>
              <w:pStyle w:val="TableContents"/>
            </w:pPr>
            <w:r>
              <w:t>Scaffold has an unsafe condition. Access is prohibited.</w:t>
            </w:r>
          </w:p>
        </w:tc>
        <w:tc>
          <w:tcPr/>
          <w:p>
            <w:pPr>
              <w:pStyle w:val="TableContents"/>
            </w:pPr>
            <w:r>
              <w:t>Do not access. Report to Scaffold Supervisor immediately.</w:t>
            </w:r>
          </w:p>
        </w:tc>
      </w:tr>
      <w:tr>
        <w:tc>
          <w:tcPr/>
          <w:p>
            <w:pPr>
              <w:pStyle w:val="TableContents"/>
            </w:pPr>
            <w:r>
              <w:rPr>
                <w:b/>
                <w:bCs/>
                <w:color w:val="0059D1"/>
              </w:rPr>
              <w:t>[INSERT: tag colour]</w:t>
            </w:r>
          </w:p>
        </w:tc>
        <w:tc>
          <w:tcPr/>
          <w:p>
            <w:pPr>
              <w:pStyle w:val="TableContents"/>
            </w:pPr>
            <w:r>
              <w:rPr>
                <w:b/>
                <w:bCs/>
                <w:color w:val="0059D1"/>
              </w:rPr>
              <w:t>[INSERT: additional status if applicable]</w:t>
            </w:r>
          </w:p>
        </w:tc>
        <w:tc>
          <w:tcPr/>
          <w:p>
            <w:pPr>
              <w:pStyle w:val="TableContents"/>
            </w:pPr>
            <w:r>
              <w:rPr>
                <w:b/>
                <w:bCs/>
                <w:color w:val="0059D1"/>
              </w:rPr>
              <w:t>[INSERT: meaning]</w:t>
            </w:r>
          </w:p>
        </w:tc>
        <w:tc>
          <w:tcPr/>
          <w:p>
            <w:pPr>
              <w:pStyle w:val="TableContents"/>
            </w:pPr>
            <w:r>
              <w:rPr>
                <w:b/>
                <w:bCs/>
                <w:color w:val="0059D1"/>
              </w:rPr>
              <w:t>[INSERT: required action]</w:t>
            </w:r>
          </w:p>
        </w:tc>
      </w:tr>
    </w:tbl>
    <w:p>
      <w:pPr>
        <w:pStyle w:val="Default"/>
      </w:pPr>
    </w:p>
    <w:p>
      <w:pPr>
        <w:pStyle w:val="NormalNumberedtext"/>
      </w:pPr>
      <w:r>
        <w:rPr>
          <w:b/>
          <w:bCs/>
          <w:color w:val="0059D1"/>
        </w:rPr>
        <w:t>[INSERT: Scaffold tag design and procurement] — Define the project scaffold tag design (colour, content, format), where tags are procured, and how tags are controlled and issued on site.</w:t>
      </w:r>
    </w:p>
    <w:p>
      <w:pPr>
        <w:pStyle w:val="Heading2Numbered"/>
      </w:pPr>
      <w:r>
        <w:t>10.3  Scaffold Register</w:t>
      </w:r>
    </w:p>
    <w:p>
      <w:pPr>
        <w:pStyle w:val="NormalNumberedtext"/>
      </w:pPr>
      <w:r>
        <w:t>A Scaffold Register must be maintained for all scaffolds on site throughout the project.</w:t>
      </w:r>
    </w:p>
    <w:p>
      <w:pPr>
        <w:pStyle w:val="NormalNumberedtext"/>
      </w:pPr>
      <w:r>
        <w:t>The Scaffold Register, RTPR-HSE-REG-0011, must be maintained and kept current for all scaffolds on site. The Scaffold Supervisor is responsible for ensuring the register is updated whenever a scaffold is erected, modified, inspected, re-tagged, or dismantled.</w:t>
      </w:r>
    </w:p>
    <w:p>
      <w:pPr>
        <w:pStyle w:val="NormalNumberedtext"/>
      </w:pPr>
      <w:r>
        <w:t>The Scaffold Register must record the following for each scaffold:</w:t>
      </w:r>
    </w:p>
    <w:p>
      <w:pPr>
        <w:pStyle w:val="NumberedBulletL1"/>
      </w:pPr>
      <w:r>
        <w:t>Unique scaffold identification number.</w:t>
      </w:r>
    </w:p>
    <w:p>
      <w:pPr>
        <w:pStyle w:val="NumberedBulletL1"/>
      </w:pPr>
      <w:r>
        <w:t>Location description.</w:t>
      </w:r>
    </w:p>
    <w:p>
      <w:pPr>
        <w:pStyle w:val="NumberedBulletL1"/>
      </w:pPr>
      <w:r>
        <w:t>Design details and design document reference.</w:t>
      </w:r>
    </w:p>
    <w:p>
      <w:pPr>
        <w:pStyle w:val="NumberedBulletL1"/>
      </w:pPr>
      <w:r>
        <w:t>Date of erection.</w:t>
      </w:r>
    </w:p>
    <w:p>
      <w:pPr>
        <w:pStyle w:val="NumberedBulletL1"/>
      </w:pPr>
      <w:r>
        <w:t>Date of last inspection.</w:t>
      </w:r>
    </w:p>
    <w:p>
      <w:pPr>
        <w:pStyle w:val="NumberedBulletL1"/>
      </w:pPr>
      <w:r>
        <w:t>Identity of the inspector.</w:t>
      </w:r>
    </w:p>
    <w:p>
      <w:pPr>
        <w:pStyle w:val="NumberedBulletL1"/>
      </w:pPr>
      <w:r>
        <w:t>Current tagging status.</w:t>
      </w:r>
    </w:p>
    <w:p>
      <w:pPr>
        <w:pStyle w:val="NumberedBulletL1"/>
      </w:pPr>
      <w:r>
        <w:t>Permitted load.</w:t>
      </w:r>
    </w:p>
    <w:p>
      <w:pPr>
        <w:pStyle w:val="NormalNumberedtext"/>
      </w:pPr>
      <w:r>
        <w:rPr>
          <w:b/>
          <w:bCs/>
          <w:color w:val="0059D1"/>
        </w:rPr>
        <w:t>[INSERT: Scaffold Register management system] — Define the project inspection recording system: what form or system is used to record inspection findings, where records are stored, and how RTPR-HSE-REG-0011 is accessed and updated.</w:t>
      </w:r>
    </w:p>
    <w:p>
      <w:pPr>
        <w:pStyle w:val="Heading1Numbered"/>
      </w:pPr>
      <w:r>
        <w:t>11  Inspection and Monitoring During Use</w:t>
      </w:r>
    </w:p>
    <w:p>
      <w:pPr>
        <w:pStyle w:val="NormalNumberedtext"/>
      </w:pPr>
      <w:r>
        <w:t>This section defines scaffold inspection frequencies, extended use requirements, and the actions required when inspection identifies a defect.</w:t>
      </w:r>
    </w:p>
    <w:p>
      <w:pPr>
        <w:pStyle w:val="Heading2Numbered"/>
      </w:pPr>
      <w:r>
        <w:t>11.1  Inspection Frequencies</w:t>
      </w:r>
    </w:p>
    <w:p>
      <w:pPr>
        <w:pStyle w:val="NormalNumberedtext"/>
      </w:pPr>
      <w:r>
        <w:t>Scaffold inspections must be conducted at defined frequencies throughout the period of use.</w:t>
      </w:r>
    </w:p>
    <w:p>
      <w:pPr>
        <w:pStyle w:val="NormalNumberedtext"/>
      </w:pPr>
      <w:r>
        <w:t>Scaffold inspection frequencies must be applied in accordance with APPC Appendix C, C-2 §55.17.2. All inspection findings must be documented and retained in RTPR-HSE-REG-0011. Any defect requiring remediation must result in the scaffold being taken out of service (Red tag) until the defect is rectified and the scaffold re-verified, consistent with IFC EHS General Guidelines §2.1.</w:t>
      </w:r>
    </w:p>
    <w:p>
      <w:pPr>
        <w:pStyle w:val="NormalNumberedtext"/>
      </w:pPr>
      <w:r>
        <w:t>Table: Scaffold Inspection Frequency Requirements</w:t>
      </w:r>
    </w:p>
    <w:tbl>
      <w:tblPr>
        <w:tblStyle w:val="TableOption2"/>
        <w:tblW w:type="pct" w:w="5000"/>
      </w:tblPr>
      <w:tr>
        <w:trPr>
          <w:tblHeader/>
        </w:trPr>
        <w:tc>
          <w:tcPr>
            <w:shd w:val="clear" w:color="auto" w:fill="1F3864"/>
          </w:tcPr>
          <w:p>
            <w:pPr>
              <w:pStyle w:val="TableContents"/>
            </w:pPr>
            <w:r>
              <w:rPr>
                <w:b/>
                <w:bCs/>
                <w:color w:val="FFFFFF"/>
              </w:rPr>
              <w:t>Inspection Trigger</w:t>
            </w:r>
          </w:p>
        </w:tc>
        <w:tc>
          <w:tcPr>
            <w:shd w:val="clear" w:color="auto" w:fill="1F3864"/>
          </w:tcPr>
          <w:p>
            <w:pPr>
              <w:pStyle w:val="TableContents"/>
            </w:pPr>
            <w:r>
              <w:rPr>
                <w:b/>
                <w:bCs/>
                <w:color w:val="FFFFFF"/>
              </w:rPr>
              <w:t>Minimum Frequency</w:t>
            </w:r>
          </w:p>
        </w:tc>
        <w:tc>
          <w:tcPr>
            <w:shd w:val="clear" w:color="auto" w:fill="1F3864"/>
          </w:tcPr>
          <w:p>
            <w:pPr>
              <w:pStyle w:val="TableContents"/>
            </w:pPr>
            <w:r>
              <w:rPr>
                <w:b/>
                <w:bCs/>
                <w:color w:val="FFFFFF"/>
              </w:rPr>
              <w:t>Conducted By</w:t>
            </w:r>
          </w:p>
        </w:tc>
      </w:tr>
      <w:tr>
        <w:tc>
          <w:tcPr/>
          <w:p>
            <w:pPr>
              <w:pStyle w:val="TableContents"/>
            </w:pPr>
            <w:r>
              <w:t>Before first use</w:t>
            </w:r>
          </w:p>
        </w:tc>
        <w:tc>
          <w:tcPr/>
          <w:p>
            <w:pPr>
              <w:pStyle w:val="TableContents"/>
            </w:pPr>
            <w:r>
              <w:t>Once — prior to handover (design verification)</w:t>
            </w:r>
          </w:p>
        </w:tc>
        <w:tc>
          <w:tcPr/>
          <w:p>
            <w:pPr>
              <w:pStyle w:val="TableContents"/>
            </w:pPr>
            <w:r>
              <w:t>Competent scaffolder or engineer</w:t>
            </w:r>
          </w:p>
        </w:tc>
      </w:tr>
      <w:tr>
        <w:tc>
          <w:tcPr/>
          <w:p>
            <w:pPr>
              <w:pStyle w:val="TableContents"/>
            </w:pPr>
            <w:r>
              <w:t>Scaffold in active service</w:t>
            </w:r>
          </w:p>
        </w:tc>
        <w:tc>
          <w:tcPr/>
          <w:p>
            <w:pPr>
              <w:pStyle w:val="TableContents"/>
            </w:pPr>
            <w:r>
              <w:t>Daily visual inspection before access; formal inspection every 7 days</w:t>
            </w:r>
          </w:p>
        </w:tc>
        <w:tc>
          <w:tcPr/>
          <w:p>
            <w:pPr>
              <w:pStyle w:val="TableContents"/>
            </w:pPr>
            <w:r>
              <w:t>Competent scaffolder</w:t>
            </w:r>
          </w:p>
        </w:tc>
      </w:tr>
      <w:tr>
        <w:tc>
          <w:tcPr/>
          <w:p>
            <w:pPr>
              <w:pStyle w:val="TableContents"/>
            </w:pPr>
            <w:r>
              <w:t>Scaffold not in active service</w:t>
            </w:r>
          </w:p>
        </w:tc>
        <w:tc>
          <w:tcPr/>
          <w:p>
            <w:pPr>
              <w:pStyle w:val="TableContents"/>
            </w:pPr>
            <w:r>
              <w:t>Every 30 days</w:t>
            </w:r>
          </w:p>
        </w:tc>
        <w:tc>
          <w:tcPr/>
          <w:p>
            <w:pPr>
              <w:pStyle w:val="TableContents"/>
            </w:pPr>
            <w:r>
              <w:t>Competent scaffolder</w:t>
            </w:r>
          </w:p>
        </w:tc>
      </w:tr>
      <w:tr>
        <w:tc>
          <w:tcPr/>
          <w:p>
            <w:pPr>
              <w:pStyle w:val="TableContents"/>
            </w:pPr>
            <w:r>
              <w:t>Following high wind, impact, overloading, significant precipitation, or seismic event</w:t>
            </w:r>
          </w:p>
        </w:tc>
        <w:tc>
          <w:tcPr/>
          <w:p>
            <w:pPr>
              <w:pStyle w:val="TableContents"/>
            </w:pPr>
            <w:r>
              <w:t>Before next use</w:t>
            </w:r>
          </w:p>
        </w:tc>
        <w:tc>
          <w:tcPr/>
          <w:p>
            <w:pPr>
              <w:pStyle w:val="TableContents"/>
            </w:pPr>
            <w:r>
              <w:t>Competent scaffolder or engineer</w:t>
            </w:r>
          </w:p>
        </w:tc>
      </w:tr>
      <w:tr>
        <w:tc>
          <w:tcPr/>
          <w:p>
            <w:pPr>
              <w:pStyle w:val="TableContents"/>
            </w:pPr>
            <w:r>
              <w:t>After any modification</w:t>
            </w:r>
          </w:p>
        </w:tc>
        <w:tc>
          <w:tcPr/>
          <w:p>
            <w:pPr>
              <w:pStyle w:val="TableContents"/>
            </w:pPr>
            <w:r>
              <w:t>Before next use after modification</w:t>
            </w:r>
          </w:p>
        </w:tc>
        <w:tc>
          <w:tcPr/>
          <w:p>
            <w:pPr>
              <w:pStyle w:val="TableContents"/>
            </w:pPr>
            <w:r>
              <w:t>Competent scaffolder</w:t>
            </w:r>
          </w:p>
        </w:tc>
      </w:tr>
      <w:tr>
        <w:tc>
          <w:tcPr/>
          <w:p>
            <w:pPr>
              <w:pStyle w:val="TableContents"/>
            </w:pPr>
            <w:r>
              <w:t>Before resuming use after inactivity</w:t>
            </w:r>
          </w:p>
        </w:tc>
        <w:tc>
          <w:tcPr/>
          <w:p>
            <w:pPr>
              <w:pStyle w:val="TableContents"/>
            </w:pPr>
            <w:r>
              <w:t>Before resuming use after any inactivity period exceeding [INSERT: defined duration]</w:t>
            </w:r>
          </w:p>
        </w:tc>
        <w:tc>
          <w:tcPr/>
          <w:p>
            <w:pPr>
              <w:pStyle w:val="TableContents"/>
            </w:pPr>
            <w:r>
              <w:t>Competent scaffolder</w:t>
            </w:r>
          </w:p>
        </w:tc>
      </w:tr>
      <w:tr>
        <w:tc>
          <w:tcPr/>
          <w:p>
            <w:pPr>
              <w:pStyle w:val="TableContents"/>
            </w:pPr>
            <w:r>
              <w:rPr>
                <w:b/>
                <w:bCs/>
                <w:color w:val="0059D1"/>
              </w:rPr>
              <w:t>[INSERT: additional trigger]</w:t>
            </w:r>
          </w:p>
        </w:tc>
        <w:tc>
          <w:tcPr/>
          <w:p>
            <w:pPr>
              <w:pStyle w:val="TableContents"/>
            </w:pPr>
            <w:r>
              <w:rPr>
                <w:b/>
                <w:bCs/>
                <w:color w:val="0059D1"/>
              </w:rPr>
              <w:t>[INSERT: frequency]</w:t>
            </w:r>
          </w:p>
        </w:tc>
        <w:tc>
          <w:tcPr/>
          <w:p>
            <w:pPr>
              <w:pStyle w:val="TableContents"/>
            </w:pPr>
            <w:r>
              <w:rPr>
                <w:b/>
                <w:bCs/>
                <w:color w:val="0059D1"/>
              </w:rPr>
              <w:t>[INSERT: role]</w:t>
            </w:r>
          </w:p>
        </w:tc>
      </w:tr>
    </w:tbl>
    <w:p>
      <w:pPr>
        <w:pStyle w:val="Default"/>
      </w:pPr>
    </w:p>
    <w:p>
      <w:pPr>
        <w:pStyle w:val="NormalNumberedtext"/>
      </w:pPr>
      <w:r>
        <w:rPr>
          <w:b/>
          <w:bCs/>
          <w:color w:val="0059D1"/>
        </w:rPr>
        <w:t>[INSERT: Inactivity inspection period] — Define the maximum inactivity period after which a formal inspection is required before the scaffold is returned to use. Orange suggestion: 7 days.</w:t>
      </w:r>
    </w:p>
    <w:p>
      <w:pPr>
        <w:pStyle w:val="Heading2Numbered"/>
      </w:pPr>
      <w:r>
        <w:t>11.2  Extended Use Requirements</w:t>
      </w:r>
    </w:p>
    <w:p>
      <w:pPr>
        <w:pStyle w:val="NormalNumberedtext"/>
      </w:pPr>
      <w:r>
        <w:t>Scaffolds remaining in place beyond a defined period are subject to formal periodic structural inspection.</w:t>
      </w:r>
    </w:p>
    <w:p>
      <w:pPr>
        <w:pStyle w:val="NormalNumberedtext"/>
      </w:pPr>
      <w:r>
        <w:t>Scaffolds remaining in place for more than 30 days must be subject to a formal periodic structural inspection at intervals no greater than those defined in the design documentation or applicable standard, whichever is more frequent, consistent with APPC Appendix C, C-2 §55.17.3.</w:t>
      </w:r>
    </w:p>
    <w:p>
      <w:pPr>
        <w:pStyle w:val="NormalNumberedtext"/>
      </w:pPr>
      <w:r>
        <w:t>For scaffolds in place for more than 90 days, a competent person must reassess structural integrity, consistent with APPC Appendix C, C-2 §55.17.3.1. The inspection frequency and type must be based on scaffold type, use, location exposure, and any contact with corrosive substances.</w:t>
      </w:r>
    </w:p>
    <w:p>
      <w:pPr>
        <w:pStyle w:val="NormalNumberedtext"/>
      </w:pPr>
      <w:r>
        <w:rPr>
          <w:b/>
          <w:bCs/>
          <w:color w:val="0059D1"/>
        </w:rPr>
        <w:t>[INSERT: Extended use periodic inspection interval] — Define the project periodic inspection interval for extended-use scaffolds. The procedure sets a maximum of 30 days — the project may set a more frequent interval based on site exposure conditions.</w:t>
      </w:r>
    </w:p>
    <w:p>
      <w:pPr>
        <w:pStyle w:val="Heading1Numbered"/>
      </w:pPr>
      <w:r>
        <w:t>12  Scaffolding Over Water</w:t>
      </w:r>
    </w:p>
    <w:p>
      <w:pPr>
        <w:pStyle w:val="NormalNumberedtext"/>
      </w:pPr>
      <w:r>
        <w:t>This section defines the specific design, fall protection, and emergency preparedness requirements for scaffolds erected over or adjacent to water.</w:t>
      </w:r>
    </w:p>
    <w:p>
      <w:pPr>
        <w:pStyle w:val="Heading2Numbered"/>
      </w:pPr>
      <w:r>
        <w:t>12.1  Over Water Scaffold Requirements</w:t>
      </w:r>
    </w:p>
    <w:p>
      <w:pPr>
        <w:pStyle w:val="NormalNumberedtext"/>
      </w:pPr>
      <w:r>
        <w:t>Scaffolds over or adjacent to water require engineered designs, independent fall protection anchors, and PFD requirements for all personnel.</w:t>
      </w:r>
    </w:p>
    <w:p>
      <w:pPr>
        <w:pStyle w:val="NormalNumberedtext"/>
      </w:pPr>
      <w:r>
        <w:t>Fall protection for scaffolds over or adjacent to water must be anchored to an independent, certified structure and must not be attached to the temporary scaffold structure being erected, altered, or dismantled, consistent with APPC Appendix C, C-2 §55.16.7. PFDs must be worn during all scaffold work within two metres of an unprotected water edge, consistent with the Over Water Procedure, refer RTPR-HSE-PRO-0030.</w:t>
      </w:r>
    </w:p>
    <w:p>
      <w:pPr>
        <w:pStyle w:val="NormalNumberedtext"/>
      </w:pPr>
      <w:r>
        <w:t>Scaffolds over water must incorporate fall protection with an inbuilt flotation device (IFD) attached to an independent structure, consistent with APPC Appendix C, C-2 §55.16.7.1. The authorisation process for over water scaffold activities must include assessment of water immersion emergency response, refer RTPR-HSE-PRO-0030.</w:t>
      </w:r>
    </w:p>
    <w:p>
      <w:pPr>
        <w:pStyle w:val="NormalNumberedtext"/>
      </w:pPr>
      <w:r>
        <w:t>Scaffolds over water must be designed with an engineered design reviewed by a competent person before erection commences. The engineered design must cover the following:</w:t>
      </w:r>
    </w:p>
    <w:p>
      <w:pPr>
        <w:pStyle w:val="NormalNumberedtext"/>
      </w:pPr>
      <w:r>
        <w:t>The engineered design for over water scaffolds must address:</w:t>
      </w:r>
    </w:p>
    <w:p>
      <w:pPr>
        <w:pStyle w:val="NumberedBulletL1"/>
      </w:pPr>
      <w:r>
        <w:t>The loads imposed by the structure and its users on the supporting surface.</w:t>
      </w:r>
    </w:p>
    <w:p>
      <w:pPr>
        <w:pStyle w:val="NumberedBulletL1"/>
      </w:pPr>
      <w:r>
        <w:t>Emergency rescue access provisions for a person who falls into the water.</w:t>
      </w:r>
    </w:p>
    <w:p>
      <w:pPr>
        <w:pStyle w:val="NumberedBulletL1"/>
      </w:pPr>
      <w:r>
        <w:t>Anchor arrangements for fall protection equipment that prevent contact with the water on arrest.</w:t>
      </w:r>
    </w:p>
    <w:p>
      <w:pPr>
        <w:pStyle w:val="NormalNumberedtext"/>
      </w:pPr>
      <w:r>
        <w:t>Raise a permit via the site PTW system before commencing any over water scaffolding activity, refer RTPR-HSE-PRO-0021.</w:t>
      </w:r>
    </w:p>
    <w:p>
      <w:pPr>
        <w:pStyle w:val="Heading1Numbered"/>
      </w:pPr>
      <w:r>
        <w:t>13  Dismantling and Emergency Preparedness</w:t>
      </w:r>
    </w:p>
    <w:p>
      <w:pPr>
        <w:pStyle w:val="NormalNumberedtext"/>
      </w:pPr>
      <w:r>
        <w:t>This section defines the requirements for scaffold dismantling sequencing, fall protection during dismantling, and emergency preparedness specific to scaffolding activities.</w:t>
      </w:r>
    </w:p>
    <w:p>
      <w:pPr>
        <w:pStyle w:val="Heading2Numbered"/>
      </w:pPr>
      <w:r>
        <w:t>13.1  Dismantling Sequencing</w:t>
      </w:r>
    </w:p>
    <w:p>
      <w:pPr>
        <w:pStyle w:val="NormalNumberedtext"/>
      </w:pPr>
      <w:r>
        <w:t>Scaffolding must be dismantled by a competent and authorised scaffolder following a documented dismantling sequence.</w:t>
      </w:r>
    </w:p>
    <w:p>
      <w:pPr>
        <w:pStyle w:val="NormalNumberedtext"/>
      </w:pPr>
      <w:r>
        <w:t>Scaffolding must be dismantled by a competent and authorised scaffolder following a documented dismantling sequence, consistent with APPC Appendix C, C-2 §55.18. The dismantling sequence must be approved by the Scaffold Supervisor before dismantling commences.</w:t>
      </w:r>
    </w:p>
    <w:p>
      <w:pPr>
        <w:pStyle w:val="NormalNumberedtext"/>
      </w:pPr>
      <w:r>
        <w:t>The risk of falls during dismantling must be managed using the same fall protection approach as erection. Edge protection must be maintained until immediately before the relevant component is removed. Exclusion zones during dismantling must be established and maintained in accordance with the Barricading Procedure, refer RTPR-HSE-PRO-0028.</w:t>
      </w:r>
    </w:p>
    <w:p>
      <w:pPr>
        <w:pStyle w:val="Heading2Numbered"/>
      </w:pPr>
      <w:r>
        <w:t>13.2  Emergency Preparedness</w:t>
      </w:r>
    </w:p>
    <w:p>
      <w:pPr>
        <w:pStyle w:val="NormalNumberedtext"/>
      </w:pPr>
      <w:r>
        <w:t>Emergency preparedness requirements specific to scaffolding must be defined before any scaffold is erected and reviewed before dismantling commences.</w:t>
      </w:r>
    </w:p>
    <w:p>
      <w:pPr>
        <w:pStyle w:val="NormalNumberedtext"/>
      </w:pPr>
      <w:r>
        <w:t>Emergency procedures and rescue plans must be prepared for scaffold emergencies, tailored to the scaffold type and location, and tested regularly, consistent with APPC Appendix C, C-2 §55.18.2 and §55.18.2.1.</w:t>
      </w:r>
    </w:p>
    <w:p>
      <w:pPr>
        <w:pStyle w:val="NormalNumberedtext"/>
      </w:pPr>
      <w:r>
        <w:t>Scaffold emergency preparedness must address the following scenarios as a minimum:</w:t>
      </w:r>
    </w:p>
    <w:p>
      <w:pPr>
        <w:pStyle w:val="NumberedBulletL1"/>
      </w:pPr>
      <w:r>
        <w:t>Rescue of a person fallen while attached to a fall arrest system on scaffold, including management of suspension trauma.</w:t>
      </w:r>
    </w:p>
    <w:p>
      <w:pPr>
        <w:pStyle w:val="NumberedBulletL1"/>
      </w:pPr>
      <w:r>
        <w:t>Evacuation procedures for partial or full scaffold collapse.</w:t>
      </w:r>
    </w:p>
    <w:p>
      <w:pPr>
        <w:pStyle w:val="NumberedBulletL1"/>
      </w:pPr>
      <w:r>
        <w:t>Medical incidents occurring on scaffold.</w:t>
      </w:r>
    </w:p>
    <w:p>
      <w:pPr>
        <w:pStyle w:val="NumberedBulletL1"/>
      </w:pPr>
      <w:r>
        <w:t>Fire or emergency requiring evacuation of scaffold structures.</w:t>
      </w:r>
    </w:p>
    <w:p>
      <w:pPr>
        <w:pStyle w:val="NumberedBulletL1"/>
      </w:pPr>
      <w:r>
        <w:t>Compatibility of rescue equipment with the specific scaffold configuration.</w:t>
      </w:r>
    </w:p>
    <w:p>
      <w:pPr>
        <w:pStyle w:val="NormalNumberedtext"/>
      </w:pPr>
      <w:r>
        <w:rPr>
          <w:b/>
          <w:bCs/>
          <w:color w:val="0059D1"/>
        </w:rPr>
        <w:t>[INSERT: Scaffold emergency rescue plan] — Define the project scaffold emergency rescue plan or reference the applicable rescue plan document. Confirm rescue equipment is compatible with scaffold types in use on the project.</w:t>
      </w:r>
    </w:p>
    <w:p>
      <w:pPr>
        <w:pStyle w:val="NormalNumberedtext"/>
      </w:pPr>
      <w:r>
        <w:t>Report all incidents and near misses per project requirements, refer RTPR-HSE-PRO-0009.</w:t>
      </w:r>
    </w:p>
    <w:p>
      <w:pPr>
        <w:pStyle w:val="Heading1Numbered"/>
      </w:pPr>
      <w:r>
        <w:t>14  Training and Competency</w:t>
      </w:r>
    </w:p>
    <w:p>
      <w:pPr>
        <w:pStyle w:val="NormalNumberedtext"/>
      </w:pPr>
      <w:r>
        <w:t>This section defines competency requirements by scaffold role, competency verification requirements, and training requirements for scaffold emergency response.</w:t>
      </w:r>
    </w:p>
    <w:p>
      <w:pPr>
        <w:pStyle w:val="Heading2Numbered"/>
      </w:pPr>
      <w:r>
        <w:t>14.1  Competency Requirements by Role</w:t>
      </w:r>
    </w:p>
    <w:p>
      <w:pPr>
        <w:pStyle w:val="NormalNumberedtext"/>
      </w:pPr>
      <w:r>
        <w:t>Competency requirements must be defined and verified for every scaffold role before personnel are authorised to perform that role.</w:t>
      </w:r>
    </w:p>
    <w:p>
      <w:pPr>
        <w:pStyle w:val="NormalNumberedtext"/>
      </w:pPr>
      <w:r>
        <w:t>Competency requirements by scaffold role are defined below, consistent with APPC Appendix C, C-2 §55.18.3–55.18.7. No person may perform a scaffold role without verified competency in that role.</w:t>
      </w:r>
    </w:p>
    <w:p>
      <w:pPr>
        <w:pStyle w:val="NormalNumberedtext"/>
      </w:pPr>
      <w:r>
        <w:t>Table: Scaffold Competency Requirements by Role</w:t>
      </w:r>
    </w:p>
    <w:tbl>
      <w:tblPr>
        <w:tblStyle w:val="TableOption2"/>
        <w:tblW w:type="pct" w:w="5000"/>
      </w:tblPr>
      <w:tr>
        <w:trPr>
          <w:tblHeader/>
        </w:trPr>
        <w:tc>
          <w:tcPr>
            <w:shd w:val="clear" w:color="auto" w:fill="1F3864"/>
          </w:tcPr>
          <w:p>
            <w:pPr>
              <w:pStyle w:val="TableContents"/>
            </w:pPr>
            <w:r>
              <w:rPr>
                <w:b/>
                <w:bCs/>
                <w:color w:val="FFFFFF"/>
              </w:rPr>
              <w:t>Scaffold Role</w:t>
            </w:r>
          </w:p>
        </w:tc>
        <w:tc>
          <w:tcPr>
            <w:shd w:val="clear" w:color="auto" w:fill="1F3864"/>
          </w:tcPr>
          <w:p>
            <w:pPr>
              <w:pStyle w:val="TableContents"/>
            </w:pPr>
            <w:r>
              <w:rPr>
                <w:b/>
                <w:bCs/>
                <w:color w:val="FFFFFF"/>
              </w:rPr>
              <w:t>Minimum Competency Requirement</w:t>
            </w:r>
          </w:p>
        </w:tc>
        <w:tc>
          <w:tcPr>
            <w:shd w:val="clear" w:color="auto" w:fill="1F3864"/>
          </w:tcPr>
          <w:p>
            <w:pPr>
              <w:pStyle w:val="TableContents"/>
            </w:pPr>
            <w:r>
              <w:rPr>
                <w:b/>
                <w:bCs/>
                <w:color w:val="FFFFFF"/>
              </w:rPr>
              <w:t>Authorisation Requirement</w:t>
            </w:r>
          </w:p>
        </w:tc>
      </w:tr>
      <w:tr>
        <w:tc>
          <w:tcPr/>
          <w:p>
            <w:pPr>
              <w:pStyle w:val="TableContents"/>
            </w:pPr>
            <w:r>
              <w:t>Scaffold Designer</w:t>
            </w:r>
          </w:p>
        </w:tc>
        <w:tc>
          <w:tcPr/>
          <w:p>
            <w:pPr>
              <w:pStyle w:val="TableContents"/>
            </w:pPr>
            <w:r>
              <w:t>Competent scaffolder with design competency. Qualified engineer required for complex configurations (slung, suspended, over water, cantilever, adjacent to rail).</w:t>
            </w:r>
          </w:p>
        </w:tc>
        <w:tc>
          <w:tcPr/>
          <w:p>
            <w:pPr>
              <w:pStyle w:val="TableContents"/>
            </w:pPr>
            <w:r>
              <w:t>Approved by Scaffold Supervisor. Engineering designs approved by qualified engineer.</w:t>
            </w:r>
          </w:p>
        </w:tc>
      </w:tr>
      <w:tr>
        <w:tc>
          <w:tcPr/>
          <w:p>
            <w:pPr>
              <w:pStyle w:val="TableContents"/>
            </w:pPr>
            <w:r>
              <w:t>Scaffold Inspector / Verifier</w:t>
            </w:r>
          </w:p>
        </w:tc>
        <w:tc>
          <w:tcPr/>
          <w:p>
            <w:pPr>
              <w:pStyle w:val="TableContents"/>
            </w:pPr>
            <w:r>
              <w:t>Competent scaffolder or engineer with inspection competency.</w:t>
            </w:r>
          </w:p>
        </w:tc>
        <w:tc>
          <w:tcPr/>
          <w:p>
            <w:pPr>
              <w:pStyle w:val="TableContents"/>
            </w:pPr>
            <w:r>
              <w:t>Approved by Scaffold Supervisor.</w:t>
            </w:r>
          </w:p>
        </w:tc>
      </w:tr>
      <w:tr>
        <w:tc>
          <w:tcPr/>
          <w:p>
            <w:pPr>
              <w:pStyle w:val="TableContents"/>
            </w:pPr>
            <w:r>
              <w:t>Scaffold Erector / Modifier / Dismantler</w:t>
            </w:r>
          </w:p>
        </w:tc>
        <w:tc>
          <w:tcPr/>
          <w:p>
            <w:pPr>
              <w:pStyle w:val="TableContents"/>
            </w:pPr>
            <w:r>
              <w:t>Licensed and competent scaffolder operating within their class of licence.</w:t>
            </w:r>
          </w:p>
        </w:tc>
        <w:tc>
          <w:tcPr/>
          <w:p>
            <w:pPr>
              <w:pStyle w:val="TableContents"/>
            </w:pPr>
            <w:r>
              <w:t>Authorised by Scaffold Supervisor. Class of licence verified before commencement.</w:t>
            </w:r>
          </w:p>
        </w:tc>
      </w:tr>
      <w:tr>
        <w:tc>
          <w:tcPr/>
          <w:p>
            <w:pPr>
              <w:pStyle w:val="TableContents"/>
            </w:pPr>
            <w:r>
              <w:t>Scaffold User</w:t>
            </w:r>
          </w:p>
        </w:tc>
        <w:tc>
          <w:tcPr/>
          <w:p>
            <w:pPr>
              <w:pStyle w:val="TableContents"/>
            </w:pPr>
            <w:r>
              <w:t>Inducted and trained in scaffold user responsibilities including load limits, prohibited actions, and reporting of damage or changes.</w:t>
            </w:r>
          </w:p>
        </w:tc>
        <w:tc>
          <w:tcPr/>
          <w:p>
            <w:pPr>
              <w:pStyle w:val="TableContents"/>
            </w:pPr>
            <w:r>
              <w:t>Site induction and scaffold user training completed and recorded in RTPR-HSE-REG-0003.</w:t>
            </w:r>
          </w:p>
        </w:tc>
      </w:tr>
      <w:tr>
        <w:tc>
          <w:tcPr/>
          <w:p>
            <w:pPr>
              <w:pStyle w:val="TableContents"/>
            </w:pPr>
            <w:r>
              <w:rPr>
                <w:b/>
                <w:bCs/>
                <w:color w:val="0059D1"/>
              </w:rPr>
              <w:t>[INSERT: additional role]</w:t>
            </w:r>
          </w:p>
        </w:tc>
        <w:tc>
          <w:tcPr/>
          <w:p>
            <w:pPr>
              <w:pStyle w:val="TableContents"/>
            </w:pPr>
            <w:r>
              <w:rPr>
                <w:b/>
                <w:bCs/>
                <w:color w:val="0059D1"/>
              </w:rPr>
              <w:t>[INSERT: competency requirement]</w:t>
            </w:r>
          </w:p>
        </w:tc>
        <w:tc>
          <w:tcPr/>
          <w:p>
            <w:pPr>
              <w:pStyle w:val="TableContents"/>
            </w:pPr>
            <w:r>
              <w:rPr>
                <w:b/>
                <w:bCs/>
                <w:color w:val="0059D1"/>
              </w:rPr>
              <w:t>[INSERT: authorisation requirement]</w:t>
            </w:r>
          </w:p>
        </w:tc>
      </w:tr>
    </w:tbl>
    <w:p>
      <w:pPr>
        <w:pStyle w:val="Default"/>
      </w:pPr>
    </w:p>
    <w:p>
      <w:pPr>
        <w:pStyle w:val="Heading2Numbered"/>
      </w:pPr>
      <w:r>
        <w:t>14.2  Competency Verification and Re-verification</w:t>
      </w:r>
    </w:p>
    <w:p>
      <w:pPr>
        <w:pStyle w:val="NormalNumberedtext"/>
      </w:pPr>
      <w:r>
        <w:t>Competency must be verified before authorisation in any scaffold role and re-verified at a risk-based frequency.</w:t>
      </w:r>
    </w:p>
    <w:p>
      <w:pPr>
        <w:pStyle w:val="NormalNumberedtext"/>
      </w:pPr>
      <w:r>
        <w:t>Competency must be verified before personnel are authorised in any scaffold role, with re-verification at a risk-based frequency appropriate to the hazards, scaffold types encountered, and jurisdiction requirements, consistent with APPC Appendix C, C-2 §55.18.6. Competency records are maintained in accordance with the Training Procedure, refer RTPR-HSE-PRO-0004, and recorded in RTPR-HSE-REG-0003.</w:t>
      </w:r>
    </w:p>
    <w:p>
      <w:pPr>
        <w:pStyle w:val="NormalNumberedtext"/>
      </w:pPr>
      <w:r>
        <w:t>Scaffold workers must be trained not only in task-specific skills but also in the emergency response procedures applicable to scaffold incidents, including rescue from height and communication protocols, consistent with IFC PS2 GN§80. Emergency response training must be completed before the worker is authorised in the relevant scaffold role.</w:t>
      </w:r>
    </w:p>
    <w:p>
      <w:pPr>
        <w:pStyle w:val="NormalNumberedtext"/>
      </w:pPr>
      <w:r>
        <w:rPr>
          <w:b/>
          <w:bCs/>
          <w:color w:val="0059D1"/>
        </w:rPr>
        <w:t>[INSERT: Competency re-verification frequency] — Define the project re-verification frequency for each scaffold role. Orange suggestion: Scaffold Erector/Modifier/Dismantler — every 2 years; Scaffold Inspector — every 2 years; Scaffold Designer — every 3 years or on change of scaffold type.</w:t>
      </w:r>
    </w:p>
    <w:p>
      <w:pPr>
        <w:pStyle w:val="Heading1Numbered"/>
      </w:pPr>
      <w:r>
        <w:t>15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(Community) — the integrated management framework governing all HSE and community obligations on Rio Tinto owner-led projects.</w:t>
            </w:r>
          </w:p>
        </w:tc>
      </w:tr>
      <w:tr>
        <w:tc>
          <w:tcPr/>
          <w:p>
            <w:pPr>
              <w:pStyle w:val="TableContents"/>
            </w:pPr>
            <w:r>
              <w:t>PTW</w:t>
            </w:r>
          </w:p>
        </w:tc>
        <w:tc>
          <w:tcPr/>
          <w:p>
            <w:pPr>
              <w:pStyle w:val="TableContents"/>
            </w:pPr>
            <w:r>
              <w:t>Permit to Work — a formal documented control system that authorises specific high-risk work activities, defines the scope, hazards, controls and responsible persons, and ensures work is conducted safely within defined conditions.</w:t>
            </w:r>
          </w:p>
        </w:tc>
      </w:tr>
      <w:tr>
        <w:tc>
          <w:tcPr/>
          <w:p>
            <w:pPr>
              <w:pStyle w:val="TableContents"/>
            </w:pPr>
            <w:r>
              <w:t>PPE</w:t>
            </w:r>
          </w:p>
        </w:tc>
        <w:tc>
          <w:tcPr/>
          <w:p>
            <w:pPr>
              <w:pStyle w:val="TableContents"/>
            </w:pPr>
            <w:r>
              <w:t>Personal Protective Equipment — equipment worn or used by a person to minimise exposure to hazards that could cause injury or illness, including but not limited to hard hats, safety footwear, harnesses, gloves and eye protection.</w:t>
            </w:r>
          </w:p>
        </w:tc>
      </w:tr>
      <w:tr>
        <w:tc>
          <w:tcPr/>
          <w:p>
            <w:pPr>
              <w:pStyle w:val="TableContents"/>
            </w:pPr>
            <w:r>
              <w:t>PFD</w:t>
            </w:r>
          </w:p>
        </w:tc>
        <w:tc>
          <w:tcPr/>
          <w:p>
            <w:pPr>
              <w:pStyle w:val="TableContents"/>
            </w:pPr>
            <w:r>
              <w:t>Personal Flotation Device — a buoyancy aid or life jacket worn by personnel when working at or near water to prevent drowning in the event of an unplanned entry into water.</w:t>
            </w:r>
          </w:p>
        </w:tc>
      </w:tr>
      <w:tr>
        <w:tc>
          <w:tcPr/>
          <w:p>
            <w:pPr>
              <w:pStyle w:val="TableContents"/>
            </w:pPr>
            <w:r>
              <w:t>SWL</w:t>
            </w:r>
          </w:p>
        </w:tc>
        <w:tc>
          <w:tcPr/>
          <w:p>
            <w:pPr>
              <w:pStyle w:val="TableContents"/>
            </w:pPr>
            <w:r>
              <w:t>Safe Working Load — the maximum load that a scaffold structure, component or lifting point is designed and certified to carry under specified conditions without risk of failure.</w:t>
            </w:r>
          </w:p>
        </w:tc>
      </w:tr>
      <w:tr>
        <w:tc>
          <w:tcPr/>
          <w:p>
            <w:pPr>
              <w:pStyle w:val="TableContents"/>
            </w:pPr>
            <w:r>
              <w:t>WLL</w:t>
            </w:r>
          </w:p>
        </w:tc>
        <w:tc>
          <w:tcPr/>
          <w:p>
            <w:pPr>
              <w:pStyle w:val="TableContents"/>
            </w:pPr>
            <w:r>
              <w:t>Working Load Limit — the maximum load, as determined by the manufacturer or a competent engineer, that may be applied to a component or assembly under normal working conditions.</w:t>
            </w:r>
          </w:p>
        </w:tc>
      </w:tr>
      <w:tr>
        <w:tc>
          <w:tcPr/>
          <w:p>
            <w:pPr>
              <w:pStyle w:val="TableContents"/>
            </w:pPr>
            <w:r>
              <w:t>EWP</w:t>
            </w:r>
          </w:p>
        </w:tc>
        <w:tc>
          <w:tcPr/>
          <w:p>
            <w:pPr>
              <w:pStyle w:val="TableContents"/>
            </w:pPr>
            <w:r>
              <w:t>Elevated Work Platform — a powered mobile or fixed mechanical device used to temporarily elevate workers and their tools or materials to perform tasks at height.</w:t>
            </w:r>
          </w:p>
        </w:tc>
      </w:tr>
      <w:tr>
        <w:tc>
          <w:tcPr/>
          <w:p>
            <w:pPr>
              <w:pStyle w:val="TableContents"/>
            </w:pPr>
            <w:r>
              <w:t>MEWP</w:t>
            </w:r>
          </w:p>
        </w:tc>
        <w:tc>
          <w:tcPr/>
          <w:p>
            <w:pPr>
              <w:pStyle w:val="TableContents"/>
            </w:pPr>
            <w:r>
              <w:t>Mobile Elevated Work Platform — a self-propelled or vehicle-mounted elevated work platform, including boom lifts and scissor lifts, used to provide temporary access to elevated work areas.</w:t>
            </w:r>
          </w:p>
        </w:tc>
      </w:tr>
      <w:tr>
        <w:tc>
          <w:tcPr/>
          <w:p>
            <w:pPr>
              <w:pStyle w:val="TableContents"/>
            </w:pPr>
            <w:r>
              <w:t>SWMS</w:t>
            </w:r>
          </w:p>
        </w:tc>
        <w:tc>
          <w:tcPr/>
          <w:p>
            <w:pPr>
              <w:pStyle w:val="TableContents"/>
            </w:pPr>
            <w:r>
              <w:t>Safe Work Method Statement — a documented procedure that identifies the steps involved in performing a specific high-risk work activity, the associated hazards, and the control measures to be implemented to manage those hazards.</w:t>
            </w:r>
          </w:p>
        </w:tc>
      </w:tr>
      <w:tr>
        <w:tc>
          <w:tcPr/>
          <w:p>
            <w:pPr>
              <w:pStyle w:val="TableContents"/>
            </w:pPr>
            <w:r>
              <w:t>JHA</w:t>
            </w:r>
          </w:p>
        </w:tc>
        <w:tc>
          <w:tcPr/>
          <w:p>
            <w:pPr>
              <w:pStyle w:val="TableContents"/>
            </w:pPr>
            <w:r>
              <w:t>Job Hazard Analysis — a systematic technique used to identify and evaluate hazards associated with individual job steps or tasks, and to determine appropriate control measures prior to commencing work.</w:t>
            </w:r>
          </w:p>
        </w:tc>
      </w:tr>
      <w:tr>
        <w:tc>
          <w:tcPr/>
          <w:p>
            <w:pPr>
              <w:pStyle w:val="TableContents"/>
            </w:pPr>
            <w:r>
              <w:t>JSA</w:t>
            </w:r>
          </w:p>
        </w:tc>
        <w:tc>
          <w:tcPr/>
          <w:p>
            <w:pPr>
              <w:pStyle w:val="TableContents"/>
            </w:pPr>
            <w:r>
              <w:t>Job Safety Analysis — a hazard identification and risk assessment tool used to examine each step of a task, identify potential hazards, and define controls to reduce risk to an acceptable level before work begins.</w:t>
            </w:r>
          </w:p>
        </w:tc>
      </w:tr>
      <w:tr>
        <w:tc>
          <w:tcPr/>
          <w:p>
            <w:pPr>
              <w:pStyle w:val="TableContents"/>
            </w:pPr>
            <w:r>
              <w:t>SOP</w:t>
            </w:r>
          </w:p>
        </w:tc>
        <w:tc>
          <w:tcPr/>
          <w:p>
            <w:pPr>
              <w:pStyle w:val="TableContents"/>
            </w:pPr>
            <w:r>
              <w:t>Standard Operating Procedure — a documented set of step-by-step instructions compiled to help workers carry out complex routine operations consistently and safely.</w:t>
            </w:r>
          </w:p>
        </w:tc>
      </w:tr>
      <w:tr>
        <w:tc>
          <w:tcPr/>
          <w:p>
            <w:pPr>
              <w:pStyle w:val="TableContents"/>
            </w:pPr>
            <w:r>
              <w:t>RT</w:t>
            </w:r>
          </w:p>
        </w:tc>
        <w:tc>
          <w:tcPr/>
          <w:p>
            <w:pPr>
              <w:pStyle w:val="TableContents"/>
            </w:pPr>
            <w:r>
              <w:t>Rio Tinto — the project owner organisation whose standards, procedures and risk management frameworks govern all activities on Rio Tinto owner-led projects.</w:t>
            </w:r>
          </w:p>
        </w:tc>
      </w:tr>
      <w:tr>
        <w:tc>
          <w:tcPr/>
          <w:p>
            <w:pPr>
              <w:pStyle w:val="TableContents"/>
            </w:pPr>
            <w:r>
              <w:t>HSEMS</w:t>
            </w:r>
          </w:p>
        </w:tc>
        <w:tc>
          <w:tcPr/>
          <w:p>
            <w:pPr>
              <w:pStyle w:val="TableContents"/>
            </w:pPr>
            <w:r>
              <w:t>Health, Safety and Environment Management System — the structured set of plans, procedures, processes, standards and records used to systematically manage HSE risks and performance across a project or operation.</w:t>
            </w:r>
          </w:p>
        </w:tc>
      </w:tr>
      <w:tr>
        <w:tc>
          <w:tcPr/>
          <w:p>
            <w:pPr>
              <w:pStyle w:val="TableContents"/>
            </w:pPr>
            <w:r>
              <w:t>RTPR</w:t>
            </w:r>
          </w:p>
        </w:tc>
        <w:tc>
          <w:tcPr/>
          <w:p>
            <w:pPr>
              <w:pStyle w:val="TableContents"/>
            </w:pPr>
            <w:r>
              <w:t>Rio Tinto Projects — the Rio Tinto business unit responsible for the delivery of owner-led capital projects, under whose document numbering system this procedure is issued.</w:t>
            </w:r>
          </w:p>
        </w:tc>
      </w:tr>
      <w:tr>
        <w:tc>
          <w:tcPr/>
          <w:p>
            <w:pPr>
              <w:pStyle w:val="TableContents"/>
            </w:pPr>
            <w:r>
              <w:t>PRO</w:t>
            </w:r>
          </w:p>
        </w:tc>
        <w:tc>
          <w:tcPr/>
          <w:p>
            <w:pPr>
              <w:pStyle w:val="TableContents"/>
            </w:pPr>
            <w:r>
              <w:t>Procedure — a document type classification within the RTPR HSEMS document hierarchy that provides detailed mandatory instructions for performing a specific activity or process.</w:t>
            </w:r>
          </w:p>
        </w:tc>
      </w:tr>
      <w:tr>
        <w:tc>
          <w:tcPr/>
          <w:p>
            <w:pPr>
              <w:pStyle w:val="TableContents"/>
            </w:pPr>
            <w:r>
              <w:t>REG</w:t>
            </w:r>
          </w:p>
        </w:tc>
        <w:tc>
          <w:tcPr/>
          <w:p>
            <w:pPr>
              <w:pStyle w:val="TableContents"/>
            </w:pPr>
            <w:r>
              <w:t>Register — a document type classification within the RTPR HSEMS document hierarchy used to record and track items such as training competencies, inspections, permits or equipment certifications.</w:t>
            </w:r>
          </w:p>
        </w:tc>
      </w:tr>
      <w:tr>
        <w:tc>
          <w:tcPr/>
          <w:p>
            <w:pPr>
              <w:pStyle w:val="TableContents"/>
            </w:pPr>
            <w:r>
              <w:t>ITP</w:t>
            </w:r>
          </w:p>
        </w:tc>
        <w:tc>
          <w:tcPr/>
          <w:p>
            <w:pPr>
              <w:pStyle w:val="TableContents"/>
            </w:pPr>
            <w:r>
              <w:t>Inspection and Test Plan — a quality and assurance document that details the specific inspection points, test requirements, acceptance criteria and responsible parties for verifying work activities meet the required standards.</w:t>
            </w:r>
          </w:p>
        </w:tc>
      </w:tr>
      <w:tr>
        <w:tc>
          <w:tcPr/>
          <w:p>
            <w:pPr>
              <w:pStyle w:val="TableContents"/>
            </w:pPr>
            <w:r>
              <w:t>NDE</w:t>
            </w:r>
          </w:p>
        </w:tc>
        <w:tc>
          <w:tcPr/>
          <w:p>
            <w:pPr>
              <w:pStyle w:val="TableContents"/>
            </w:pPr>
            <w:r>
              <w:t>Non-Destructive Examination — inspection techniques used to evaluate the condition or integrity of scaffold components or structures without causing damage, typically used to identify cracks, corrosion or other defects.</w:t>
            </w:r>
          </w:p>
        </w:tc>
      </w:tr>
      <w:tr>
        <w:tc>
          <w:tcPr/>
          <w:p>
            <w:pPr>
              <w:pStyle w:val="TableContents"/>
            </w:pPr>
            <w:r>
              <w:t>UV</w:t>
            </w:r>
          </w:p>
        </w:tc>
        <w:tc>
          <w:tcPr/>
          <w:p>
            <w:pPr>
              <w:pStyle w:val="TableContents"/>
            </w:pPr>
            <w:r>
              <w:t>Ultraviolet — electromagnetic radiation that may degrade certain scaffold materials, such as plastic ties, netting or shrink-wrap sheeting, over time and must be considered in scaffold material selection.</w:t>
            </w:r>
          </w:p>
        </w:tc>
      </w:tr>
      <w:tr>
        <w:tc>
          <w:tcPr/>
          <w:p>
            <w:pPr>
              <w:pStyle w:val="TableContents"/>
            </w:pPr>
            <w:r>
              <w:t>AS</w:t>
            </w:r>
          </w:p>
        </w:tc>
        <w:tc>
          <w:tcPr/>
          <w:p>
            <w:pPr>
              <w:pStyle w:val="TableContents"/>
            </w:pPr>
            <w:r>
              <w:t>Australian Standard — a nationally recognised technical standard published by Standards Australia that sets minimum requirements for materials, design, construction or safe practices relevant to scaffolding and associated activities.</w:t>
            </w:r>
          </w:p>
        </w:tc>
      </w:tr>
      <w:tr>
        <w:tc>
          <w:tcPr/>
          <w:p>
            <w:pPr>
              <w:pStyle w:val="TableContents"/>
            </w:pPr>
            <w:r>
              <w:t>WHS</w:t>
            </w:r>
          </w:p>
        </w:tc>
        <w:tc>
          <w:tcPr/>
          <w:p>
            <w:pPr>
              <w:pStyle w:val="TableContents"/>
            </w:pPr>
            <w:r>
              <w:t>Work Health and Safety — the legislative and regulatory framework in Australia and relevant jurisdictions that imposes obligations on persons conducting a business or undertaking to ensure the health, safety and welfare of workers.</w:t>
            </w:r>
          </w:p>
        </w:tc>
      </w:tr>
      <w:tr>
        <w:tc>
          <w:tcPr/>
          <w:p>
            <w:pPr>
              <w:pStyle w:val="TableContents"/>
            </w:pPr>
            <w:r>
              <w:t>PCBU</w:t>
            </w:r>
          </w:p>
        </w:tc>
        <w:tc>
          <w:tcPr/>
          <w:p>
            <w:pPr>
              <w:pStyle w:val="TableContents"/>
            </w:pPr>
            <w:r>
              <w:t>Person Conducting a Business or Undertaking — a term defined under the Work Health and Safety Act that encompasses any person or organisation that conducts a business or undertaking, either alone or with others, whether for profit or not.</w:t>
            </w:r>
          </w:p>
        </w:tc>
      </w:tr>
      <w:tr>
        <w:tc>
          <w:tcPr/>
          <w:p>
            <w:pPr>
              <w:pStyle w:val="TableContents"/>
            </w:pPr>
            <w:r>
              <w:t>OHS</w:t>
            </w:r>
          </w:p>
        </w:tc>
        <w:tc>
          <w:tcPr/>
          <w:p>
            <w:pPr>
              <w:pStyle w:val="TableContents"/>
            </w:pPr>
            <w:r>
              <w:t>Occupational Health and Safety — the legislative and management framework, used interchangeably with WHS in some jurisdictions, concerned with the prevention of work-related injury, illness and disease.</w:t>
            </w:r>
          </w:p>
        </w:tc>
      </w:tr>
      <w:tr>
        <w:tc>
          <w:tcPr/>
          <w:p>
            <w:pPr>
              <w:pStyle w:val="TableContents"/>
            </w:pPr>
            <w:r>
              <w:t>CALD</w:t>
            </w:r>
          </w:p>
        </w:tc>
        <w:tc>
          <w:tcPr/>
          <w:p>
            <w:pPr>
              <w:pStyle w:val="TableContents"/>
            </w:pPr>
            <w:r>
              <w:t>Competent Appointed Level Designer — an engineer or designer with documented qualifications and experience sufficient to design, assess or verify scaffold systems that require engineered design solutions.</w:t>
            </w:r>
          </w:p>
        </w:tc>
      </w:tr>
      <w:tr>
        <w:tc>
          <w:tcPr/>
          <w:p>
            <w:pPr>
              <w:pStyle w:val="TableContents"/>
            </w:pPr>
            <w:r>
              <w:t>CPEng</w:t>
            </w:r>
          </w:p>
        </w:tc>
        <w:tc>
          <w:tcPr/>
          <w:p>
            <w:pPr>
              <w:pStyle w:val="TableContents"/>
            </w:pPr>
            <w:r>
              <w:t>Chartered Professional Engineer — an engineering qualification credential recognised in Australia and New Zealand that confirms an engineer has demonstrated competence to independently practise in their nominated area of engineering.</w:t>
            </w:r>
          </w:p>
        </w:tc>
      </w:tr>
      <w:tr>
        <w:tc>
          <w:tcPr/>
          <w:p>
            <w:pPr>
              <w:pStyle w:val="TableContents"/>
            </w:pPr>
            <w:r>
              <w:t>HSEQ</w:t>
            </w:r>
          </w:p>
        </w:tc>
        <w:tc>
          <w:tcPr/>
          <w:p>
            <w:pPr>
              <w:pStyle w:val="TableContents"/>
            </w:pPr>
            <w:r>
              <w:t>Health, Safety, Environment and Quality — a combined management discipline addressing the integrated controls for health, safety, environmental protection and quality assurance across project activities.</w:t>
            </w:r>
          </w:p>
        </w:tc>
      </w:tr>
      <w:tr>
        <w:tc>
          <w:tcPr/>
          <w:p>
            <w:pPr>
              <w:pStyle w:val="TableContents"/>
            </w:pPr>
            <w:r>
              <w:t>LOC</w:t>
            </w:r>
          </w:p>
        </w:tc>
        <w:tc>
          <w:tcPr/>
          <w:p>
            <w:pPr>
              <w:pStyle w:val="TableContents"/>
            </w:pPr>
            <w:r>
              <w:t>Loss of Control — a critical event category used in Rio Tinto risk management where a barrier fails and the hazard is released, potentially resulting in a significant or catastrophic consequence.</w:t>
            </w:r>
          </w:p>
        </w:tc>
      </w:tr>
      <w:tr>
        <w:tc>
          <w:tcPr/>
          <w:p>
            <w:pPr>
              <w:pStyle w:val="TableContents"/>
            </w:pPr>
            <w:r>
              <w:t>ALARP</w:t>
            </w:r>
          </w:p>
        </w:tc>
        <w:tc>
          <w:tcPr/>
          <w:p>
            <w:pPr>
              <w:pStyle w:val="TableContents"/>
            </w:pPr>
            <w:r>
              <w:t>As Low As Reasonably Practicable — a risk reduction principle requiring that residual risk be reduced to the lowest level that is reasonably achievable, having regard to the costs and difficulty of further reduction compared to the benefit gained.</w:t>
            </w:r>
          </w:p>
        </w:tc>
      </w:tr>
      <w:tr>
        <w:tc>
          <w:tcPr/>
          <w:p>
            <w:pPr>
              <w:pStyle w:val="TableContents"/>
            </w:pPr>
            <w:r>
              <w:t>ERP</w:t>
            </w:r>
          </w:p>
        </w:tc>
        <w:tc>
          <w:tcPr/>
          <w:p>
            <w:pPr>
              <w:pStyle w:val="TableContents"/>
            </w:pPr>
            <w:r>
              <w:t>Emergency Response Plan — a documented plan that defines the roles, responsibilities, resources and procedures to be followed in the event of an emergency, including scaffold collapse, entrapment or fall incidents.</w:t>
            </w:r>
          </w:p>
        </w:tc>
      </w:tr>
      <w:tr>
        <w:tc>
          <w:tcPr/>
          <w:p>
            <w:pPr>
              <w:pStyle w:val="TableContents"/>
            </w:pPr>
            <w:r>
              <w:t>MSDS</w:t>
            </w:r>
          </w:p>
        </w:tc>
        <w:tc>
          <w:tcPr/>
          <w:p>
            <w:pPr>
              <w:pStyle w:val="TableContents"/>
            </w:pPr>
            <w:r>
              <w:t>Material Safety Data Sheet — a document providing information on the properties, hazards, safe handling, storage and emergency procedures for a chemical or hazardous substance used in or near scaffold construction activities.</w:t>
            </w:r>
          </w:p>
        </w:tc>
      </w:tr>
      <w:tr>
        <w:tc>
          <w:tcPr/>
          <w:p>
            <w:pPr>
              <w:pStyle w:val="TableContents"/>
            </w:pPr>
            <w:r>
              <w:t>SDS</w:t>
            </w:r>
          </w:p>
        </w:tc>
        <w:tc>
          <w:tcPr/>
          <w:p>
            <w:pPr>
              <w:pStyle w:val="TableContents"/>
            </w:pPr>
            <w:r>
              <w:t>Safety Data Sheet — the current terminology replacing MSDS, providing comprehensive information on chemical substances to ensure safe use, storage and disposal in the workplace.</w:t>
            </w:r>
          </w:p>
        </w:tc>
      </w:tr>
      <w:tr>
        <w:tc>
          <w:tcPr/>
          <w:p>
            <w:pPr>
              <w:pStyle w:val="TableContents"/>
            </w:pPr>
            <w:r>
              <w:t>HARC</w:t>
            </w:r>
          </w:p>
        </w:tc>
        <w:tc>
          <w:tcPr/>
          <w:p>
            <w:pPr>
              <w:pStyle w:val="TableContents"/>
            </w:pPr>
            <w:r>
              <w:t>Hazard and Risk Control — the systematic process of identifying hazards, assessing associated risks and implementing appropriate controls to prevent harm to people, property or the environment.</w:t>
            </w:r>
          </w:p>
        </w:tc>
      </w:tr>
      <w:tr>
        <w:tc>
          <w:tcPr/>
          <w:p>
            <w:pPr>
              <w:pStyle w:val="TableContents"/>
            </w:pPr>
            <w:r>
              <w:t>TBT</w:t>
            </w:r>
          </w:p>
        </w:tc>
        <w:tc>
          <w:tcPr/>
          <w:p>
            <w:pPr>
              <w:pStyle w:val="TableContents"/>
            </w:pPr>
            <w:r>
              <w:t>Toolbox Talk — a short, focused safety briefing conducted at the worksite prior to commencing a task, used to communicate specific hazards, controls, roles and responsibilities relevant to the work being performed.</w:t>
            </w:r>
          </w:p>
        </w:tc>
      </w:tr>
      <w:tr>
        <w:tc>
          <w:tcPr/>
          <w:p>
            <w:pPr>
              <w:pStyle w:val="TableContents"/>
            </w:pPr>
            <w:r>
              <w:t>LOTO</w:t>
            </w:r>
          </w:p>
        </w:tc>
        <w:tc>
          <w:tcPr/>
          <w:p>
            <w:pPr>
              <w:pStyle w:val="TableContents"/>
            </w:pPr>
            <w:r>
              <w:t>Lockout Tagout — an energy isolation procedure that ensures hazardous energy sources are identified, isolated, locked and tagged before work commences, preventing accidental re-energisation during scaffold erection, use or dismantling.</w:t>
            </w:r>
          </w:p>
        </w:tc>
      </w:tr>
      <w:tr>
        <w:tc>
          <w:tcPr/>
          <w:p>
            <w:pPr>
              <w:pStyle w:val="TableContents"/>
            </w:pPr>
            <w:r>
              <w:t>SHE</w:t>
            </w:r>
          </w:p>
        </w:tc>
        <w:tc>
          <w:tcPr/>
          <w:p>
            <w:pPr>
              <w:pStyle w:val="TableContents"/>
            </w:pPr>
            <w:r>
              <w:t>Safety, Health and Environment — an alternative acronym for the integrated discipline managing workplace safety, occupational health and environmental protection obligations on Rio Tinto projects.</w:t>
            </w:r>
          </w:p>
        </w:tc>
      </w:tr>
      <w:tr>
        <w:tc>
          <w:tcPr/>
          <w:p>
            <w:pPr>
              <w:pStyle w:val="TableContents"/>
            </w:pPr>
            <w:r>
              <w:t>FPS</w:t>
            </w:r>
          </w:p>
        </w:tc>
        <w:tc>
          <w:tcPr/>
          <w:p>
            <w:pPr>
              <w:pStyle w:val="TableContents"/>
            </w:pPr>
            <w:r>
              <w:t>Fall Prevention System — a collective term for engineering and administrative controls, including guardrails, toe boards, safety nets, catch platforms and personal fall arrest systems, designed to prevent falls from scaffold structures.</w:t>
            </w:r>
          </w:p>
        </w:tc>
      </w:tr>
      <w:tr>
        <w:tc>
          <w:tcPr/>
          <w:p>
            <w:pPr>
              <w:pStyle w:val="TableContents"/>
            </w:pPr>
            <w:r>
              <w:t>PFAS</w:t>
            </w:r>
          </w:p>
        </w:tc>
        <w:tc>
          <w:tcPr/>
          <w:p>
            <w:pPr>
              <w:pStyle w:val="TableContents"/>
            </w:pPr>
            <w:r>
              <w:t>Personal Fall Arrest System — a system comprising a full-body harness, lanyard, energy absorber and anchorage point designed to arrest a fall and limit the forces applied to the body of a worker who has fallen from height.</w:t>
            </w:r>
          </w:p>
        </w:tc>
      </w:tr>
      <w:tr>
        <w:tc>
          <w:tcPr/>
          <w:p>
            <w:pPr>
              <w:pStyle w:val="TableContents"/>
            </w:pPr>
            <w:r>
              <w:t>SRL</w:t>
            </w:r>
          </w:p>
        </w:tc>
        <w:tc>
          <w:tcPr/>
          <w:p>
            <w:pPr>
              <w:pStyle w:val="TableContents"/>
            </w:pPr>
            <w:r>
              <w:t>Self-Retracting Lanyard — a fall arrest device containing a drum-wound cable or webbing that extends and retracts freely during normal movement and locks instantly when a fall is detected, limiting fall distance.</w:t>
            </w:r>
          </w:p>
        </w:tc>
      </w:tr>
      <w:tr>
        <w:tc>
          <w:tcPr/>
          <w:p>
            <w:pPr>
              <w:pStyle w:val="TableContents"/>
            </w:pPr>
            <w:r>
              <w:t>CBT</w:t>
            </w:r>
          </w:p>
        </w:tc>
        <w:tc>
          <w:tcPr/>
          <w:p>
            <w:pPr>
              <w:pStyle w:val="TableContents"/>
            </w:pPr>
            <w:r>
              <w:t>Competency-Based Training — a training approach that focuses on the demonstration of specific, measurable skills and knowledge required to perform a defined work task to the required standard, used for scaffold erector and inspector qualification.</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16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w:t>
            </w:r>
          </w:p>
        </w:tc>
        <w:tc>
          <w:tcPr/>
          <w:p>
            <w:pPr>
              <w:pStyle w:val="TableContents"/>
            </w:pPr>
            <w:r>
              <w:t>RTPR-HSE-PRO-0002</w:t>
            </w:r>
          </w:p>
        </w:tc>
        <w:tc>
          <w:tcPr/>
          <w:p>
            <w:pPr>
              <w:pStyle w:val="TableContents"/>
            </w:pPr>
            <w:r>
              <w:t>Internal procedure</w:t>
            </w:r>
          </w:p>
        </w:tc>
      </w:tr>
      <w:tr>
        <w:tc>
          <w:tcPr/>
          <w:p>
            <w:pPr>
              <w:pStyle w:val="TableContents"/>
            </w:pPr>
            <w:r>
              <w:t>Training</w:t>
            </w:r>
          </w:p>
        </w:tc>
        <w:tc>
          <w:tcPr/>
          <w:p>
            <w:pPr>
              <w:pStyle w:val="TableContents"/>
            </w:pPr>
            <w:r>
              <w:t>RTPR-HSE-PRO-0004</w:t>
            </w:r>
          </w:p>
        </w:tc>
        <w:tc>
          <w:tcPr/>
          <w:p>
            <w:pPr>
              <w:pStyle w:val="TableContents"/>
            </w:pPr>
            <w:r>
              <w:t>Internal procedure</w:t>
            </w:r>
          </w:p>
        </w:tc>
      </w:tr>
      <w:tr>
        <w:tc>
          <w:tcPr/>
          <w:p>
            <w:pPr>
              <w:pStyle w:val="TableContents"/>
            </w:pPr>
            <w:r>
              <w:t>Scaffold Competency Register</w:t>
            </w:r>
          </w:p>
        </w:tc>
        <w:tc>
          <w:tcPr/>
          <w:p>
            <w:pPr>
              <w:pStyle w:val="TableContents"/>
            </w:pPr>
            <w:r>
              <w:t>RTPR-HSE-REG-0003</w:t>
            </w:r>
          </w:p>
        </w:tc>
        <w:tc>
          <w:tcPr/>
          <w:p>
            <w:pPr>
              <w:pStyle w:val="TableContents"/>
            </w:pPr>
            <w:r>
              <w:t>Internal procedure</w:t>
            </w:r>
          </w:p>
        </w:tc>
      </w:tr>
      <w:tr>
        <w:tc>
          <w:tcPr/>
          <w:p>
            <w:pPr>
              <w:pStyle w:val="TableContents"/>
            </w:pPr>
            <w:r>
              <w:t>Working at Height</w:t>
            </w:r>
          </w:p>
        </w:tc>
        <w:tc>
          <w:tcPr/>
          <w:p>
            <w:pPr>
              <w:pStyle w:val="TableContents"/>
            </w:pPr>
            <w:r>
              <w:t>RTPR-HSE-PRO-0008</w:t>
            </w:r>
          </w:p>
        </w:tc>
        <w:tc>
          <w:tcPr/>
          <w:p>
            <w:pPr>
              <w:pStyle w:val="TableContents"/>
            </w:pPr>
            <w:r>
              <w:t>Internal procedure</w:t>
            </w:r>
          </w:p>
        </w:tc>
      </w:tr>
      <w:tr>
        <w:tc>
          <w:tcPr/>
          <w:p>
            <w:pPr>
              <w:pStyle w:val="TableContents"/>
            </w:pPr>
            <w:r>
              <w:t>Permit to Work</w:t>
            </w:r>
          </w:p>
        </w:tc>
        <w:tc>
          <w:tcPr/>
          <w:p>
            <w:pPr>
              <w:pStyle w:val="TableContents"/>
            </w:pPr>
            <w:r>
              <w:t>RTPR-HSE-PRO-0021</w:t>
            </w:r>
          </w:p>
        </w:tc>
        <w:tc>
          <w:tcPr/>
          <w:p>
            <w:pPr>
              <w:pStyle w:val="TableContents"/>
            </w:pPr>
            <w:r>
              <w:t>Internal procedure</w:t>
            </w:r>
          </w:p>
        </w:tc>
      </w:tr>
      <w:tr>
        <w:tc>
          <w:tcPr/>
          <w:p>
            <w:pPr>
              <w:pStyle w:val="TableContents"/>
            </w:pPr>
            <w:r>
              <w:t>Electrical Safety</w:t>
            </w:r>
          </w:p>
        </w:tc>
        <w:tc>
          <w:tcPr/>
          <w:p>
            <w:pPr>
              <w:pStyle w:val="TableContents"/>
            </w:pPr>
            <w:r>
              <w:t>RTPR-HSE-PRO-0025</w:t>
            </w:r>
          </w:p>
        </w:tc>
        <w:tc>
          <w:tcPr/>
          <w:p>
            <w:pPr>
              <w:pStyle w:val="TableContents"/>
            </w:pPr>
            <w:r>
              <w:t>Internal procedure</w:t>
            </w:r>
          </w:p>
        </w:tc>
      </w:tr>
      <w:tr>
        <w:tc>
          <w:tcPr/>
          <w:p>
            <w:pPr>
              <w:pStyle w:val="TableContents"/>
            </w:pPr>
            <w:r>
              <w:t>Over Water</w:t>
            </w:r>
          </w:p>
        </w:tc>
        <w:tc>
          <w:tcPr/>
          <w:p>
            <w:pPr>
              <w:pStyle w:val="TableContents"/>
            </w:pPr>
            <w:r>
              <w:t>RTPR-HSE-PRO-0030</w:t>
            </w:r>
          </w:p>
        </w:tc>
        <w:tc>
          <w:tcPr/>
          <w:p>
            <w:pPr>
              <w:pStyle w:val="TableContents"/>
            </w:pPr>
            <w:r>
              <w:t>Internal procedure</w:t>
            </w:r>
          </w:p>
        </w:tc>
      </w:tr>
      <w:tr>
        <w:tc>
          <w:tcPr/>
          <w:p>
            <w:pPr>
              <w:pStyle w:val="TableContents"/>
            </w:pPr>
            <w:r>
              <w:t>Barricading</w:t>
            </w:r>
          </w:p>
        </w:tc>
        <w:tc>
          <w:tcPr/>
          <w:p>
            <w:pPr>
              <w:pStyle w:val="TableContents"/>
            </w:pPr>
            <w:r>
              <w:t>RTPR-HSE-PRO-0028</w:t>
            </w:r>
          </w:p>
        </w:tc>
        <w:tc>
          <w:tcPr/>
          <w:p>
            <w:pPr>
              <w:pStyle w:val="TableContents"/>
            </w:pPr>
            <w:r>
              <w:t>Internal procedure</w:t>
            </w:r>
          </w:p>
        </w:tc>
      </w:tr>
      <w:tr>
        <w:tc>
          <w:tcPr/>
          <w:p>
            <w:pPr>
              <w:pStyle w:val="TableContents"/>
            </w:pPr>
            <w:r>
              <w:t>Incident Management</w:t>
            </w:r>
          </w:p>
        </w:tc>
        <w:tc>
          <w:tcPr/>
          <w:p>
            <w:pPr>
              <w:pStyle w:val="TableContents"/>
            </w:pPr>
            <w:r>
              <w:t>RTPR-HSE-PRO-0009</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Scaffolding — General requirements</w:t>
            </w:r>
          </w:p>
        </w:tc>
        <w:tc>
          <w:tcPr/>
          <w:p>
            <w:pPr>
              <w:pStyle w:val="TableContents"/>
            </w:pPr>
            <w:r>
              <w:t>AS/NZS 1576.1</w:t>
            </w:r>
          </w:p>
        </w:tc>
        <w:tc>
          <w:tcPr/>
          <w:p>
            <w:pPr>
              <w:pStyle w:val="TableContents"/>
            </w:pPr>
            <w:r>
              <w:t>External framework</w:t>
            </w:r>
          </w:p>
        </w:tc>
      </w:tr>
      <w:tr>
        <w:tc>
          <w:tcPr/>
          <w:p>
            <w:pPr>
              <w:pStyle w:val="TableContents"/>
            </w:pPr>
            <w:r>
              <w:t>Scaffolding — Couplers and accessories</w:t>
            </w:r>
          </w:p>
        </w:tc>
        <w:tc>
          <w:tcPr/>
          <w:p>
            <w:pPr>
              <w:pStyle w:val="TableContents"/>
            </w:pPr>
            <w:r>
              <w:t>AS/NZS 1576.2</w:t>
            </w:r>
          </w:p>
        </w:tc>
        <w:tc>
          <w:tcPr/>
          <w:p>
            <w:pPr>
              <w:pStyle w:val="TableContents"/>
            </w:pPr>
            <w:r>
              <w:t>External framework</w:t>
            </w:r>
          </w:p>
        </w:tc>
      </w:tr>
      <w:tr>
        <w:tc>
          <w:tcPr/>
          <w:p>
            <w:pPr>
              <w:pStyle w:val="TableContents"/>
            </w:pPr>
            <w:r>
              <w:t>Scaffolding — Prefabricated and tube-and-coupler scaffolding</w:t>
            </w:r>
          </w:p>
        </w:tc>
        <w:tc>
          <w:tcPr/>
          <w:p>
            <w:pPr>
              <w:pStyle w:val="TableContents"/>
            </w:pPr>
            <w:r>
              <w:t>AS/NZS 1576.3</w:t>
            </w:r>
          </w:p>
        </w:tc>
        <w:tc>
          <w:tcPr/>
          <w:p>
            <w:pPr>
              <w:pStyle w:val="TableContents"/>
            </w:pPr>
            <w:r>
              <w:t>External framework</w:t>
            </w:r>
          </w:p>
        </w:tc>
      </w:tr>
      <w:tr>
        <w:tc>
          <w:tcPr/>
          <w:p>
            <w:pPr>
              <w:pStyle w:val="TableContents"/>
            </w:pPr>
            <w:r>
              <w:t>Scaffolding — Suspended scaffolding</w:t>
            </w:r>
          </w:p>
        </w:tc>
        <w:tc>
          <w:tcPr/>
          <w:p>
            <w:pPr>
              <w:pStyle w:val="TableContents"/>
            </w:pPr>
            <w:r>
              <w:t>AS/NZS 1576.4</w:t>
            </w:r>
          </w:p>
        </w:tc>
        <w:tc>
          <w:tcPr/>
          <w:p>
            <w:pPr>
              <w:pStyle w:val="TableContents"/>
            </w:pPr>
            <w:r>
              <w:t>External framework</w:t>
            </w:r>
          </w:p>
        </w:tc>
      </w:tr>
      <w:tr>
        <w:tc>
          <w:tcPr/>
          <w:p>
            <w:pPr>
              <w:pStyle w:val="TableContents"/>
            </w:pPr>
            <w:r>
              <w:t>Scaffolding — Prefabricated splitheads and trestles</w:t>
            </w:r>
          </w:p>
        </w:tc>
        <w:tc>
          <w:tcPr/>
          <w:p>
            <w:pPr>
              <w:pStyle w:val="TableContents"/>
            </w:pPr>
            <w:r>
              <w:t>AS/NZS 1576.5</w:t>
            </w:r>
          </w:p>
        </w:tc>
        <w:tc>
          <w:tcPr/>
          <w:p>
            <w:pPr>
              <w:pStyle w:val="TableContents"/>
            </w:pPr>
            <w:r>
              <w:t>External framework</w:t>
            </w:r>
          </w:p>
        </w:tc>
      </w:tr>
      <w:tr>
        <w:tc>
          <w:tcPr/>
          <w:p>
            <w:pPr>
              <w:pStyle w:val="TableContents"/>
            </w:pPr>
            <w:r>
              <w:t>Scaffolding — Metal tube-and-coupler scaffolding — Alternative design procedures</w:t>
            </w:r>
          </w:p>
        </w:tc>
        <w:tc>
          <w:tcPr/>
          <w:p>
            <w:pPr>
              <w:pStyle w:val="TableContents"/>
            </w:pPr>
            <w:r>
              <w:t>AS/NZS 1576.6</w:t>
            </w:r>
          </w:p>
        </w:tc>
        <w:tc>
          <w:tcPr/>
          <w:p>
            <w:pPr>
              <w:pStyle w:val="TableContents"/>
            </w:pPr>
            <w:r>
              <w:t>External framework</w:t>
            </w:r>
          </w:p>
        </w:tc>
      </w:tr>
      <w:tr>
        <w:tc>
          <w:tcPr/>
          <w:p>
            <w:pPr>
              <w:pStyle w:val="TableContents"/>
            </w:pPr>
            <w:r>
              <w:t>Aluminium planks for scaffolding</w:t>
            </w:r>
          </w:p>
        </w:tc>
        <w:tc>
          <w:tcPr/>
          <w:p>
            <w:pPr>
              <w:pStyle w:val="TableContents"/>
            </w:pPr>
            <w:r>
              <w:t>AS/NZS 1577</w:t>
            </w:r>
          </w:p>
        </w:tc>
        <w:tc>
          <w:tcPr/>
          <w:p>
            <w:pPr>
              <w:pStyle w:val="TableContents"/>
            </w:pPr>
            <w:r>
              <w:t>External framework</w:t>
            </w:r>
          </w:p>
        </w:tc>
      </w:tr>
      <w:tr>
        <w:tc>
          <w:tcPr/>
          <w:p>
            <w:pPr>
              <w:pStyle w:val="TableContents"/>
            </w:pPr>
            <w:r>
              <w:t>Industrial fall-arrest systems and devices — Harnesses and ancillary equipment</w:t>
            </w:r>
          </w:p>
        </w:tc>
        <w:tc>
          <w:tcPr/>
          <w:p>
            <w:pPr>
              <w:pStyle w:val="TableContents"/>
            </w:pPr>
            <w:r>
              <w:t>AS/NZS 1891.1</w:t>
            </w:r>
          </w:p>
        </w:tc>
        <w:tc>
          <w:tcPr/>
          <w:p>
            <w:pPr>
              <w:pStyle w:val="TableContents"/>
            </w:pPr>
            <w:r>
              <w:t>External framework</w:t>
            </w:r>
          </w:p>
        </w:tc>
      </w:tr>
      <w:tr>
        <w:tc>
          <w:tcPr/>
          <w:p>
            <w:pPr>
              <w:pStyle w:val="TableContents"/>
            </w:pPr>
            <w:r>
              <w:t>Industrial fall-arrest systems and devices — Horizontal lifeline and rail systems</w:t>
            </w:r>
          </w:p>
        </w:tc>
        <w:tc>
          <w:tcPr/>
          <w:p>
            <w:pPr>
              <w:pStyle w:val="TableContents"/>
            </w:pPr>
            <w:r>
              <w:t>AS/NZS 1891.2</w:t>
            </w:r>
          </w:p>
        </w:tc>
        <w:tc>
          <w:tcPr/>
          <w:p>
            <w:pPr>
              <w:pStyle w:val="TableContents"/>
            </w:pPr>
            <w:r>
              <w:t>External framework</w:t>
            </w:r>
          </w:p>
        </w:tc>
      </w:tr>
      <w:tr>
        <w:tc>
          <w:tcPr/>
          <w:p>
            <w:pPr>
              <w:pStyle w:val="TableContents"/>
            </w:pPr>
            <w:r>
              <w:t>Industrial fall-arrest systems and devices — Fall-arrest devices</w:t>
            </w:r>
          </w:p>
        </w:tc>
        <w:tc>
          <w:tcPr/>
          <w:p>
            <w:pPr>
              <w:pStyle w:val="TableContents"/>
            </w:pPr>
            <w:r>
              <w:t>AS/NZS 1891.3</w:t>
            </w:r>
          </w:p>
        </w:tc>
        <w:tc>
          <w:tcPr/>
          <w:p>
            <w:pPr>
              <w:pStyle w:val="TableContents"/>
            </w:pPr>
            <w:r>
              <w:t>External framework</w:t>
            </w:r>
          </w:p>
        </w:tc>
      </w:tr>
      <w:tr>
        <w:tc>
          <w:tcPr/>
          <w:p>
            <w:pPr>
              <w:pStyle w:val="TableContents"/>
            </w:pPr>
            <w:r>
              <w:t>Industrial fall-arrest systems and devices — Selection, use and maintenance</w:t>
            </w:r>
          </w:p>
        </w:tc>
        <w:tc>
          <w:tcPr/>
          <w:p>
            <w:pPr>
              <w:pStyle w:val="TableContents"/>
            </w:pPr>
            <w:r>
              <w:t>AS/NZS 1891.4</w:t>
            </w:r>
          </w:p>
        </w:tc>
        <w:tc>
          <w:tcPr/>
          <w:p>
            <w:pPr>
              <w:pStyle w:val="TableContents"/>
            </w:pPr>
            <w:r>
              <w:t>External framework</w:t>
            </w:r>
          </w:p>
        </w:tc>
      </w:tr>
      <w:tr>
        <w:tc>
          <w:tcPr/>
          <w:p>
            <w:pPr>
              <w:pStyle w:val="TableContents"/>
            </w:pPr>
            <w:r>
              <w:t>Work Health and Safety Act 2011</w:t>
            </w:r>
          </w:p>
        </w:tc>
        <w:tc>
          <w:tcPr/>
          <w:p>
            <w:pPr>
              <w:pStyle w:val="TableContents"/>
            </w:pPr>
            <w:r>
              <w:t>WHS Act 2011 (Cth and applicable State/Territory)</w:t>
            </w:r>
          </w:p>
        </w:tc>
        <w:tc>
          <w:tcPr/>
          <w:p>
            <w:pPr>
              <w:pStyle w:val="TableContents"/>
            </w:pPr>
            <w:r>
              <w:t>External framework</w:t>
            </w:r>
          </w:p>
        </w:tc>
      </w:tr>
      <w:tr>
        <w:tc>
          <w:tcPr/>
          <w:p>
            <w:pPr>
              <w:pStyle w:val="TableContents"/>
            </w:pPr>
            <w:r>
              <w:t>Work Health and Safety Regulations 2011</w:t>
            </w:r>
          </w:p>
        </w:tc>
        <w:tc>
          <w:tcPr/>
          <w:p>
            <w:pPr>
              <w:pStyle w:val="TableContents"/>
            </w:pPr>
            <w:r>
              <w:t>WHS Regulations 2011 (Cth and applicable State/Territory)</w:t>
            </w:r>
          </w:p>
        </w:tc>
        <w:tc>
          <w:tcPr/>
          <w:p>
            <w:pPr>
              <w:pStyle w:val="TableContents"/>
            </w:pPr>
            <w:r>
              <w:t>External framework</w:t>
            </w:r>
          </w:p>
        </w:tc>
      </w:tr>
      <w:tr>
        <w:tc>
          <w:tcPr/>
          <w:p>
            <w:pPr>
              <w:pStyle w:val="TableContents"/>
            </w:pPr>
            <w:r>
              <w:t>Code of Practice — Construction Work</w:t>
            </w:r>
          </w:p>
        </w:tc>
        <w:tc>
          <w:tcPr/>
          <w:p>
            <w:pPr>
              <w:pStyle w:val="TableContents"/>
            </w:pPr>
            <w:r>
              <w:t>Safe Work Australia — Construction Work COP</w:t>
            </w:r>
          </w:p>
        </w:tc>
        <w:tc>
          <w:tcPr/>
          <w:p>
            <w:pPr>
              <w:pStyle w:val="TableContents"/>
            </w:pPr>
            <w:r>
              <w:t>External framework</w:t>
            </w:r>
          </w:p>
        </w:tc>
      </w:tr>
      <w:tr>
        <w:tc>
          <w:tcPr/>
          <w:p>
            <w:pPr>
              <w:pStyle w:val="TableContents"/>
            </w:pPr>
            <w:r>
              <w:t>Code of Practice — Managing the Risk of Falls at Workplaces</w:t>
            </w:r>
          </w:p>
        </w:tc>
        <w:tc>
          <w:tcPr/>
          <w:p>
            <w:pPr>
              <w:pStyle w:val="TableContents"/>
            </w:pPr>
            <w:r>
              <w:t>Safe Work Australia — Falls COP</w:t>
            </w:r>
          </w:p>
        </w:tc>
        <w:tc>
          <w:tcPr/>
          <w:p>
            <w:pPr>
              <w:pStyle w:val="TableContents"/>
            </w:pPr>
            <w:r>
              <w:t>External framework</w:t>
            </w:r>
          </w:p>
        </w:tc>
      </w:tr>
      <w:tr>
        <w:tc>
          <w:tcPr/>
          <w:p>
            <w:pPr>
              <w:pStyle w:val="TableContents"/>
            </w:pPr>
            <w:r>
              <w:t>Code of Practice — Scaffolds and Scaffolding Work</w:t>
            </w:r>
          </w:p>
        </w:tc>
        <w:tc>
          <w:tcPr/>
          <w:p>
            <w:pPr>
              <w:pStyle w:val="TableContents"/>
            </w:pPr>
            <w:r>
              <w:t>Safe Work Australia — Scaffolding COP</w:t>
            </w:r>
          </w:p>
        </w:tc>
        <w:tc>
          <w:tcPr/>
          <w:p>
            <w:pPr>
              <w:pStyle w:val="TableContents"/>
            </w:pPr>
            <w:r>
              <w:t>External framework</w:t>
            </w:r>
          </w:p>
        </w:tc>
      </w:tr>
      <w:tr>
        <w:tc>
          <w:tcPr/>
          <w:p>
            <w:pPr>
              <w:pStyle w:val="TableContents"/>
            </w:pPr>
            <w:r>
              <w:t>Personal protective equipment — Selection, use and maintenance</w:t>
            </w:r>
          </w:p>
        </w:tc>
        <w:tc>
          <w:tcPr/>
          <w:p>
            <w:pPr>
              <w:pStyle w:val="TableContents"/>
            </w:pPr>
            <w:r>
              <w:t>AS/NZS 4602</w:t>
            </w:r>
          </w:p>
        </w:tc>
        <w:tc>
          <w:tcPr/>
          <w:p>
            <w:pPr>
              <w:pStyle w:val="TableContents"/>
            </w:pPr>
            <w:r>
              <w:t>External framework</w:t>
            </w:r>
          </w:p>
        </w:tc>
      </w:tr>
      <w:tr>
        <w:tc>
          <w:tcPr/>
          <w:p>
            <w:pPr>
              <w:pStyle w:val="TableContents"/>
            </w:pPr>
            <w:r>
              <w:t>Personal flotation devices — General requirements</w:t>
            </w:r>
          </w:p>
        </w:tc>
        <w:tc>
          <w:tcPr/>
          <w:p>
            <w:pPr>
              <w:pStyle w:val="TableContents"/>
            </w:pPr>
            <w:r>
              <w:t>AS 4758.1</w:t>
            </w:r>
          </w:p>
        </w:tc>
        <w:tc>
          <w:tcPr/>
          <w:p>
            <w:pPr>
              <w:pStyle w:val="TableContents"/>
            </w:pPr>
            <w:r>
              <w:t>External framework</w:t>
            </w:r>
          </w:p>
        </w:tc>
      </w:tr>
      <w:tr>
        <w:tc>
          <w:tcPr/>
          <w:p>
            <w:pPr>
              <w:pStyle w:val="TableContents"/>
            </w:pPr>
            <w:r>
              <w:t>Safety nets for construction work</w:t>
            </w:r>
          </w:p>
        </w:tc>
        <w:tc>
          <w:tcPr/>
          <w:p>
            <w:pPr>
              <w:pStyle w:val="TableContents"/>
            </w:pPr>
            <w:r>
              <w:t>AS 4994.1</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17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18  Source Requirements Traceability (DELETE BEFORE ISSUE)</w:t>
      </w:r>
    </w:p>
    <w:p>
      <w:pPr>
        <w:pStyle w:val="Heading2Numbered"/>
      </w:pPr>
      <w:r>
        <w:t>18.1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§55.4</w:t>
            </w:r>
          </w:p>
        </w:tc>
        <w:tc>
          <w:tcPr/>
          <w:p>
            <w:pPr>
              <w:pStyle w:val="TableContents"/>
            </w:pPr>
            <w:r>
              <w:t>Requires development and implementation of a Scaffold Safe System of Work covering the full scaffold lifecycle, incorporating local legislative requirements and relevant standards.</w:t>
            </w:r>
          </w:p>
        </w:tc>
        <w:tc>
          <w:tcPr/>
          <w:p>
            <w:pPr>
              <w:pStyle w:val="TableContents"/>
            </w:pPr>
            <w:r>
              <w:t>Full</w:t>
            </w:r>
          </w:p>
        </w:tc>
      </w:tr>
      <w:tr>
        <w:tc>
          <w:tcPr/>
          <w:p>
            <w:pPr>
              <w:pStyle w:val="TableContents"/>
            </w:pPr>
            <w:r>
              <w:rPr>
                <w:b/>
                <w:bCs/>
                <w:color w:val="0059D1"/>
              </w:rPr>
              <w:t>[INSERT: section]</w:t>
            </w:r>
          </w:p>
        </w:tc>
        <w:tc>
          <w:tcPr/>
          <w:p>
            <w:pPr>
              <w:pStyle w:val="TableContents"/>
            </w:pPr>
            <w:r>
              <w:t>RT Standard RT C4 – Fall from Height Standard</w:t>
            </w:r>
          </w:p>
        </w:tc>
        <w:tc>
          <w:tcPr/>
          <w:p>
            <w:pPr>
              <w:pStyle w:val="TableContents"/>
            </w:pPr>
            <w:r>
              <w:t>Requires scaffolding to be erected by a competent scaffolder within their licence class and that fall protection systems are used during erection and dismantling where workers are exposed to fall distances of two metres or more.</w:t>
            </w:r>
          </w:p>
        </w:tc>
        <w:tc>
          <w:tcPr/>
          <w:p>
            <w:pPr>
              <w:pStyle w:val="TableContents"/>
            </w:pPr>
            <w:r>
              <w:t>Full</w:t>
            </w:r>
          </w:p>
        </w:tc>
      </w:tr>
      <w:tr>
        <w:tc>
          <w:tcPr/>
          <w:p>
            <w:pPr>
              <w:pStyle w:val="TableContents"/>
            </w:pPr>
            <w:r>
              <w:rPr>
                <w:b/>
                <w:bCs/>
                <w:color w:val="0059D1"/>
              </w:rPr>
              <w:t>[INSERT: section]</w:t>
            </w:r>
          </w:p>
        </w:tc>
        <w:tc>
          <w:tcPr/>
          <w:p>
            <w:pPr>
              <w:pStyle w:val="TableContents"/>
            </w:pPr>
            <w:r>
              <w:t>IFC PS1 IFC EHS General Guidelines §2.1</w:t>
            </w:r>
          </w:p>
        </w:tc>
        <w:tc>
          <w:tcPr/>
          <w:p>
            <w:pPr>
              <w:pStyle w:val="TableContents"/>
            </w:pPr>
            <w:r>
              <w:t>Requires the SSoW to address specific scaffold risks, designs to account for maximum anticipated loads including wind loading, erection sequencing to be reviewed for SIMOPS conflicts, and inspection findings to be documented with defective scaffolds taken out of service.</w:t>
            </w:r>
          </w:p>
        </w:tc>
        <w:tc>
          <w:tcPr/>
          <w:p>
            <w:pPr>
              <w:pStyle w:val="TableContents"/>
            </w:pPr>
            <w:r>
              <w:t>Full</w:t>
            </w:r>
          </w:p>
        </w:tc>
      </w:tr>
      <w:tr>
        <w:tc>
          <w:tcPr/>
          <w:p>
            <w:pPr>
              <w:pStyle w:val="TableContents"/>
            </w:pPr>
            <w:r>
              <w:rPr>
                <w:b/>
                <w:bCs/>
                <w:color w:val="0059D1"/>
              </w:rPr>
              <w:t>[INSERT: section]</w:t>
            </w:r>
          </w:p>
        </w:tc>
        <w:tc>
          <w:tcPr/>
          <w:p>
            <w:pPr>
              <w:pStyle w:val="TableContents"/>
            </w:pPr>
            <w:r>
              <w:t>Appendix C C-2 §55.7</w:t>
            </w:r>
          </w:p>
        </w:tc>
        <w:tc>
          <w:tcPr/>
          <w:p>
            <w:pPr>
              <w:pStyle w:val="TableContents"/>
            </w:pPr>
            <w:r>
              <w:t>Requires that personnel involved in planning, selection, and design have the necessary experience, training, and competency, and that scaffolding is selected and designed by a competent scaffolder within their competency class.</w:t>
            </w:r>
          </w:p>
        </w:tc>
        <w:tc>
          <w:tcPr/>
          <w:p>
            <w:pPr>
              <w:pStyle w:val="TableContents"/>
            </w:pPr>
            <w:r>
              <w:t>Full</w:t>
            </w:r>
          </w:p>
        </w:tc>
      </w:tr>
      <w:tr>
        <w:tc>
          <w:tcPr/>
          <w:p>
            <w:pPr>
              <w:pStyle w:val="TableContents"/>
            </w:pPr>
            <w:r>
              <w:rPr>
                <w:b/>
                <w:bCs/>
                <w:color w:val="0059D1"/>
              </w:rPr>
              <w:t>[INSERT: section]</w:t>
            </w:r>
          </w:p>
        </w:tc>
        <w:tc>
          <w:tcPr/>
          <w:p>
            <w:pPr>
              <w:pStyle w:val="TableContents"/>
            </w:pPr>
            <w:r>
              <w:t>Appendix C C-2 §55.7.2</w:t>
            </w:r>
          </w:p>
        </w:tc>
        <w:tc>
          <w:tcPr/>
          <w:p>
            <w:pPr>
              <w:pStyle w:val="TableContents"/>
            </w:pPr>
            <w:r>
              <w:t>Requires the scaffold design to consider activity to be undertaken, load capacity, ground conditions, underground services, fall protection systems, edge protection, anchor points, access and egress, and adjacent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§55.8</w:t>
            </w:r>
          </w:p>
        </w:tc>
        <w:tc>
          <w:tcPr/>
          <w:p>
            <w:pPr>
              <w:pStyle w:val="TableContents"/>
            </w:pPr>
            <w:r>
              <w:t>Requires complex or non-standard scaffold configurations to be designed or reviewed by a qualified engineer before erection commences.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§55.13</w:t>
            </w:r>
          </w:p>
        </w:tc>
        <w:tc>
          <w:tcPr/>
          <w:p>
            <w:pPr>
              <w:pStyle w:val="TableContents"/>
            </w:pPr>
            <w:r>
              <w:t>Requires a ground condition assessment by a competent person before erecting any scaffold, verifying bearing capacity, absence of underground services, absence of subsidence, and suitability of load-spreading measures.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§55.9</w:t>
            </w:r>
          </w:p>
        </w:tc>
        <w:tc>
          <w:tcPr/>
          <w:p>
            <w:pPr>
              <w:pStyle w:val="TableContents"/>
            </w:pPr>
            <w:r>
              <w:t>Requires scaffold load capacity requirements to be defined including design load ratings, maximum permissible loads, and restrictions on storing materials on scaffold.</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§55.10</w:t>
            </w:r>
          </w:p>
        </w:tc>
        <w:tc>
          <w:tcPr/>
          <w:p>
            <w:pPr>
              <w:pStyle w:val="TableContents"/>
            </w:pPr>
            <w:r>
              <w:t>Requires specific controls where there is a risk of contact with live electricity during scaffold erection, use, or dismantling, including de-energisation, minimum approach distances, and insulating covers.</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§55.14</w:t>
            </w:r>
          </w:p>
        </w:tc>
        <w:tc>
          <w:tcPr/>
          <w:p>
            <w:pPr>
              <w:pStyle w:val="TableContents"/>
            </w:pPr>
            <w:r>
              <w:t>Requires that access to and egress from scaffolding is only through purpose-designed entry and exit points, prohibiting climbing the scaffold structure.</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§55.16.3</w:t>
            </w:r>
          </w:p>
        </w:tc>
        <w:tc>
          <w:tcPr/>
          <w:p>
            <w:pPr>
              <w:pStyle w:val="TableContents"/>
            </w:pPr>
            <w:r>
              <w:t>Requires edge protection to include guardrails at minimum 900mm, mid-rails, and toe boards, with sequential installation to prevent exposure to open edges during erection.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§55.16.1</w:t>
            </w:r>
          </w:p>
        </w:tc>
        <w:tc>
          <w:tcPr/>
          <w:p>
            <w:pPr>
              <w:pStyle w:val="TableContents"/>
            </w:pPr>
            <w:r>
              <w:t>Requires a documented erection sequence and method to be prepared before erection commences, identifying the order of component installation, edge protection provision, anchor points, and maximum erection height before handover for inspection.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§55.16.2</w:t>
            </w:r>
          </w:p>
        </w:tc>
        <w:tc>
          <w:tcPr/>
          <w:p>
            <w:pPr>
              <w:pStyle w:val="TableContents"/>
            </w:pPr>
            <w:r>
              <w:t>Defines controls for managing fall risks during erection including advance installation of temporary anchor points, use of self-retracting lanyards, and prohibition of working from the top of a partially erected scaffold without an approved fall protection system.</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§55.17.1</w:t>
            </w:r>
          </w:p>
        </w:tc>
        <w:tc>
          <w:tcPr/>
          <w:p>
            <w:pPr>
              <w:pStyle w:val="TableContents"/>
            </w:pPr>
            <w:r>
              <w:t>Requires a design verification and handover process before any scaffold is used, including inspection by a competent person, formal handover, and tagging at all access points.</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§55.17.4</w:t>
            </w:r>
          </w:p>
        </w:tc>
        <w:tc>
          <w:tcPr/>
          <w:p>
            <w:pPr>
              <w:pStyle w:val="TableContents"/>
            </w:pPr>
            <w:r>
              <w:t>Defines the scaffold tagging system using Green, Yellow, and Red tags to indicate safe to use, use with restrictions, and do not use respectively.</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§55.17.2</w:t>
            </w:r>
          </w:p>
        </w:tc>
        <w:tc>
          <w:tcPr/>
          <w:p>
            <w:pPr>
              <w:pStyle w:val="TableContents"/>
            </w:pPr>
            <w:r>
              <w:t>Defines scaffold inspection frequencies including before first use, regular intervals during use at minimum weekly for occupied scaffolds, following integrity-affecting events, and before resuming use after inactivity.</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§55.17.3</w:t>
            </w:r>
          </w:p>
        </w:tc>
        <w:tc>
          <w:tcPr/>
          <w:p>
            <w:pPr>
              <w:pStyle w:val="TableContents"/>
            </w:pPr>
            <w:r>
              <w:t>Requires scaffolds remaining in place beyond a defined period to be subject to formal periodic structural inspection at intervals no greater than those defined in the design documentation or applicable standard.</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§55.16.7</w:t>
            </w:r>
          </w:p>
        </w:tc>
        <w:tc>
          <w:tcPr/>
          <w:p>
            <w:pPr>
              <w:pStyle w:val="TableContents"/>
            </w:pPr>
            <w:r>
              <w:t>Requires fall protection for scaffolds over or adjacent to water to be anchored to an independent certified structure, and PFDs to be worn during all scaffold work within two metres of an unprotected water edge.</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§55.18</w:t>
            </w:r>
          </w:p>
        </w:tc>
        <w:tc>
          <w:tcPr/>
          <w:p>
            <w:pPr>
              <w:pStyle w:val="TableContents"/>
            </w:pPr>
            <w:r>
              <w:t>Requires scaffolding to be dismantled by a competent and authorised scaffolder following a documented dismantling sequence with fall protection maintained until immediately before the relevant component is removed.</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§55.18.2</w:t>
            </w:r>
          </w:p>
        </w:tc>
        <w:tc>
          <w:tcPr/>
          <w:p>
            <w:pPr>
              <w:pStyle w:val="TableContents"/>
            </w:pPr>
            <w:r>
              <w:t>Defines emergency preparedness requirements specific to scaffolding including rescue plans for falls on scaffold, evacuation procedures for partial collapse, and compatibility of rescue equipment with the scaffold configuration.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§55.18.3–55.18.7</w:t>
            </w:r>
          </w:p>
        </w:tc>
        <w:tc>
          <w:tcPr/>
          <w:p>
            <w:pPr>
              <w:pStyle w:val="TableContents"/>
            </w:pPr>
            <w:r>
              <w:t>Defines competency requirements by scaffold role covering Scaffold Designer, Scaffold Inspector/Verifier, Scaffold Erector/Modifier/Dismantler, and Scaffold User.</w:t>
            </w:r>
          </w:p>
        </w:tc>
        <w:tc>
          <w:tcPr/>
          <w:p>
            <w:pPr>
              <w:pStyle w:val="TableContents"/>
            </w:pPr>
            <w:r>
              <w:t>Full</w:t>
            </w:r>
          </w:p>
        </w:tc>
      </w:tr>
      <w:tr>
        <w:tc>
          <w:tcPr/>
          <w:p>
            <w:pPr>
              <w:pStyle w:val="TableContents"/>
            </w:pPr>
            <w:r>
              <w:rPr>
                <w:b/>
                <w:bCs/>
                <w:color w:val="0059D1"/>
              </w:rPr>
              <w:t>[INSERT: section]</w:t>
            </w:r>
          </w:p>
        </w:tc>
        <w:tc>
          <w:tcPr/>
          <w:p>
            <w:pPr>
              <w:pStyle w:val="TableContents"/>
            </w:pPr>
            <w:r>
              <w:t>Appendix C C-2 §55.18.6</w:t>
            </w:r>
          </w:p>
        </w:tc>
        <w:tc>
          <w:tcPr/>
          <w:p>
            <w:pPr>
              <w:pStyle w:val="TableContents"/>
            </w:pPr>
            <w:r>
              <w:t>Requires competency to be verified before personnel are authorised in any scaffold role, with re-verification at a risk-based frequency.</w:t>
            </w:r>
          </w:p>
        </w:tc>
        <w:tc>
          <w:tcPr/>
          <w:p>
            <w:pPr>
              <w:pStyle w:val="TableContents"/>
            </w:pPr>
            <w:r>
              <w:t>Full</w:t>
            </w:r>
          </w:p>
        </w:tc>
      </w:tr>
      <w:tr>
        <w:tc>
          <w:tcPr/>
          <w:p>
            <w:pPr>
              <w:pStyle w:val="TableContents"/>
            </w:pPr>
            <w:r>
              <w:rPr>
                <w:b/>
                <w:bCs/>
                <w:color w:val="0059D1"/>
              </w:rPr>
              <w:t>[INSERT: section]</w:t>
            </w:r>
          </w:p>
        </w:tc>
        <w:tc>
          <w:tcPr/>
          <w:p>
            <w:pPr>
              <w:pStyle w:val="TableContents"/>
            </w:pPr>
            <w:r>
              <w:t>IFC PS2 GN§80</w:t>
            </w:r>
          </w:p>
        </w:tc>
        <w:tc>
          <w:tcPr/>
          <w:p>
            <w:pPr>
              <w:pStyle w:val="TableContents"/>
            </w:pPr>
            <w:r>
              <w:t>Requires scaffold workers to be trained in task-specific skills and in emergency response procedures applicable to scaffold incidents including rescue from height and communication protocols.</w:t>
            </w:r>
          </w:p>
        </w:tc>
        <w:tc>
          <w:tcPr/>
          <w:p>
            <w:pPr>
              <w:pStyle w:val="TableContents"/>
            </w:pPr>
            <w:r>
              <w:t>Full</w:t>
            </w:r>
          </w:p>
        </w:tc>
      </w:tr>
    </w:tbl>
    <w:p>
      <w:pPr>
        <w:pStyle w:val="Default"/>
      </w:pPr>
    </w:p>
    <w:p>
      <w:pPr>
        <w:pStyle w:val="Heading2Numbered"/>
      </w:pPr>
      <w:r>
        <w:t>18.2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