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Fitness for Work</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Fitness for Work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the requirements for ensuring all project personnel are physically, psychologically, and behaviourally fit to safely perform their duties throughout the project. In the owner-led model, RT sets the minimum fitness for work standard for the project and all contractors must meet or exceed it.</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fitness for work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Fitness for Work</w:t>
      </w:r>
    </w:p>
    <w:p>
      <w:pPr>
        <w:pStyle w:val="NormalNumberedtext"/>
      </w:pPr>
      <w:r>
        <w:t>This section defines the fitness for work requirements that apply to all personnel on the project, covering medical assessments, drug and alcohol controls, fatigue management, thermal stress, and return to work.</w:t>
      </w:r>
    </w:p>
    <w:p>
      <w:pPr>
        <w:pStyle w:val="NormalNumberedtext"/>
      </w:pPr>
    </w:p>
    <w:p>
      <w:pPr>
        <w:pStyle w:val="Heading2Numbered"/>
        <w:numPr>
          <w:ilvl w:val="1"/>
          <w:numId w:val="1"/>
        </w:numPr>
      </w:pPr>
      <w:r>
        <w:rPr>
          <w:rFonts w:ascii="Arial" w:hAnsi="Arial" w:cs="Arial" w:eastAsia="Arial"/>
        </w:rPr>
        <w:t>Pre-placement Medical Assessments</w:t>
      </w:r>
    </w:p>
    <w:p>
      <w:pPr>
        <w:pStyle w:val="NormalNumberedtext"/>
      </w:pPr>
      <w:r>
        <w:t>This section defines the medical assessment categories, minimum health standards, and role-specific examination requirements that apply before mobilisation to site.</w:t>
      </w:r>
    </w:p>
    <w:p>
      <w:pPr>
        <w:pStyle w:val="NormalNumberedtext"/>
      </w:pPr>
      <w:r>
        <w:t>All personnel must complete a pre-placement medical assessment conducted by a licensed physician before mobilising to site. The assessment confirms that the individual is medically fit to perform the duties of the role to which they are assigned.</w:t>
      </w:r>
    </w:p>
    <w:p>
      <w:pPr>
        <w:pStyle w:val="NormalNumberedtext"/>
      </w:pPr>
      <w:r>
        <w:t>The project defines four medical assessment categories: pre-placement, periodic, return-to-work, and fitness-for-task. Minimum health standards for each category are documented by the project occupational health provider and reviewed in consultation with the project team before mobilisation. Assessments for job transfers, ERT personnel, and return to work following injury or illness are required in addition to the standard pre-placement assessment.</w:t>
      </w:r>
    </w:p>
    <w:p>
      <w:pPr>
        <w:pStyle w:val="NormalNumberedtext"/>
      </w:pPr>
      <w:r>
        <w:t>Roles requiring job-specific medical examinations are determined by job sensitivity and physical demands. Workers assigned to positions with heightened physical health demands receive health assessments appropriate to the specific risks of those positions. Medical confidentiality is maintained throughout the assessment and case management process, with individual health information disclosed only to those with a defined occupational health function.</w:t>
      </w:r>
    </w:p>
    <w:p>
      <w:pPr>
        <w:pStyle w:val="NormalNumberedtext"/>
      </w:pPr>
      <w:r>
        <w:t>The project occupational health provider and the minimum assessment standard for each role category are documented in the table below. The project team completes this table before mobilisation and reviews it when a new role category is introduced or when the occupational health provider changes:</w:t>
      </w:r>
    </w:p>
    <w:p>
      <w:pPr>
        <w:pStyle w:val="NormalNumberedtext"/>
      </w:pPr>
      <w:r>
        <w:t>Table: Medical Assessment Categories and Minimum Standards by Role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Role Category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Assessment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Minimum Standard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Frequency</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Occupational Health Provider</w:t>
            </w:r>
          </w:p>
        </w:tc>
      </w:tr>
      <w:tr>
        <w:tc>
          <w:tcPr>
            <w:tcW w:type="dxa" w:w="1805"/>
          </w:tcPr>
          <w:p>
            <w:pPr>
              <w:pStyle w:val="TableContents"/>
              <w:spacing w:before="0" w:after="0" w:line="240" w:lineRule="atLeast"/>
            </w:pPr>
            <w:r>
              <w:rPr>
                <w:rFonts w:ascii="Arial" w:hAnsi="Arial" w:cs="Arial" w:eastAsia="Arial"/>
                <w:sz w:val="16"/>
                <w:szCs w:val="16"/>
              </w:rPr>
              <w:t>Office-based</w:t>
            </w:r>
          </w:p>
        </w:tc>
        <w:tc>
          <w:tcPr>
            <w:tcW w:type="dxa" w:w="1805"/>
          </w:tcPr>
          <w:p>
            <w:pPr>
              <w:pStyle w:val="TableContents"/>
              <w:spacing w:before="0" w:after="0" w:line="240" w:lineRule="atLeast"/>
            </w:pPr>
            <w:r>
              <w:rPr>
                <w:rFonts w:ascii="Arial" w:hAnsi="Arial" w:cs="Arial" w:eastAsia="Arial"/>
                <w:sz w:val="16"/>
                <w:szCs w:val="16"/>
              </w:rPr>
              <w:t>Pre-placement</w:t>
            </w:r>
          </w:p>
        </w:tc>
        <w:tc>
          <w:tcPr>
            <w:tcW w:type="dxa" w:w="1805"/>
          </w:tcPr>
          <w:p>
            <w:pPr>
              <w:pStyle w:val="TableContents"/>
              <w:spacing w:before="0" w:after="0" w:line="240" w:lineRule="atLeast"/>
            </w:pPr>
            <w:r>
              <w:rPr>
                <w:rFonts w:ascii="Arial" w:hAnsi="Arial" w:cs="Arial" w:eastAsia="Arial"/>
                <w:sz w:val="16"/>
                <w:szCs w:val="16"/>
              </w:rPr>
              <w:t>General health declaration and GP clearance</w:t>
            </w:r>
          </w:p>
        </w:tc>
        <w:tc>
          <w:tcPr>
            <w:tcW w:type="dxa" w:w="1805"/>
          </w:tcPr>
          <w:p>
            <w:pPr>
              <w:pStyle w:val="TableContents"/>
              <w:spacing w:before="0" w:after="0" w:line="240" w:lineRule="atLeast"/>
            </w:pPr>
            <w:r>
              <w:rPr>
                <w:rFonts w:ascii="Arial" w:hAnsi="Arial" w:cs="Arial" w:eastAsia="Arial"/>
                <w:sz w:val="16"/>
                <w:szCs w:val="16"/>
              </w:rPr>
              <w:t>Pre-placement; 2-yearly periodic</w:t>
            </w:r>
          </w:p>
        </w:tc>
        <w:tc>
          <w:tcPr>
            <w:tcW w:type="dxa" w:w="1806"/>
          </w:tcPr>
          <w:p>
            <w:pPr>
              <w:pStyle w:val="TableContents"/>
              <w:spacing w:before="0" w:after="0" w:line="240" w:lineRule="atLeast"/>
            </w:pPr>
            <w:r>
              <w:rPr>
                <w:rFonts w:ascii="Arial" w:hAnsi="Arial" w:cs="Arial" w:eastAsia="Arial"/>
                <w:b/>
                <w:bCs/>
                <w:color w:val="0059D1"/>
                <w:sz w:val="16"/>
                <w:szCs w:val="16"/>
              </w:rPr>
              <w:t>[INSERT: provider name and clinic location]</w:t>
            </w:r>
          </w:p>
        </w:tc>
      </w:tr>
      <w:tr>
        <w:tc>
          <w:tcPr>
            <w:tcW w:type="dxa" w:w="1805"/>
          </w:tcPr>
          <w:p>
            <w:pPr>
              <w:pStyle w:val="TableContents"/>
              <w:spacing w:before="0" w:after="0" w:line="240" w:lineRule="atLeast"/>
            </w:pPr>
            <w:r>
              <w:rPr>
                <w:rFonts w:ascii="Arial" w:hAnsi="Arial" w:cs="Arial" w:eastAsia="Arial"/>
                <w:sz w:val="16"/>
                <w:szCs w:val="16"/>
              </w:rPr>
              <w:t>Site-based non-operational</w:t>
            </w:r>
          </w:p>
        </w:tc>
        <w:tc>
          <w:tcPr>
            <w:tcW w:type="dxa" w:w="1805"/>
          </w:tcPr>
          <w:p>
            <w:pPr>
              <w:pStyle w:val="TableContents"/>
              <w:spacing w:before="0" w:after="0" w:line="240" w:lineRule="atLeast"/>
            </w:pPr>
            <w:r>
              <w:rPr>
                <w:rFonts w:ascii="Arial" w:hAnsi="Arial" w:cs="Arial" w:eastAsia="Arial"/>
                <w:sz w:val="16"/>
                <w:szCs w:val="16"/>
              </w:rPr>
              <w:t>Pre-placement</w:t>
            </w:r>
          </w:p>
        </w:tc>
        <w:tc>
          <w:tcPr>
            <w:tcW w:type="dxa" w:w="1805"/>
          </w:tcPr>
          <w:p>
            <w:pPr>
              <w:pStyle w:val="TableContents"/>
              <w:spacing w:before="0" w:after="0" w:line="240" w:lineRule="atLeast"/>
            </w:pPr>
            <w:r>
              <w:rPr>
                <w:rFonts w:ascii="Arial" w:hAnsi="Arial" w:cs="Arial" w:eastAsia="Arial"/>
                <w:sz w:val="16"/>
                <w:szCs w:val="16"/>
              </w:rPr>
              <w:t>Full medical by licensed physician including cardiovascular screen</w:t>
            </w:r>
          </w:p>
        </w:tc>
        <w:tc>
          <w:tcPr>
            <w:tcW w:type="dxa" w:w="1805"/>
          </w:tcPr>
          <w:p>
            <w:pPr>
              <w:pStyle w:val="TableContents"/>
              <w:spacing w:before="0" w:after="0" w:line="240" w:lineRule="atLeast"/>
            </w:pPr>
            <w:r>
              <w:rPr>
                <w:rFonts w:ascii="Arial" w:hAnsi="Arial" w:cs="Arial" w:eastAsia="Arial"/>
                <w:sz w:val="16"/>
                <w:szCs w:val="16"/>
              </w:rPr>
              <w:t>Pre-placement; 2-yearly periodic</w:t>
            </w:r>
          </w:p>
        </w:tc>
        <w:tc>
          <w:tcPr>
            <w:tcW w:type="dxa" w:w="1806"/>
          </w:tcPr>
          <w:p>
            <w:pPr>
              <w:pStyle w:val="TableContents"/>
              <w:spacing w:before="0" w:after="0" w:line="240" w:lineRule="atLeast"/>
            </w:pPr>
            <w:r>
              <w:rPr>
                <w:rFonts w:ascii="Arial" w:hAnsi="Arial" w:cs="Arial" w:eastAsia="Arial"/>
                <w:b/>
                <w:bCs/>
                <w:color w:val="0059D1"/>
                <w:sz w:val="16"/>
                <w:szCs w:val="16"/>
              </w:rPr>
              <w:t>[INSERT: provider name and clinic location]</w:t>
            </w:r>
          </w:p>
        </w:tc>
      </w:tr>
      <w:tr>
        <w:tc>
          <w:tcPr>
            <w:tcW w:type="dxa" w:w="1805"/>
          </w:tcPr>
          <w:p>
            <w:pPr>
              <w:pStyle w:val="TableContents"/>
              <w:spacing w:before="0" w:after="0" w:line="240" w:lineRule="atLeast"/>
            </w:pPr>
            <w:r>
              <w:rPr>
                <w:rFonts w:ascii="Arial" w:hAnsi="Arial" w:cs="Arial" w:eastAsia="Arial"/>
                <w:sz w:val="16"/>
                <w:szCs w:val="16"/>
              </w:rPr>
              <w:t>HME Operator</w:t>
            </w:r>
          </w:p>
        </w:tc>
        <w:tc>
          <w:tcPr>
            <w:tcW w:type="dxa" w:w="1805"/>
          </w:tcPr>
          <w:p>
            <w:pPr>
              <w:pStyle w:val="TableContents"/>
              <w:spacing w:before="0" w:after="0" w:line="240" w:lineRule="atLeast"/>
            </w:pPr>
            <w:r>
              <w:rPr>
                <w:rFonts w:ascii="Arial" w:hAnsi="Arial" w:cs="Arial" w:eastAsia="Arial"/>
                <w:sz w:val="16"/>
                <w:szCs w:val="16"/>
              </w:rPr>
              <w:t>Pre-placement + fitness-for-task</w:t>
            </w:r>
          </w:p>
        </w:tc>
        <w:tc>
          <w:tcPr>
            <w:tcW w:type="dxa" w:w="1805"/>
          </w:tcPr>
          <w:p>
            <w:pPr>
              <w:pStyle w:val="TableContents"/>
              <w:spacing w:before="0" w:after="0" w:line="240" w:lineRule="atLeast"/>
            </w:pPr>
            <w:r>
              <w:rPr>
                <w:rFonts w:ascii="Arial" w:hAnsi="Arial" w:cs="Arial" w:eastAsia="Arial"/>
                <w:sz w:val="16"/>
                <w:szCs w:val="16"/>
              </w:rPr>
              <w:t>Full medical including vision, hearing, musculoskeletal and cardiovascular</w:t>
            </w:r>
          </w:p>
        </w:tc>
        <w:tc>
          <w:tcPr>
            <w:tcW w:type="dxa" w:w="1805"/>
          </w:tcPr>
          <w:p>
            <w:pPr>
              <w:pStyle w:val="TableContents"/>
              <w:spacing w:before="0" w:after="0" w:line="240" w:lineRule="atLeast"/>
            </w:pPr>
            <w:r>
              <w:rPr>
                <w:rFonts w:ascii="Arial" w:hAnsi="Arial" w:cs="Arial" w:eastAsia="Arial"/>
                <w:sz w:val="16"/>
                <w:szCs w:val="16"/>
              </w:rPr>
              <w:t>Pre-placement; annual periodic</w:t>
            </w:r>
          </w:p>
        </w:tc>
        <w:tc>
          <w:tcPr>
            <w:tcW w:type="dxa" w:w="1806"/>
          </w:tcPr>
          <w:p>
            <w:pPr>
              <w:pStyle w:val="TableContents"/>
              <w:spacing w:before="0" w:after="0" w:line="240" w:lineRule="atLeast"/>
            </w:pPr>
            <w:r>
              <w:rPr>
                <w:rFonts w:ascii="Arial" w:hAnsi="Arial" w:cs="Arial" w:eastAsia="Arial"/>
                <w:b/>
                <w:bCs/>
                <w:color w:val="0059D1"/>
                <w:sz w:val="16"/>
                <w:szCs w:val="16"/>
              </w:rPr>
              <w:t>[INSERT: provider name and clinic location]</w:t>
            </w:r>
          </w:p>
        </w:tc>
      </w:tr>
      <w:tr>
        <w:tc>
          <w:tcPr>
            <w:tcW w:type="dxa" w:w="1805"/>
          </w:tcPr>
          <w:p>
            <w:pPr>
              <w:pStyle w:val="TableContents"/>
              <w:spacing w:before="0" w:after="0" w:line="240" w:lineRule="atLeast"/>
            </w:pPr>
            <w:r>
              <w:rPr>
                <w:rFonts w:ascii="Arial" w:hAnsi="Arial" w:cs="Arial" w:eastAsia="Arial"/>
                <w:sz w:val="16"/>
                <w:szCs w:val="16"/>
              </w:rPr>
              <w:t>ERT Member</w:t>
            </w:r>
          </w:p>
        </w:tc>
        <w:tc>
          <w:tcPr>
            <w:tcW w:type="dxa" w:w="1805"/>
          </w:tcPr>
          <w:p>
            <w:pPr>
              <w:pStyle w:val="TableContents"/>
              <w:spacing w:before="0" w:after="0" w:line="240" w:lineRule="atLeast"/>
            </w:pPr>
            <w:r>
              <w:rPr>
                <w:rFonts w:ascii="Arial" w:hAnsi="Arial" w:cs="Arial" w:eastAsia="Arial"/>
                <w:sz w:val="16"/>
                <w:szCs w:val="16"/>
              </w:rPr>
              <w:t>Pre-placement + fitness-for-task</w:t>
            </w:r>
          </w:p>
        </w:tc>
        <w:tc>
          <w:tcPr>
            <w:tcW w:type="dxa" w:w="1805"/>
          </w:tcPr>
          <w:p>
            <w:pPr>
              <w:pStyle w:val="TableContents"/>
              <w:spacing w:before="0" w:after="0" w:line="240" w:lineRule="atLeast"/>
            </w:pPr>
            <w:r>
              <w:rPr>
                <w:rFonts w:ascii="Arial" w:hAnsi="Arial" w:cs="Arial" w:eastAsia="Arial"/>
                <w:sz w:val="16"/>
                <w:szCs w:val="16"/>
              </w:rPr>
              <w:t>Full medical including fitness assessment to defined ERT standard</w:t>
            </w:r>
          </w:p>
        </w:tc>
        <w:tc>
          <w:tcPr>
            <w:tcW w:type="dxa" w:w="1805"/>
          </w:tcPr>
          <w:p>
            <w:pPr>
              <w:pStyle w:val="TableContents"/>
              <w:spacing w:before="0" w:after="0" w:line="240" w:lineRule="atLeast"/>
            </w:pPr>
            <w:r>
              <w:rPr>
                <w:rFonts w:ascii="Arial" w:hAnsi="Arial" w:cs="Arial" w:eastAsia="Arial"/>
                <w:sz w:val="16"/>
                <w:szCs w:val="16"/>
              </w:rPr>
              <w:t>Pre-placement; annual periodic</w:t>
            </w:r>
          </w:p>
        </w:tc>
        <w:tc>
          <w:tcPr>
            <w:tcW w:type="dxa" w:w="1806"/>
          </w:tcPr>
          <w:p>
            <w:pPr>
              <w:pStyle w:val="TableContents"/>
              <w:spacing w:before="0" w:after="0" w:line="240" w:lineRule="atLeast"/>
            </w:pPr>
            <w:r>
              <w:rPr>
                <w:rFonts w:ascii="Arial" w:hAnsi="Arial" w:cs="Arial" w:eastAsia="Arial"/>
                <w:b/>
                <w:bCs/>
                <w:color w:val="0059D1"/>
                <w:sz w:val="16"/>
                <w:szCs w:val="16"/>
              </w:rPr>
              <w:t>[INSERT: provider name and clinic location]</w:t>
            </w: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role category]</w:t>
            </w:r>
          </w:p>
        </w:tc>
        <w:tc>
          <w:tcPr>
            <w:tcW w:type="dxa" w:w="1805"/>
          </w:tcPr>
          <w:p>
            <w:pPr>
              <w:pStyle w:val="TableContents"/>
              <w:spacing w:before="0" w:after="0" w:line="240" w:lineRule="atLeast"/>
            </w:pPr>
            <w:r>
              <w:rPr>
                <w:rFonts w:ascii="Arial" w:hAnsi="Arial" w:cs="Arial" w:eastAsia="Arial"/>
                <w:b/>
                <w:bCs/>
                <w:color w:val="0059D1"/>
                <w:sz w:val="16"/>
                <w:szCs w:val="16"/>
              </w:rPr>
              <w:t>[INSERT: assessment type]</w:t>
            </w:r>
          </w:p>
        </w:tc>
        <w:tc>
          <w:tcPr>
            <w:tcW w:type="dxa" w:w="1805"/>
          </w:tcPr>
          <w:p>
            <w:pPr>
              <w:pStyle w:val="TableContents"/>
              <w:spacing w:before="0" w:after="0" w:line="240" w:lineRule="atLeast"/>
            </w:pPr>
            <w:r>
              <w:rPr>
                <w:rFonts w:ascii="Arial" w:hAnsi="Arial" w:cs="Arial" w:eastAsia="Arial"/>
                <w:b/>
                <w:bCs/>
                <w:color w:val="0059D1"/>
                <w:sz w:val="16"/>
                <w:szCs w:val="16"/>
              </w:rPr>
              <w:t>[INSERT: minimum standard]</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6"/>
          </w:tcPr>
          <w:p>
            <w:pPr>
              <w:pStyle w:val="TableContents"/>
              <w:spacing w:before="0" w:after="0" w:line="240" w:lineRule="atLeast"/>
            </w:pPr>
            <w:r>
              <w:rPr>
                <w:rFonts w:ascii="Arial" w:hAnsi="Arial" w:cs="Arial" w:eastAsia="Arial"/>
                <w:b/>
                <w:bCs/>
                <w:color w:val="0059D1"/>
                <w:sz w:val="16"/>
                <w:szCs w:val="16"/>
              </w:rPr>
              <w:t>[INSERT: provider]</w:t>
            </w:r>
          </w:p>
        </w:tc>
      </w:tr>
    </w:tbl>
    <w:p>
      <w:pPr>
        <w:pStyle w:val="NormalNumberedtext"/>
      </w:pPr>
    </w:p>
    <w:p>
      <w:pPr>
        <w:pStyle w:val="NormalNumberedtext"/>
      </w:pPr>
      <w:r>
        <w:t>Applicable legislative requirements governing pre-placement medical assessments are documented in the Legal Requirements Procedure, refer [INSERT: Project Document Number]. The accountable role for the fitness for work programme is defined in the Organisational Resources Procedure, refer [INSERT: Project Document Number]. FFW awareness training requirements, including medical assessment obligations, are defined in the Training Procedure, refer [INSERT: Project Document Number].</w:t>
      </w:r>
    </w:p>
    <w:p>
      <w:pPr>
        <w:pStyle w:val="NormalNumberedtext"/>
      </w:pPr>
    </w:p>
    <w:p>
      <w:pPr>
        <w:pStyle w:val="Heading2Numbered"/>
        <w:numPr>
          <w:ilvl w:val="1"/>
          <w:numId w:val="1"/>
        </w:numPr>
      </w:pPr>
      <w:r>
        <w:rPr>
          <w:rFonts w:ascii="Arial" w:hAnsi="Arial" w:cs="Arial" w:eastAsia="Arial"/>
        </w:rPr>
        <w:t>Alcohol and Other Drug Requirements</w:t>
      </w:r>
    </w:p>
    <w:p>
      <w:pPr>
        <w:pStyle w:val="NormalNumberedtext"/>
      </w:pPr>
      <w:r>
        <w:t>This section defines the drug and alcohol testing programme, the substances covered, cut-off levels, pre-start testing requirements, and the process for managing non-negative results.</w:t>
      </w:r>
    </w:p>
    <w:p>
      <w:pPr>
        <w:pStyle w:val="NormalNumberedtext"/>
      </w:pPr>
      <w:r>
        <w:t>All personnel participate in the project drug and alcohol testing programme. The programme implements controls proportionate to the substance use risks identified for the project workforce and the local community context, and promotes a safe and healthy work environment for all personnel on site.</w:t>
      </w:r>
    </w:p>
    <w:p>
      <w:pPr>
        <w:pStyle w:val="NormalNumberedtext"/>
      </w:pPr>
      <w:r>
        <w:t>The substances covered by the testing programme are:</w:t>
      </w:r>
    </w:p>
    <w:p>
      <w:pPr>
        <w:pStyle w:val="NormalNumberedtext"/>
      </w:pPr>
      <w:r>
        <w:t>The following substance categories are included in the testing programme:</w:t>
      </w:r>
    </w:p>
    <w:p>
      <w:pPr>
        <w:pStyle w:val="NumberedBulletL1"/>
      </w:pPr>
      <w:r>
        <w:t>Alcohol</w:t>
      </w:r>
    </w:p>
    <w:p>
      <w:pPr>
        <w:pStyle w:val="NumberedBulletL1"/>
      </w:pPr>
      <w:r>
        <w:t>Cannabis, including synthetic cannabinoids</w:t>
      </w:r>
    </w:p>
    <w:p>
      <w:pPr>
        <w:pStyle w:val="NumberedBulletL1"/>
      </w:pPr>
      <w:r>
        <w:t>Opiate analgesics</w:t>
      </w:r>
    </w:p>
    <w:p>
      <w:pPr>
        <w:pStyle w:val="NumberedBulletL1"/>
      </w:pPr>
      <w:r>
        <w:t>Hallucinogens</w:t>
      </w:r>
    </w:p>
    <w:p>
      <w:pPr>
        <w:pStyle w:val="NumberedBulletL1"/>
      </w:pPr>
      <w:r>
        <w:t>Volatile substances</w:t>
      </w:r>
    </w:p>
    <w:p>
      <w:pPr>
        <w:pStyle w:val="NumberedBulletL1"/>
      </w:pPr>
      <w:r>
        <w:t>Stimulants</w:t>
      </w:r>
    </w:p>
    <w:p>
      <w:pPr>
        <w:pStyle w:val="NumberedBulletL1"/>
      </w:pPr>
      <w:r>
        <w:t>Impairing prescription or over-the-counter medications</w:t>
      </w:r>
    </w:p>
    <w:p>
      <w:pPr>
        <w:pStyle w:val="NormalNumberedtext"/>
      </w:pPr>
      <w:r>
        <w:t>Pre-start alcohol testing is conducted using an approved testing device before personnel commence work at any location on the project. Personnel must register a blood alcohol concentration of zero on an automatic test, or a negative result on a passive test, before starting work. A result that does not meet this threshold prevents the individual from commencing work pending further assessment and management.</w:t>
      </w:r>
    </w:p>
    <w:p>
      <w:pPr>
        <w:pStyle w:val="NormalNumberedtext"/>
      </w:pPr>
      <w:r>
        <w:t>A non-negative drug screen is followed by confirmatory testing before any disciplinary or administrative action is taken. Confirmatory testing uses GC-MS methodology. Immunoassay screening cut-off levels and GC-MS confirmatory cut-off levels are defined per AS4308. Confirmatory results are reviewed by trained personnel before any action proceeds.</w:t>
      </w:r>
    </w:p>
    <w:p>
      <w:pPr>
        <w:pStyle w:val="NormalNumberedtext"/>
      </w:pPr>
      <w:r>
        <w:t>The disciplinary process for confirmed positive results is defined in the project D&amp;A disciplinary framework. The testing schedule, including pre-placement testing, random testing frequency, and for-cause testing triggers, is documented below:</w:t>
      </w:r>
    </w:p>
    <w:p>
      <w:pPr>
        <w:pStyle w:val="NormalNumberedtext"/>
      </w:pPr>
      <w:r>
        <w:t>Table: Drug and Alcohol Testing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Testing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Trigger</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Coverage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Frequency</w:t>
            </w:r>
          </w:p>
        </w:tc>
      </w:tr>
      <w:tr>
        <w:tc>
          <w:tcPr>
            <w:tcW w:type="dxa" w:w="2256"/>
          </w:tcPr>
          <w:p>
            <w:pPr>
              <w:pStyle w:val="TableContents"/>
              <w:spacing w:before="0" w:after="0" w:line="240" w:lineRule="atLeast"/>
            </w:pPr>
            <w:r>
              <w:rPr>
                <w:rFonts w:ascii="Arial" w:hAnsi="Arial" w:cs="Arial" w:eastAsia="Arial"/>
                <w:sz w:val="16"/>
                <w:szCs w:val="16"/>
              </w:rPr>
              <w:t>Pre-placement</w:t>
            </w:r>
          </w:p>
        </w:tc>
        <w:tc>
          <w:tcPr>
            <w:tcW w:type="dxa" w:w="2256"/>
          </w:tcPr>
          <w:p>
            <w:pPr>
              <w:pStyle w:val="TableContents"/>
              <w:spacing w:before="0" w:after="0" w:line="240" w:lineRule="atLeast"/>
            </w:pPr>
            <w:r>
              <w:rPr>
                <w:rFonts w:ascii="Arial" w:hAnsi="Arial" w:cs="Arial" w:eastAsia="Arial"/>
                <w:sz w:val="16"/>
                <w:szCs w:val="16"/>
              </w:rPr>
              <w:t>Before first mobilisation to site</w:t>
            </w:r>
          </w:p>
        </w:tc>
        <w:tc>
          <w:tcPr>
            <w:tcW w:type="dxa" w:w="2256"/>
          </w:tcPr>
          <w:p>
            <w:pPr>
              <w:pStyle w:val="TableContents"/>
              <w:spacing w:before="0" w:after="0" w:line="240" w:lineRule="atLeast"/>
            </w:pPr>
            <w:r>
              <w:rPr>
                <w:rFonts w:ascii="Arial" w:hAnsi="Arial" w:cs="Arial" w:eastAsia="Arial"/>
                <w:sz w:val="16"/>
                <w:szCs w:val="16"/>
              </w:rPr>
              <w:t>All personnel</w:t>
            </w:r>
          </w:p>
        </w:tc>
        <w:tc>
          <w:tcPr>
            <w:tcW w:type="dxa" w:w="2258"/>
          </w:tcPr>
          <w:p>
            <w:pPr>
              <w:pStyle w:val="TableContents"/>
              <w:spacing w:before="0" w:after="0" w:line="240" w:lineRule="atLeast"/>
            </w:pPr>
            <w:r>
              <w:rPr>
                <w:rFonts w:ascii="Arial" w:hAnsi="Arial" w:cs="Arial" w:eastAsia="Arial"/>
                <w:sz w:val="16"/>
                <w:szCs w:val="16"/>
              </w:rPr>
              <w:t>Once per mobilisation</w:t>
            </w:r>
          </w:p>
        </w:tc>
      </w:tr>
      <w:tr>
        <w:tc>
          <w:tcPr>
            <w:tcW w:type="dxa" w:w="2256"/>
          </w:tcPr>
          <w:p>
            <w:pPr>
              <w:pStyle w:val="TableContents"/>
              <w:spacing w:before="0" w:after="0" w:line="240" w:lineRule="atLeast"/>
            </w:pPr>
            <w:r>
              <w:rPr>
                <w:rFonts w:ascii="Arial" w:hAnsi="Arial" w:cs="Arial" w:eastAsia="Arial"/>
                <w:sz w:val="16"/>
                <w:szCs w:val="16"/>
              </w:rPr>
              <w:t>Random</w:t>
            </w:r>
          </w:p>
        </w:tc>
        <w:tc>
          <w:tcPr>
            <w:tcW w:type="dxa" w:w="2256"/>
          </w:tcPr>
          <w:p>
            <w:pPr>
              <w:pStyle w:val="TableContents"/>
              <w:spacing w:before="0" w:after="0" w:line="240" w:lineRule="atLeast"/>
            </w:pPr>
            <w:r>
              <w:rPr>
                <w:rFonts w:ascii="Arial" w:hAnsi="Arial" w:cs="Arial" w:eastAsia="Arial"/>
                <w:sz w:val="16"/>
                <w:szCs w:val="16"/>
              </w:rPr>
              <w:t>Random selection, no advance notice</w:t>
            </w:r>
          </w:p>
        </w:tc>
        <w:tc>
          <w:tcPr>
            <w:tcW w:type="dxa" w:w="2256"/>
          </w:tcPr>
          <w:p>
            <w:pPr>
              <w:pStyle w:val="TableContents"/>
              <w:spacing w:before="0" w:after="0" w:line="240" w:lineRule="atLeast"/>
            </w:pPr>
            <w:r>
              <w:rPr>
                <w:rFonts w:ascii="Arial" w:hAnsi="Arial" w:cs="Arial" w:eastAsia="Arial"/>
                <w:b/>
                <w:bCs/>
                <w:color w:val="0059D1"/>
                <w:sz w:val="16"/>
                <w:szCs w:val="16"/>
              </w:rPr>
              <w:t>[INSERT: % of workforce per quarter]</w:t>
            </w:r>
          </w:p>
        </w:tc>
        <w:tc>
          <w:tcPr>
            <w:tcW w:type="dxa" w:w="2258"/>
          </w:tcPr>
          <w:p>
            <w:pPr>
              <w:pStyle w:val="TableContents"/>
              <w:spacing w:before="0" w:after="0" w:line="240" w:lineRule="atLeast"/>
            </w:pPr>
            <w:r>
              <w:rPr>
                <w:rFonts w:ascii="Arial" w:hAnsi="Arial" w:cs="Arial" w:eastAsia="Arial"/>
                <w:b/>
                <w:bCs/>
                <w:color w:val="0059D1"/>
                <w:sz w:val="16"/>
                <w:szCs w:val="16"/>
              </w:rPr>
              <w:t>[INSERT: quarterly frequency]</w:t>
            </w:r>
          </w:p>
        </w:tc>
      </w:tr>
      <w:tr>
        <w:tc>
          <w:tcPr>
            <w:tcW w:type="dxa" w:w="2256"/>
          </w:tcPr>
          <w:p>
            <w:pPr>
              <w:pStyle w:val="TableContents"/>
              <w:spacing w:before="0" w:after="0" w:line="240" w:lineRule="atLeast"/>
            </w:pPr>
            <w:r>
              <w:rPr>
                <w:rFonts w:ascii="Arial" w:hAnsi="Arial" w:cs="Arial" w:eastAsia="Arial"/>
                <w:sz w:val="16"/>
                <w:szCs w:val="16"/>
              </w:rPr>
              <w:t>For-cause</w:t>
            </w:r>
          </w:p>
        </w:tc>
        <w:tc>
          <w:tcPr>
            <w:tcW w:type="dxa" w:w="2256"/>
          </w:tcPr>
          <w:p>
            <w:pPr>
              <w:pStyle w:val="TableContents"/>
              <w:spacing w:before="0" w:after="0" w:line="240" w:lineRule="atLeast"/>
            </w:pPr>
            <w:r>
              <w:rPr>
                <w:rFonts w:ascii="Arial" w:hAnsi="Arial" w:cs="Arial" w:eastAsia="Arial"/>
                <w:b/>
                <w:bCs/>
                <w:color w:val="0059D1"/>
                <w:sz w:val="16"/>
                <w:szCs w:val="16"/>
              </w:rPr>
              <w:t>[INSERT: list for-cause triggers, e.g. post-incident, reasonable suspicion, post-standdown]</w:t>
            </w:r>
          </w:p>
        </w:tc>
        <w:tc>
          <w:tcPr>
            <w:tcW w:type="dxa" w:w="2256"/>
          </w:tcPr>
          <w:p>
            <w:pPr>
              <w:pStyle w:val="TableContents"/>
              <w:spacing w:before="0" w:after="0" w:line="240" w:lineRule="atLeast"/>
            </w:pPr>
            <w:r>
              <w:rPr>
                <w:rFonts w:ascii="Arial" w:hAnsi="Arial" w:cs="Arial" w:eastAsia="Arial"/>
                <w:sz w:val="16"/>
                <w:szCs w:val="16"/>
              </w:rPr>
              <w:t>Individual(s) involved in trigger event</w:t>
            </w:r>
          </w:p>
        </w:tc>
        <w:tc>
          <w:tcPr>
            <w:tcW w:type="dxa" w:w="2258"/>
          </w:tcPr>
          <w:p>
            <w:pPr>
              <w:pStyle w:val="TableContents"/>
              <w:spacing w:before="0" w:after="0" w:line="240" w:lineRule="atLeast"/>
            </w:pPr>
            <w:r>
              <w:rPr>
                <w:rFonts w:ascii="Arial" w:hAnsi="Arial" w:cs="Arial" w:eastAsia="Arial"/>
                <w:sz w:val="16"/>
                <w:szCs w:val="16"/>
              </w:rPr>
              <w:t>As triggered</w:t>
            </w:r>
          </w:p>
        </w:tc>
      </w:tr>
      <w:tr>
        <w:tc>
          <w:tcPr>
            <w:tcW w:type="dxa" w:w="2256"/>
          </w:tcPr>
          <w:p>
            <w:pPr>
              <w:pStyle w:val="TableContents"/>
              <w:spacing w:before="0" w:after="0" w:line="240" w:lineRule="atLeast"/>
            </w:pPr>
            <w:r>
              <w:rPr>
                <w:rFonts w:ascii="Arial" w:hAnsi="Arial" w:cs="Arial" w:eastAsia="Arial"/>
                <w:sz w:val="16"/>
                <w:szCs w:val="16"/>
              </w:rPr>
              <w:t>Return-to-work</w:t>
            </w:r>
          </w:p>
        </w:tc>
        <w:tc>
          <w:tcPr>
            <w:tcW w:type="dxa" w:w="2256"/>
          </w:tcPr>
          <w:p>
            <w:pPr>
              <w:pStyle w:val="TableContents"/>
              <w:spacing w:before="0" w:after="0" w:line="240" w:lineRule="atLeast"/>
            </w:pPr>
            <w:r>
              <w:rPr>
                <w:rFonts w:ascii="Arial" w:hAnsi="Arial" w:cs="Arial" w:eastAsia="Arial"/>
                <w:sz w:val="16"/>
                <w:szCs w:val="16"/>
              </w:rPr>
              <w:t>Following a confirmed positive result or agreed rehabilitation programme</w:t>
            </w:r>
          </w:p>
        </w:tc>
        <w:tc>
          <w:tcPr>
            <w:tcW w:type="dxa" w:w="2256"/>
          </w:tcPr>
          <w:p>
            <w:pPr>
              <w:pStyle w:val="TableContents"/>
              <w:spacing w:before="0" w:after="0" w:line="240" w:lineRule="atLeast"/>
            </w:pPr>
            <w:r>
              <w:rPr>
                <w:rFonts w:ascii="Arial" w:hAnsi="Arial" w:cs="Arial" w:eastAsia="Arial"/>
                <w:sz w:val="16"/>
                <w:szCs w:val="16"/>
              </w:rPr>
              <w:t>Individual returning to site</w:t>
            </w:r>
          </w:p>
        </w:tc>
        <w:tc>
          <w:tcPr>
            <w:tcW w:type="dxa" w:w="2258"/>
          </w:tcPr>
          <w:p>
            <w:pPr>
              <w:pStyle w:val="TableContents"/>
              <w:spacing w:before="0" w:after="0" w:line="240" w:lineRule="atLeast"/>
            </w:pPr>
            <w:r>
              <w:rPr>
                <w:rFonts w:ascii="Arial" w:hAnsi="Arial" w:cs="Arial" w:eastAsia="Arial"/>
                <w:sz w:val="16"/>
                <w:szCs w:val="16"/>
              </w:rPr>
              <w:t>Before return to duty</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testing type]</w:t>
            </w:r>
          </w:p>
        </w:tc>
        <w:tc>
          <w:tcPr>
            <w:tcW w:type="dxa" w:w="2256"/>
          </w:tcPr>
          <w:p>
            <w:pPr>
              <w:pStyle w:val="TableContents"/>
              <w:spacing w:before="0" w:after="0" w:line="240" w:lineRule="atLeast"/>
            </w:pPr>
            <w:r>
              <w:rPr>
                <w:rFonts w:ascii="Arial" w:hAnsi="Arial" w:cs="Arial" w:eastAsia="Arial"/>
                <w:b/>
                <w:bCs/>
                <w:color w:val="0059D1"/>
                <w:sz w:val="16"/>
                <w:szCs w:val="16"/>
              </w:rPr>
              <w:t>[INSERT: trigger]</w:t>
            </w:r>
          </w:p>
        </w:tc>
        <w:tc>
          <w:tcPr>
            <w:tcW w:type="dxa" w:w="2256"/>
          </w:tcPr>
          <w:p>
            <w:pPr>
              <w:pStyle w:val="TableContents"/>
              <w:spacing w:before="0" w:after="0" w:line="240" w:lineRule="atLeast"/>
            </w:pPr>
            <w:r>
              <w:rPr>
                <w:rFonts w:ascii="Arial" w:hAnsi="Arial" w:cs="Arial" w:eastAsia="Arial"/>
                <w:b/>
                <w:bCs/>
                <w:color w:val="0059D1"/>
                <w:sz w:val="16"/>
                <w:szCs w:val="16"/>
              </w:rPr>
              <w:t>[INSERT: coverage]</w:t>
            </w:r>
          </w:p>
        </w:tc>
        <w:tc>
          <w:tcPr>
            <w:tcW w:type="dxa" w:w="2258"/>
          </w:tcPr>
          <w:p>
            <w:pPr>
              <w:pStyle w:val="TableContents"/>
              <w:spacing w:before="0" w:after="0" w:line="240" w:lineRule="atLeast"/>
            </w:pPr>
            <w:r>
              <w:rPr>
                <w:rFonts w:ascii="Arial" w:hAnsi="Arial" w:cs="Arial" w:eastAsia="Arial"/>
                <w:b/>
                <w:bCs/>
                <w:color w:val="0059D1"/>
                <w:sz w:val="16"/>
                <w:szCs w:val="16"/>
              </w:rPr>
              <w:t>[INSERT: frequency]</w:t>
            </w:r>
          </w:p>
        </w:tc>
      </w:tr>
    </w:tbl>
    <w:p>
      <w:pPr>
        <w:pStyle w:val="NormalNumberedtext"/>
      </w:pPr>
    </w:p>
    <w:p>
      <w:pPr>
        <w:pStyle w:val="NormalNumberedtext"/>
      </w:pPr>
      <w:r>
        <w:t>FFW-related incidents involving drug or alcohol impairment are reported per project requirements, refer [INSERT: Project Document Number]. Drug and alcohol fitness for work requirements for drivers are addressed in the Vehicles Procedure, refer [INSERT: Project Document Number]. Applicable legislative requirements governing drug and alcohol testing are documented in the Legal Requirements Procedure, refer [INSERT: Project Document Number].</w:t>
      </w:r>
    </w:p>
    <w:p>
      <w:pPr>
        <w:pStyle w:val="NormalNumberedtext"/>
      </w:pPr>
    </w:p>
    <w:p>
      <w:pPr>
        <w:pStyle w:val="Heading2Numbered"/>
        <w:numPr>
          <w:ilvl w:val="1"/>
          <w:numId w:val="1"/>
        </w:numPr>
      </w:pPr>
      <w:r>
        <w:rPr>
          <w:rFonts w:ascii="Arial" w:hAnsi="Arial" w:cs="Arial" w:eastAsia="Arial"/>
        </w:rPr>
        <w:t>Fatigue Management</w:t>
      </w:r>
    </w:p>
    <w:p>
      <w:pPr>
        <w:pStyle w:val="NormalNumberedtext"/>
      </w:pPr>
      <w:r>
        <w:t>This section defines working hour limits, self-reporting requirements, fatigue risk assessment for scheduling decisions, and the criteria for standing down personnel.</w:t>
      </w:r>
    </w:p>
    <w:p>
      <w:pPr>
        <w:pStyle w:val="NormalNumberedtext"/>
      </w:pPr>
      <w:r>
        <w:t>Working hour arrangements comply with applicable national law and, where national requirements are less stringent, with Good International Industry Practice. This applies particularly to physically demanding and safety-critical roles. Applicable legislative requirements are documented in the Legal Requirements Procedure, refer [INSERT: Project Document Number].</w:t>
      </w:r>
    </w:p>
    <w:p>
      <w:pPr>
        <w:pStyle w:val="NormalNumberedtext"/>
      </w:pPr>
      <w:r>
        <w:t>The following working hour limits apply to all personnel on the project:</w:t>
      </w:r>
    </w:p>
    <w:p>
      <w:pPr>
        <w:pStyle w:val="NormalNumberedtext"/>
      </w:pPr>
      <w:r>
        <w:t>Working hour limits are defined as follows:</w:t>
      </w:r>
    </w:p>
    <w:p>
      <w:pPr>
        <w:pStyle w:val="NumberedBulletL1"/>
      </w:pPr>
      <w:r>
        <w:t>Normal working hours must not exceed 12 hours per day.</w:t>
      </w:r>
    </w:p>
    <w:p>
      <w:pPr>
        <w:pStyle w:val="NumberedBulletL1"/>
      </w:pPr>
      <w:r>
        <w:t>Work beyond 12 hours, up to a maximum of 14 hours per day, requires prior written approval from a designated Contractor manager before the extended hours commence.</w:t>
      </w:r>
    </w:p>
    <w:p>
      <w:pPr>
        <w:pStyle w:val="NumberedBulletL1"/>
      </w:pPr>
      <w:r>
        <w:t>A minimum continuous 10-hour break is required between the end of one shift and the commencement of the next. Travel time is excluded from this 10-hour rest period.</w:t>
      </w:r>
    </w:p>
    <w:p>
      <w:pPr>
        <w:pStyle w:val="NumberedBulletL1"/>
      </w:pPr>
      <w:r>
        <w:rPr>
          <w:color w:val="C55A11"/>
        </w:rPr>
        <w:t>Cumulative shift limits and maximum days worked before a mandatory rest day are defined in the project roster and FIFO schedule, refer [INSERT: roster document reference].</w:t>
      </w:r>
    </w:p>
    <w:p>
      <w:pPr>
        <w:pStyle w:val="NormalNumberedtext"/>
      </w:pPr>
      <w:r>
        <w:t>Personnel are required to self-report fatigue impairment to their supervisor before commencing or continuing work. A supervisor receiving a fatigue self-report assesses the individual using the project fatigue assessment criteria and, where the criteria are met, stands the individual down from safety-critical or physically demanding duties until the required rest has been obtained. No adverse action is taken against a person who self-reports fatigue in good faith.</w:t>
      </w:r>
    </w:p>
    <w:p>
      <w:pPr>
        <w:pStyle w:val="NormalNumberedtext"/>
      </w:pPr>
      <w:r>
        <w:t>The project applies a fatigue risk assessment process to all scheduling decisions involving FIFO rosters, extended travel days, and night work. The assessment process and the acceptable fatigue risk threshold for this project are defined below:</w:t>
      </w:r>
    </w:p>
    <w:p>
      <w:pPr>
        <w:pStyle w:val="NormalNumberedtext"/>
      </w:pPr>
      <w:r>
        <w:t>Table: Fatigue Risk Assessment Thresholds and Controls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Scheduling Scenario</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Fatigue Risk Scoring Approach</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Acceptable Risk Threshold</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Controls Required Above Threshold</w:t>
            </w:r>
          </w:p>
        </w:tc>
      </w:tr>
      <w:tr>
        <w:tc>
          <w:tcPr>
            <w:tcW w:type="dxa" w:w="2256"/>
          </w:tcPr>
          <w:p>
            <w:pPr>
              <w:pStyle w:val="TableContents"/>
              <w:spacing w:before="0" w:after="0" w:line="240" w:lineRule="atLeast"/>
            </w:pPr>
            <w:r>
              <w:rPr>
                <w:rFonts w:ascii="Arial" w:hAnsi="Arial" w:cs="Arial" w:eastAsia="Arial"/>
                <w:sz w:val="16"/>
                <w:szCs w:val="16"/>
              </w:rPr>
              <w:t>FIFO roster - standard swing</w:t>
            </w:r>
          </w:p>
        </w:tc>
        <w:tc>
          <w:tcPr>
            <w:tcW w:type="dxa" w:w="2256"/>
          </w:tcPr>
          <w:p>
            <w:pPr>
              <w:pStyle w:val="TableContents"/>
              <w:spacing w:before="0" w:after="0" w:line="240" w:lineRule="atLeast"/>
            </w:pPr>
            <w:r>
              <w:rPr>
                <w:rFonts w:ascii="Arial" w:hAnsi="Arial" w:cs="Arial" w:eastAsia="Arial"/>
                <w:b/>
                <w:bCs/>
                <w:color w:val="0059D1"/>
                <w:sz w:val="16"/>
                <w:szCs w:val="16"/>
              </w:rPr>
              <w:t>[INSERT: scoring tool or method, e.g. FAID, Bio-Mathematical Model, structured checklist]</w:t>
            </w:r>
          </w:p>
        </w:tc>
        <w:tc>
          <w:tcPr>
            <w:tcW w:type="dxa" w:w="2256"/>
          </w:tcPr>
          <w:p>
            <w:pPr>
              <w:pStyle w:val="TableContents"/>
              <w:spacing w:before="0" w:after="0" w:line="240" w:lineRule="atLeast"/>
            </w:pPr>
            <w:r>
              <w:rPr>
                <w:rFonts w:ascii="Arial" w:hAnsi="Arial" w:cs="Arial" w:eastAsia="Arial"/>
                <w:b/>
                <w:bCs/>
                <w:color w:val="0059D1"/>
                <w:sz w:val="16"/>
                <w:szCs w:val="16"/>
              </w:rPr>
              <w:t>[INSERT: acceptable score or band]</w:t>
            </w:r>
          </w:p>
        </w:tc>
        <w:tc>
          <w:tcPr>
            <w:tcW w:type="dxa" w:w="2258"/>
          </w:tcPr>
          <w:p>
            <w:pPr>
              <w:pStyle w:val="TableContents"/>
              <w:spacing w:before="0" w:after="0" w:line="240" w:lineRule="atLeast"/>
            </w:pPr>
            <w:r>
              <w:rPr>
                <w:rFonts w:ascii="Arial" w:hAnsi="Arial" w:cs="Arial" w:eastAsia="Arial"/>
                <w:b/>
                <w:bCs/>
                <w:color w:val="0059D1"/>
                <w:sz w:val="16"/>
                <w:szCs w:val="16"/>
              </w:rPr>
              <w:t>[INSERT: controls, e.g. roster adjustment, additional supervision, mandatory rest day]</w:t>
            </w:r>
          </w:p>
        </w:tc>
      </w:tr>
      <w:tr>
        <w:tc>
          <w:tcPr>
            <w:tcW w:type="dxa" w:w="2256"/>
          </w:tcPr>
          <w:p>
            <w:pPr>
              <w:pStyle w:val="TableContents"/>
              <w:spacing w:before="0" w:after="0" w:line="240" w:lineRule="atLeast"/>
            </w:pPr>
            <w:r>
              <w:rPr>
                <w:rFonts w:ascii="Arial" w:hAnsi="Arial" w:cs="Arial" w:eastAsia="Arial"/>
                <w:sz w:val="16"/>
                <w:szCs w:val="16"/>
              </w:rPr>
              <w:t>Extended travel day (&gt;4 hours transit)</w:t>
            </w:r>
          </w:p>
        </w:tc>
        <w:tc>
          <w:tcPr>
            <w:tcW w:type="dxa" w:w="2256"/>
          </w:tcPr>
          <w:p>
            <w:pPr>
              <w:pStyle w:val="TableContents"/>
              <w:spacing w:before="0" w:after="0" w:line="240" w:lineRule="atLeast"/>
            </w:pPr>
            <w:r>
              <w:rPr>
                <w:rFonts w:ascii="Arial" w:hAnsi="Arial" w:cs="Arial" w:eastAsia="Arial"/>
                <w:b/>
                <w:bCs/>
                <w:color w:val="0059D1"/>
                <w:sz w:val="16"/>
                <w:szCs w:val="16"/>
              </w:rPr>
              <w:t>[INSERT: scoring approach for travel days]</w:t>
            </w:r>
          </w:p>
        </w:tc>
        <w:tc>
          <w:tcPr>
            <w:tcW w:type="dxa" w:w="2256"/>
          </w:tcPr>
          <w:p>
            <w:pPr>
              <w:pStyle w:val="TableContents"/>
              <w:spacing w:before="0" w:after="0" w:line="240" w:lineRule="atLeast"/>
            </w:pPr>
            <w:r>
              <w:rPr>
                <w:rFonts w:ascii="Arial" w:hAnsi="Arial" w:cs="Arial" w:eastAsia="Arial"/>
                <w:b/>
                <w:bCs/>
                <w:color w:val="0059D1"/>
                <w:sz w:val="16"/>
                <w:szCs w:val="16"/>
              </w:rPr>
              <w:t>[INSERT: threshold]</w:t>
            </w:r>
          </w:p>
        </w:tc>
        <w:tc>
          <w:tcPr>
            <w:tcW w:type="dxa" w:w="2258"/>
          </w:tcPr>
          <w:p>
            <w:pPr>
              <w:pStyle w:val="TableContents"/>
              <w:spacing w:before="0" w:after="0" w:line="240" w:lineRule="atLeast"/>
            </w:pPr>
            <w:r>
              <w:rPr>
                <w:rFonts w:ascii="Arial" w:hAnsi="Arial" w:cs="Arial" w:eastAsia="Arial"/>
                <w:b/>
                <w:bCs/>
                <w:color w:val="0059D1"/>
                <w:sz w:val="16"/>
                <w:szCs w:val="16"/>
              </w:rPr>
              <w:t>[INSERT: controls, e.g. delayed shift start, reduced hours on arrival day]</w:t>
            </w:r>
          </w:p>
        </w:tc>
      </w:tr>
      <w:tr>
        <w:tc>
          <w:tcPr>
            <w:tcW w:type="dxa" w:w="2256"/>
          </w:tcPr>
          <w:p>
            <w:pPr>
              <w:pStyle w:val="TableContents"/>
              <w:spacing w:before="0" w:after="0" w:line="240" w:lineRule="atLeast"/>
            </w:pPr>
            <w:r>
              <w:rPr>
                <w:rFonts w:ascii="Arial" w:hAnsi="Arial" w:cs="Arial" w:eastAsia="Arial"/>
                <w:sz w:val="16"/>
                <w:szCs w:val="16"/>
              </w:rPr>
              <w:t>Night work - first night of swing</w:t>
            </w:r>
          </w:p>
        </w:tc>
        <w:tc>
          <w:tcPr>
            <w:tcW w:type="dxa" w:w="2256"/>
          </w:tcPr>
          <w:p>
            <w:pPr>
              <w:pStyle w:val="TableContents"/>
              <w:spacing w:before="0" w:after="0" w:line="240" w:lineRule="atLeast"/>
            </w:pPr>
            <w:r>
              <w:rPr>
                <w:rFonts w:ascii="Arial" w:hAnsi="Arial" w:cs="Arial" w:eastAsia="Arial"/>
                <w:b/>
                <w:bCs/>
                <w:color w:val="0059D1"/>
                <w:sz w:val="16"/>
                <w:szCs w:val="16"/>
              </w:rPr>
              <w:t>[INSERT: scoring approach]</w:t>
            </w:r>
          </w:p>
        </w:tc>
        <w:tc>
          <w:tcPr>
            <w:tcW w:type="dxa" w:w="2256"/>
          </w:tcPr>
          <w:p>
            <w:pPr>
              <w:pStyle w:val="TableContents"/>
              <w:spacing w:before="0" w:after="0" w:line="240" w:lineRule="atLeast"/>
            </w:pPr>
            <w:r>
              <w:rPr>
                <w:rFonts w:ascii="Arial" w:hAnsi="Arial" w:cs="Arial" w:eastAsia="Arial"/>
                <w:b/>
                <w:bCs/>
                <w:color w:val="0059D1"/>
                <w:sz w:val="16"/>
                <w:szCs w:val="16"/>
              </w:rPr>
              <w:t>[INSERT: threshold]</w:t>
            </w:r>
          </w:p>
        </w:tc>
        <w:tc>
          <w:tcPr>
            <w:tcW w:type="dxa" w:w="2258"/>
          </w:tcPr>
          <w:p>
            <w:pPr>
              <w:pStyle w:val="TableContents"/>
              <w:spacing w:before="0" w:after="0" w:line="240" w:lineRule="atLeast"/>
            </w:pPr>
            <w:r>
              <w:rPr>
                <w:rFonts w:ascii="Arial" w:hAnsi="Arial" w:cs="Arial" w:eastAsia="Arial"/>
                <w:b/>
                <w:bCs/>
                <w:color w:val="0059D1"/>
                <w:sz w:val="16"/>
                <w:szCs w:val="16"/>
              </w:rPr>
              <w:t>[INSERT: controls]</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scenario]</w:t>
            </w:r>
          </w:p>
        </w:tc>
        <w:tc>
          <w:tcPr>
            <w:tcW w:type="dxa" w:w="2256"/>
          </w:tcPr>
          <w:p>
            <w:pPr>
              <w:pStyle w:val="TableContents"/>
              <w:spacing w:before="0" w:after="0" w:line="240" w:lineRule="atLeast"/>
            </w:pPr>
            <w:r>
              <w:rPr>
                <w:rFonts w:ascii="Arial" w:hAnsi="Arial" w:cs="Arial" w:eastAsia="Arial"/>
                <w:b/>
                <w:bCs/>
                <w:color w:val="0059D1"/>
                <w:sz w:val="16"/>
                <w:szCs w:val="16"/>
              </w:rPr>
              <w:t>[INSERT: approach]</w:t>
            </w:r>
          </w:p>
        </w:tc>
        <w:tc>
          <w:tcPr>
            <w:tcW w:type="dxa" w:w="2256"/>
          </w:tcPr>
          <w:p>
            <w:pPr>
              <w:pStyle w:val="TableContents"/>
              <w:spacing w:before="0" w:after="0" w:line="240" w:lineRule="atLeast"/>
            </w:pPr>
            <w:r>
              <w:rPr>
                <w:rFonts w:ascii="Arial" w:hAnsi="Arial" w:cs="Arial" w:eastAsia="Arial"/>
                <w:b/>
                <w:bCs/>
                <w:color w:val="0059D1"/>
                <w:sz w:val="16"/>
                <w:szCs w:val="16"/>
              </w:rPr>
              <w:t>[INSERT: threshold]</w:t>
            </w:r>
          </w:p>
        </w:tc>
        <w:tc>
          <w:tcPr>
            <w:tcW w:type="dxa" w:w="2258"/>
          </w:tcPr>
          <w:p>
            <w:pPr>
              <w:pStyle w:val="TableContents"/>
              <w:spacing w:before="0" w:after="0" w:line="240" w:lineRule="atLeast"/>
            </w:pPr>
            <w:r>
              <w:rPr>
                <w:rFonts w:ascii="Arial" w:hAnsi="Arial" w:cs="Arial" w:eastAsia="Arial"/>
                <w:b/>
                <w:bCs/>
                <w:color w:val="0059D1"/>
                <w:sz w:val="16"/>
                <w:szCs w:val="16"/>
              </w:rPr>
              <w:t>[INSERT: controls]</w:t>
            </w:r>
          </w:p>
        </w:tc>
      </w:tr>
    </w:tbl>
    <w:p>
      <w:pPr>
        <w:pStyle w:val="NormalNumberedtext"/>
      </w:pPr>
    </w:p>
    <w:p>
      <w:pPr>
        <w:pStyle w:val="NormalNumberedtext"/>
      </w:pPr>
      <w:r>
        <w:t>Fatigue monitoring is conducted as an ongoing supervisory responsibility throughout each shift. Supervisors apply the project fatigue indicator checklist to identify signs of impairment during work. Personnel displaying indicators of fatigue impairment are stood down from work pending rest, without prejudice, and the event is recorded in the project monitoring system. Fatigue-related incidents are reported per project requirements, refer [INSERT: Project Document Number].</w:t>
      </w:r>
    </w:p>
    <w:p>
      <w:pPr>
        <w:pStyle w:val="NormalNumberedtext"/>
      </w:pPr>
    </w:p>
    <w:p>
      <w:pPr>
        <w:pStyle w:val="Heading2Numbered"/>
        <w:numPr>
          <w:ilvl w:val="1"/>
          <w:numId w:val="1"/>
        </w:numPr>
      </w:pPr>
      <w:r>
        <w:rPr>
          <w:rFonts w:ascii="Arial" w:hAnsi="Arial" w:cs="Arial" w:eastAsia="Arial"/>
        </w:rPr>
        <w:t>Thermal Stress Management</w:t>
      </w:r>
    </w:p>
    <w:p>
      <w:pPr>
        <w:pStyle w:val="NormalNumberedtext"/>
      </w:pPr>
      <w:r>
        <w:t>This section defines heat stress risk controls, acclimatisation requirements, WBGT thresholds, work-rest schedules, and hydration testing requirements for the project.</w:t>
      </w:r>
    </w:p>
    <w:p>
      <w:pPr>
        <w:pStyle w:val="NormalNumberedtext"/>
      </w:pPr>
      <w:r>
        <w:t>Heat stress risk is identified and assessed for all outdoor work and hot process environments on the project. Engineering, administrative, and PPE controls are implemented to maintain core body temperature within safe limits. Heat stress recognition training requirements are defined in the Training Procedure, refer [INSERT: Project Document Number].</w:t>
      </w:r>
    </w:p>
    <w:p>
      <w:pPr>
        <w:pStyle w:val="NormalNumberedtext"/>
      </w:pPr>
      <w:r>
        <w:t>The project defines site-specific wet bulb globe temperature thresholds and corresponding work-rest schedules for each season. These thresholds and schedules are documented in the table below, validated by the project occupational health provider before the first high-temperature period of each year, and reviewed following any heat-related illness event:</w:t>
      </w:r>
    </w:p>
    <w:p>
      <w:pPr>
        <w:pStyle w:val="NormalNumberedtext"/>
      </w:pPr>
      <w:r>
        <w:t>Table: WBGT Thresholds and Work-Rest Schedules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WBGT Range (°C)</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Risk Level</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Work-Rest Schedule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Additional Controls Required</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Season Applicability</w:t>
            </w:r>
          </w:p>
        </w:tc>
      </w:tr>
      <w:tr>
        <w:tc>
          <w:tcPr>
            <w:tcW w:type="dxa" w:w="1805"/>
          </w:tcPr>
          <w:p>
            <w:pPr>
              <w:pStyle w:val="TableContents"/>
              <w:spacing w:before="0" w:after="0" w:line="240" w:lineRule="atLeast"/>
            </w:pPr>
            <w:r>
              <w:rPr>
                <w:rFonts w:ascii="Arial" w:hAnsi="Arial" w:cs="Arial" w:eastAsia="Arial"/>
                <w:b/>
                <w:bCs/>
                <w:color w:val="0059D1"/>
                <w:sz w:val="16"/>
                <w:szCs w:val="16"/>
              </w:rPr>
              <w:t>[INSERT: lower bound] to [INSERT: upper bound]</w:t>
            </w:r>
          </w:p>
        </w:tc>
        <w:tc>
          <w:tcPr>
            <w:tcW w:type="dxa" w:w="1805"/>
          </w:tcPr>
          <w:p>
            <w:pPr>
              <w:pStyle w:val="TableContents"/>
              <w:spacing w:before="0" w:after="0" w:line="240" w:lineRule="atLeast"/>
            </w:pPr>
            <w:r>
              <w:rPr>
                <w:rFonts w:ascii="Arial" w:hAnsi="Arial" w:cs="Arial" w:eastAsia="Arial"/>
                <w:sz w:val="16"/>
                <w:szCs w:val="16"/>
              </w:rPr>
              <w:t>Low</w:t>
            </w:r>
          </w:p>
        </w:tc>
        <w:tc>
          <w:tcPr>
            <w:tcW w:type="dxa" w:w="1805"/>
          </w:tcPr>
          <w:p>
            <w:pPr>
              <w:pStyle w:val="TableContents"/>
              <w:spacing w:before="0" w:after="0" w:line="240" w:lineRule="atLeast"/>
            </w:pPr>
            <w:r>
              <w:rPr>
                <w:rFonts w:ascii="Arial" w:hAnsi="Arial" w:cs="Arial" w:eastAsia="Arial"/>
                <w:b/>
                <w:bCs/>
                <w:color w:val="0059D1"/>
                <w:sz w:val="16"/>
                <w:szCs w:val="16"/>
              </w:rPr>
              <w:t>[INSERT: e.g. continuous work with normal hydration schedule]</w:t>
            </w:r>
          </w:p>
        </w:tc>
        <w:tc>
          <w:tcPr>
            <w:tcW w:type="dxa" w:w="1805"/>
          </w:tcPr>
          <w:p>
            <w:pPr>
              <w:pStyle w:val="TableContents"/>
              <w:spacing w:before="0" w:after="0" w:line="240" w:lineRule="atLeast"/>
            </w:pPr>
            <w:r>
              <w:rPr>
                <w:rFonts w:ascii="Arial" w:hAnsi="Arial" w:cs="Arial" w:eastAsia="Arial"/>
                <w:b/>
                <w:bCs/>
                <w:color w:val="0059D1"/>
                <w:sz w:val="16"/>
                <w:szCs w:val="16"/>
              </w:rPr>
              <w:t>[INSERT: controls]</w:t>
            </w:r>
          </w:p>
        </w:tc>
        <w:tc>
          <w:tcPr>
            <w:tcW w:type="dxa" w:w="1806"/>
          </w:tcPr>
          <w:p>
            <w:pPr>
              <w:pStyle w:val="TableContents"/>
              <w:spacing w:before="0" w:after="0" w:line="240" w:lineRule="atLeast"/>
            </w:pPr>
            <w:r>
              <w:rPr>
                <w:rFonts w:ascii="Arial" w:hAnsi="Arial" w:cs="Arial" w:eastAsia="Arial"/>
                <w:b/>
                <w:bCs/>
                <w:color w:val="0059D1"/>
                <w:sz w:val="16"/>
                <w:szCs w:val="16"/>
              </w:rPr>
              <w:t>[INSERT: season]</w:t>
            </w:r>
          </w:p>
        </w:tc>
      </w:tr>
      <w:tr>
        <w:tc>
          <w:tcPr>
            <w:tcW w:type="dxa" w:w="1805"/>
          </w:tcPr>
          <w:p>
            <w:pPr>
              <w:pStyle w:val="TableContents"/>
              <w:spacing w:before="0" w:after="0" w:line="240" w:lineRule="atLeast"/>
            </w:pPr>
            <w:r>
              <w:rPr>
                <w:rFonts w:ascii="Arial" w:hAnsi="Arial" w:cs="Arial" w:eastAsia="Arial"/>
                <w:b/>
                <w:bCs/>
                <w:color w:val="0059D1"/>
                <w:sz w:val="16"/>
                <w:szCs w:val="16"/>
              </w:rPr>
              <w:t>[INSERT: lower bound] to [INSERT: upper bound]</w:t>
            </w:r>
          </w:p>
        </w:tc>
        <w:tc>
          <w:tcPr>
            <w:tcW w:type="dxa" w:w="1805"/>
          </w:tcPr>
          <w:p>
            <w:pPr>
              <w:pStyle w:val="TableContents"/>
              <w:spacing w:before="0" w:after="0" w:line="240" w:lineRule="atLeast"/>
            </w:pPr>
            <w:r>
              <w:rPr>
                <w:rFonts w:ascii="Arial" w:hAnsi="Arial" w:cs="Arial" w:eastAsia="Arial"/>
                <w:sz w:val="16"/>
                <w:szCs w:val="16"/>
              </w:rPr>
              <w:t>Moderate</w:t>
            </w:r>
          </w:p>
        </w:tc>
        <w:tc>
          <w:tcPr>
            <w:tcW w:type="dxa" w:w="1805"/>
          </w:tcPr>
          <w:p>
            <w:pPr>
              <w:pStyle w:val="TableContents"/>
              <w:spacing w:before="0" w:after="0" w:line="240" w:lineRule="atLeast"/>
            </w:pPr>
            <w:r>
              <w:rPr>
                <w:rFonts w:ascii="Arial" w:hAnsi="Arial" w:cs="Arial" w:eastAsia="Arial"/>
                <w:b/>
                <w:bCs/>
                <w:color w:val="0059D1"/>
                <w:sz w:val="16"/>
                <w:szCs w:val="16"/>
              </w:rPr>
              <w:t>[INSERT: e.g. 45 min work / 15 min rest in shade]</w:t>
            </w:r>
          </w:p>
        </w:tc>
        <w:tc>
          <w:tcPr>
            <w:tcW w:type="dxa" w:w="1805"/>
          </w:tcPr>
          <w:p>
            <w:pPr>
              <w:pStyle w:val="TableContents"/>
              <w:spacing w:before="0" w:after="0" w:line="240" w:lineRule="atLeast"/>
            </w:pPr>
            <w:r>
              <w:rPr>
                <w:rFonts w:ascii="Arial" w:hAnsi="Arial" w:cs="Arial" w:eastAsia="Arial"/>
                <w:b/>
                <w:bCs/>
                <w:color w:val="0059D1"/>
                <w:sz w:val="16"/>
                <w:szCs w:val="16"/>
              </w:rPr>
              <w:t>[INSERT: controls]</w:t>
            </w:r>
          </w:p>
        </w:tc>
        <w:tc>
          <w:tcPr>
            <w:tcW w:type="dxa" w:w="1806"/>
          </w:tcPr>
          <w:p>
            <w:pPr>
              <w:pStyle w:val="TableContents"/>
              <w:spacing w:before="0" w:after="0" w:line="240" w:lineRule="atLeast"/>
            </w:pPr>
            <w:r>
              <w:rPr>
                <w:rFonts w:ascii="Arial" w:hAnsi="Arial" w:cs="Arial" w:eastAsia="Arial"/>
                <w:b/>
                <w:bCs/>
                <w:color w:val="0059D1"/>
                <w:sz w:val="16"/>
                <w:szCs w:val="16"/>
              </w:rPr>
              <w:t>[INSERT: season]</w:t>
            </w:r>
          </w:p>
        </w:tc>
      </w:tr>
      <w:tr>
        <w:tc>
          <w:tcPr>
            <w:tcW w:type="dxa" w:w="1805"/>
          </w:tcPr>
          <w:p>
            <w:pPr>
              <w:pStyle w:val="TableContents"/>
              <w:spacing w:before="0" w:after="0" w:line="240" w:lineRule="atLeast"/>
            </w:pPr>
            <w:r>
              <w:rPr>
                <w:rFonts w:ascii="Arial" w:hAnsi="Arial" w:cs="Arial" w:eastAsia="Arial"/>
                <w:b/>
                <w:bCs/>
                <w:color w:val="0059D1"/>
                <w:sz w:val="16"/>
                <w:szCs w:val="16"/>
              </w:rPr>
              <w:t>[INSERT: lower bound] to [INSERT: upper bound]</w:t>
            </w:r>
          </w:p>
        </w:tc>
        <w:tc>
          <w:tcPr>
            <w:tcW w:type="dxa" w:w="1805"/>
          </w:tcPr>
          <w:p>
            <w:pPr>
              <w:pStyle w:val="TableContents"/>
              <w:spacing w:before="0" w:after="0" w:line="240" w:lineRule="atLeast"/>
            </w:pPr>
            <w:r>
              <w:rPr>
                <w:rFonts w:ascii="Arial" w:hAnsi="Arial" w:cs="Arial" w:eastAsia="Arial"/>
                <w:sz w:val="16"/>
                <w:szCs w:val="16"/>
              </w:rPr>
              <w:t>High</w:t>
            </w:r>
          </w:p>
        </w:tc>
        <w:tc>
          <w:tcPr>
            <w:tcW w:type="dxa" w:w="1805"/>
          </w:tcPr>
          <w:p>
            <w:pPr>
              <w:pStyle w:val="TableContents"/>
              <w:spacing w:before="0" w:after="0" w:line="240" w:lineRule="atLeast"/>
            </w:pPr>
            <w:r>
              <w:rPr>
                <w:rFonts w:ascii="Arial" w:hAnsi="Arial" w:cs="Arial" w:eastAsia="Arial"/>
                <w:b/>
                <w:bCs/>
                <w:color w:val="0059D1"/>
                <w:sz w:val="16"/>
                <w:szCs w:val="16"/>
              </w:rPr>
              <w:t>[INSERT: e.g. 30 min work / 30 min rest in shade]</w:t>
            </w:r>
          </w:p>
        </w:tc>
        <w:tc>
          <w:tcPr>
            <w:tcW w:type="dxa" w:w="1805"/>
          </w:tcPr>
          <w:p>
            <w:pPr>
              <w:pStyle w:val="TableContents"/>
              <w:spacing w:before="0" w:after="0" w:line="240" w:lineRule="atLeast"/>
            </w:pPr>
            <w:r>
              <w:rPr>
                <w:rFonts w:ascii="Arial" w:hAnsi="Arial" w:cs="Arial" w:eastAsia="Arial"/>
                <w:b/>
                <w:bCs/>
                <w:color w:val="0059D1"/>
                <w:sz w:val="16"/>
                <w:szCs w:val="16"/>
              </w:rPr>
              <w:t>[INSERT: controls including buddy system activation]</w:t>
            </w:r>
          </w:p>
        </w:tc>
        <w:tc>
          <w:tcPr>
            <w:tcW w:type="dxa" w:w="1806"/>
          </w:tcPr>
          <w:p>
            <w:pPr>
              <w:pStyle w:val="TableContents"/>
              <w:spacing w:before="0" w:after="0" w:line="240" w:lineRule="atLeast"/>
            </w:pPr>
            <w:r>
              <w:rPr>
                <w:rFonts w:ascii="Arial" w:hAnsi="Arial" w:cs="Arial" w:eastAsia="Arial"/>
                <w:b/>
                <w:bCs/>
                <w:color w:val="0059D1"/>
                <w:sz w:val="16"/>
                <w:szCs w:val="16"/>
              </w:rPr>
              <w:t>[INSERT: season]</w:t>
            </w:r>
          </w:p>
        </w:tc>
      </w:tr>
      <w:tr>
        <w:tc>
          <w:tcPr>
            <w:tcW w:type="dxa" w:w="1805"/>
          </w:tcPr>
          <w:p>
            <w:pPr>
              <w:pStyle w:val="TableContents"/>
              <w:spacing w:before="0" w:after="0" w:line="240" w:lineRule="atLeast"/>
            </w:pPr>
            <w:r>
              <w:rPr>
                <w:rFonts w:ascii="Arial" w:hAnsi="Arial" w:cs="Arial" w:eastAsia="Arial"/>
                <w:sz w:val="16"/>
                <w:szCs w:val="16"/>
              </w:rPr>
              <w:t xml:space="preserve">Above </w:t>
            </w:r>
            <w:r>
              <w:rPr>
                <w:rFonts w:ascii="Arial" w:hAnsi="Arial" w:cs="Arial" w:eastAsia="Arial"/>
                <w:b/>
                <w:bCs/>
                <w:color w:val="0059D1"/>
                <w:sz w:val="16"/>
                <w:szCs w:val="16"/>
              </w:rPr>
              <w:t>[INSERT: threshold]</w:t>
            </w:r>
          </w:p>
        </w:tc>
        <w:tc>
          <w:tcPr>
            <w:tcW w:type="dxa" w:w="1805"/>
          </w:tcPr>
          <w:p>
            <w:pPr>
              <w:pStyle w:val="TableContents"/>
              <w:spacing w:before="0" w:after="0" w:line="240" w:lineRule="atLeast"/>
            </w:pPr>
            <w:r>
              <w:rPr>
                <w:rFonts w:ascii="Arial" w:hAnsi="Arial" w:cs="Arial" w:eastAsia="Arial"/>
                <w:sz w:val="16"/>
                <w:szCs w:val="16"/>
              </w:rPr>
              <w:t>Extreme</w:t>
            </w:r>
          </w:p>
        </w:tc>
        <w:tc>
          <w:tcPr>
            <w:tcW w:type="dxa" w:w="1805"/>
          </w:tcPr>
          <w:p>
            <w:pPr>
              <w:pStyle w:val="TableContents"/>
              <w:spacing w:before="0" w:after="0" w:line="240" w:lineRule="atLeast"/>
            </w:pPr>
            <w:r>
              <w:rPr>
                <w:rFonts w:ascii="Arial" w:hAnsi="Arial" w:cs="Arial" w:eastAsia="Arial"/>
                <w:b/>
                <w:bCs/>
                <w:color w:val="0059D1"/>
                <w:sz w:val="16"/>
                <w:szCs w:val="16"/>
              </w:rPr>
              <w:t>[INSERT: e.g. suspend outdoor work or apply engineering controls]</w:t>
            </w:r>
          </w:p>
        </w:tc>
        <w:tc>
          <w:tcPr>
            <w:tcW w:type="dxa" w:w="1805"/>
          </w:tcPr>
          <w:p>
            <w:pPr>
              <w:pStyle w:val="TableContents"/>
              <w:spacing w:before="0" w:after="0" w:line="240" w:lineRule="atLeast"/>
            </w:pPr>
            <w:r>
              <w:rPr>
                <w:rFonts w:ascii="Arial" w:hAnsi="Arial" w:cs="Arial" w:eastAsia="Arial"/>
                <w:b/>
                <w:bCs/>
                <w:color w:val="0059D1"/>
                <w:sz w:val="16"/>
                <w:szCs w:val="16"/>
              </w:rPr>
              <w:t>[INSERT: controls including mandatory supervisor approval to continue]</w:t>
            </w:r>
          </w:p>
        </w:tc>
        <w:tc>
          <w:tcPr>
            <w:tcW w:type="dxa" w:w="1806"/>
          </w:tcPr>
          <w:p>
            <w:pPr>
              <w:pStyle w:val="TableContents"/>
              <w:spacing w:before="0" w:after="0" w:line="240" w:lineRule="atLeast"/>
            </w:pPr>
            <w:r>
              <w:rPr>
                <w:rFonts w:ascii="Arial" w:hAnsi="Arial" w:cs="Arial" w:eastAsia="Arial"/>
                <w:b/>
                <w:bCs/>
                <w:color w:val="0059D1"/>
                <w:sz w:val="16"/>
                <w:szCs w:val="16"/>
              </w:rPr>
              <w:t>[INSERT: season]</w:t>
            </w:r>
          </w:p>
        </w:tc>
      </w:tr>
    </w:tbl>
    <w:p>
      <w:pPr>
        <w:pStyle w:val="NormalNumberedtext"/>
      </w:pPr>
    </w:p>
    <w:p>
      <w:pPr>
        <w:pStyle w:val="NormalNumberedtext"/>
      </w:pPr>
      <w:r>
        <w:t>All new workers and personnel returning from extended leave or illness of more than seven days complete a structured acclimatisation programme before working full shifts in hot conditions. The acclimatisation programme duration, phased exposure schedule, and assessment criteria for this project are defined below:</w:t>
      </w:r>
    </w:p>
    <w:p>
      <w:pPr>
        <w:pStyle w:val="NormalNumberedtext"/>
      </w:pPr>
      <w:r>
        <w:t>Table: Acclimatisation Programme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Personnel Category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Programme Duration (Days)</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Daily Exposure Limit</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Supervision Requirement</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Clearance Criteria</w:t>
            </w:r>
          </w:p>
        </w:tc>
      </w:tr>
      <w:tr>
        <w:tc>
          <w:tcPr>
            <w:tcW w:type="dxa" w:w="1805"/>
          </w:tcPr>
          <w:p>
            <w:pPr>
              <w:pStyle w:val="TableContents"/>
              <w:spacing w:before="0" w:after="0" w:line="240" w:lineRule="atLeast"/>
            </w:pPr>
            <w:r>
              <w:rPr>
                <w:rFonts w:ascii="Arial" w:hAnsi="Arial" w:cs="Arial" w:eastAsia="Arial"/>
                <w:sz w:val="16"/>
                <w:szCs w:val="16"/>
              </w:rPr>
              <w:t>New to site - no prior hot work experience</w:t>
            </w:r>
          </w:p>
        </w:tc>
        <w:tc>
          <w:tcPr>
            <w:tcW w:type="dxa" w:w="1805"/>
          </w:tcPr>
          <w:p>
            <w:pPr>
              <w:pStyle w:val="TableContents"/>
              <w:spacing w:before="0" w:after="0" w:line="240" w:lineRule="atLeast"/>
            </w:pPr>
            <w:r>
              <w:rPr>
                <w:rFonts w:ascii="Arial" w:hAnsi="Arial" w:cs="Arial" w:eastAsia="Arial"/>
                <w:b/>
                <w:bCs/>
                <w:color w:val="0059D1"/>
                <w:sz w:val="16"/>
                <w:szCs w:val="16"/>
              </w:rPr>
              <w:t>[INSERT: e.g. 10 days]</w:t>
            </w:r>
          </w:p>
        </w:tc>
        <w:tc>
          <w:tcPr>
            <w:tcW w:type="dxa" w:w="1805"/>
          </w:tcPr>
          <w:p>
            <w:pPr>
              <w:pStyle w:val="TableContents"/>
              <w:spacing w:before="0" w:after="0" w:line="240" w:lineRule="atLeast"/>
            </w:pPr>
            <w:r>
              <w:rPr>
                <w:rFonts w:ascii="Arial" w:hAnsi="Arial" w:cs="Arial" w:eastAsia="Arial"/>
                <w:b/>
                <w:bCs/>
                <w:color w:val="0059D1"/>
                <w:sz w:val="16"/>
                <w:szCs w:val="16"/>
              </w:rPr>
              <w:t>[INSERT: e.g. Day 1-3: 50% of shift; Day 4-7: 75%; Day 8-10: full shift]</w:t>
            </w:r>
          </w:p>
        </w:tc>
        <w:tc>
          <w:tcPr>
            <w:tcW w:type="dxa" w:w="1805"/>
          </w:tcPr>
          <w:p>
            <w:pPr>
              <w:pStyle w:val="TableContents"/>
              <w:spacing w:before="0" w:after="0" w:line="240" w:lineRule="atLeast"/>
            </w:pPr>
            <w:r>
              <w:rPr>
                <w:rFonts w:ascii="Arial" w:hAnsi="Arial" w:cs="Arial" w:eastAsia="Arial"/>
                <w:sz w:val="16"/>
                <w:szCs w:val="16"/>
              </w:rPr>
              <w:t>Buddy system for full programme duration; supervisor check-in every 2 hours</w:t>
            </w:r>
          </w:p>
        </w:tc>
        <w:tc>
          <w:tcPr>
            <w:tcW w:type="dxa" w:w="1806"/>
          </w:tcPr>
          <w:p>
            <w:pPr>
              <w:pStyle w:val="TableContents"/>
              <w:spacing w:before="0" w:after="0" w:line="240" w:lineRule="atLeast"/>
            </w:pPr>
            <w:r>
              <w:rPr>
                <w:rFonts w:ascii="Arial" w:hAnsi="Arial" w:cs="Arial" w:eastAsia="Arial"/>
                <w:b/>
                <w:bCs/>
                <w:color w:val="0059D1"/>
                <w:sz w:val="16"/>
                <w:szCs w:val="16"/>
              </w:rPr>
              <w:t>[INSERT: assessment criteria confirmed by occupational health provider]</w:t>
            </w:r>
          </w:p>
        </w:tc>
      </w:tr>
      <w:tr>
        <w:tc>
          <w:tcPr>
            <w:tcW w:type="dxa" w:w="1805"/>
          </w:tcPr>
          <w:p>
            <w:pPr>
              <w:pStyle w:val="TableContents"/>
              <w:spacing w:before="0" w:after="0" w:line="240" w:lineRule="atLeast"/>
            </w:pPr>
            <w:r>
              <w:rPr>
                <w:rFonts w:ascii="Arial" w:hAnsi="Arial" w:cs="Arial" w:eastAsia="Arial"/>
                <w:sz w:val="16"/>
                <w:szCs w:val="16"/>
              </w:rPr>
              <w:t>Returning from leave or illness - greater than 14 days absent</w:t>
            </w:r>
          </w:p>
        </w:tc>
        <w:tc>
          <w:tcPr>
            <w:tcW w:type="dxa" w:w="1805"/>
          </w:tcPr>
          <w:p>
            <w:pPr>
              <w:pStyle w:val="TableContents"/>
              <w:spacing w:before="0" w:after="0" w:line="240" w:lineRule="atLeast"/>
            </w:pPr>
            <w:r>
              <w:rPr>
                <w:rFonts w:ascii="Arial" w:hAnsi="Arial" w:cs="Arial" w:eastAsia="Arial"/>
                <w:b/>
                <w:bCs/>
                <w:color w:val="0059D1"/>
                <w:sz w:val="16"/>
                <w:szCs w:val="16"/>
              </w:rPr>
              <w:t>[INSERT: e.g. 5 days]</w:t>
            </w:r>
          </w:p>
        </w:tc>
        <w:tc>
          <w:tcPr>
            <w:tcW w:type="dxa" w:w="1805"/>
          </w:tcPr>
          <w:p>
            <w:pPr>
              <w:pStyle w:val="TableContents"/>
              <w:spacing w:before="0" w:after="0" w:line="240" w:lineRule="atLeast"/>
            </w:pPr>
            <w:r>
              <w:rPr>
                <w:rFonts w:ascii="Arial" w:hAnsi="Arial" w:cs="Arial" w:eastAsia="Arial"/>
                <w:b/>
                <w:bCs/>
                <w:color w:val="0059D1"/>
                <w:sz w:val="16"/>
                <w:szCs w:val="16"/>
              </w:rPr>
              <w:t>[INSERT: phased schedule]</w:t>
            </w:r>
          </w:p>
        </w:tc>
        <w:tc>
          <w:tcPr>
            <w:tcW w:type="dxa" w:w="1805"/>
          </w:tcPr>
          <w:p>
            <w:pPr>
              <w:pStyle w:val="TableContents"/>
              <w:spacing w:before="0" w:after="0" w:line="240" w:lineRule="atLeast"/>
            </w:pPr>
            <w:r>
              <w:rPr>
                <w:rFonts w:ascii="Arial" w:hAnsi="Arial" w:cs="Arial" w:eastAsia="Arial"/>
                <w:sz w:val="16"/>
                <w:szCs w:val="16"/>
              </w:rPr>
              <w:t>Buddy system for first 3 days</w:t>
            </w:r>
          </w:p>
        </w:tc>
        <w:tc>
          <w:tcPr>
            <w:tcW w:type="dxa" w:w="1806"/>
          </w:tcPr>
          <w:p>
            <w:pPr>
              <w:pStyle w:val="TableContents"/>
              <w:spacing w:before="0" w:after="0" w:line="240" w:lineRule="atLeast"/>
            </w:pPr>
            <w:r>
              <w:rPr>
                <w:rFonts w:ascii="Arial" w:hAnsi="Arial" w:cs="Arial" w:eastAsia="Arial"/>
                <w:b/>
                <w:bCs/>
                <w:color w:val="0059D1"/>
                <w:sz w:val="16"/>
                <w:szCs w:val="16"/>
              </w:rPr>
              <w:t>[INSERT: clearance criteria]</w:t>
            </w:r>
          </w:p>
        </w:tc>
      </w:tr>
      <w:tr>
        <w:tc>
          <w:tcPr>
            <w:tcW w:type="dxa" w:w="1805"/>
          </w:tcPr>
          <w:p>
            <w:pPr>
              <w:pStyle w:val="TableContents"/>
              <w:spacing w:before="0" w:after="0" w:line="240" w:lineRule="atLeast"/>
            </w:pPr>
            <w:r>
              <w:rPr>
                <w:rFonts w:ascii="Arial" w:hAnsi="Arial" w:cs="Arial" w:eastAsia="Arial"/>
                <w:sz w:val="16"/>
                <w:szCs w:val="16"/>
              </w:rPr>
              <w:t>Returning from illness - heat-related</w:t>
            </w:r>
          </w:p>
        </w:tc>
        <w:tc>
          <w:tcPr>
            <w:tcW w:type="dxa" w:w="1805"/>
          </w:tcPr>
          <w:p>
            <w:pPr>
              <w:pStyle w:val="TableContents"/>
              <w:spacing w:before="0" w:after="0" w:line="240" w:lineRule="atLeast"/>
            </w:pPr>
            <w:r>
              <w:rPr>
                <w:rFonts w:ascii="Arial" w:hAnsi="Arial" w:cs="Arial" w:eastAsia="Arial"/>
                <w:b/>
                <w:bCs/>
                <w:color w:val="0059D1"/>
                <w:sz w:val="16"/>
                <w:szCs w:val="16"/>
              </w:rPr>
              <w:t>[INSERT: e.g. 10 days minimum, medical clearance required]</w:t>
            </w:r>
          </w:p>
        </w:tc>
        <w:tc>
          <w:tcPr>
            <w:tcW w:type="dxa" w:w="1805"/>
          </w:tcPr>
          <w:p>
            <w:pPr>
              <w:pStyle w:val="TableContents"/>
              <w:spacing w:before="0" w:after="0" w:line="240" w:lineRule="atLeast"/>
            </w:pPr>
            <w:r>
              <w:rPr>
                <w:rFonts w:ascii="Arial" w:hAnsi="Arial" w:cs="Arial" w:eastAsia="Arial"/>
                <w:b/>
                <w:bCs/>
                <w:color w:val="0059D1"/>
                <w:sz w:val="16"/>
                <w:szCs w:val="16"/>
              </w:rPr>
              <w:t>[INSERT: phased schedule]</w:t>
            </w:r>
          </w:p>
        </w:tc>
        <w:tc>
          <w:tcPr>
            <w:tcW w:type="dxa" w:w="1805"/>
          </w:tcPr>
          <w:p>
            <w:pPr>
              <w:pStyle w:val="TableContents"/>
              <w:spacing w:before="0" w:after="0" w:line="240" w:lineRule="atLeast"/>
            </w:pPr>
            <w:r>
              <w:rPr>
                <w:rFonts w:ascii="Arial" w:hAnsi="Arial" w:cs="Arial" w:eastAsia="Arial"/>
                <w:sz w:val="16"/>
                <w:szCs w:val="16"/>
              </w:rPr>
              <w:t>Active supervision for full programme</w:t>
            </w:r>
          </w:p>
        </w:tc>
        <w:tc>
          <w:tcPr>
            <w:tcW w:type="dxa" w:w="1806"/>
          </w:tcPr>
          <w:p>
            <w:pPr>
              <w:pStyle w:val="TableContents"/>
              <w:spacing w:before="0" w:after="0" w:line="240" w:lineRule="atLeast"/>
            </w:pPr>
            <w:r>
              <w:rPr>
                <w:rFonts w:ascii="Arial" w:hAnsi="Arial" w:cs="Arial" w:eastAsia="Arial"/>
                <w:b/>
                <w:bCs/>
                <w:color w:val="0059D1"/>
                <w:sz w:val="16"/>
                <w:szCs w:val="16"/>
              </w:rPr>
              <w:t>[INSERT: medical clearance criteria]</w:t>
            </w: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category]</w:t>
            </w:r>
          </w:p>
        </w:tc>
        <w:tc>
          <w:tcPr>
            <w:tcW w:type="dxa" w:w="1805"/>
          </w:tcPr>
          <w:p>
            <w:pPr>
              <w:pStyle w:val="TableContents"/>
              <w:spacing w:before="0" w:after="0" w:line="240" w:lineRule="atLeast"/>
            </w:pPr>
            <w:r>
              <w:rPr>
                <w:rFonts w:ascii="Arial" w:hAnsi="Arial" w:cs="Arial" w:eastAsia="Arial"/>
                <w:b/>
                <w:bCs/>
                <w:color w:val="0059D1"/>
                <w:sz w:val="16"/>
                <w:szCs w:val="16"/>
              </w:rPr>
              <w:t>[INSERT: duration]</w:t>
            </w:r>
          </w:p>
        </w:tc>
        <w:tc>
          <w:tcPr>
            <w:tcW w:type="dxa" w:w="1805"/>
          </w:tcPr>
          <w:p>
            <w:pPr>
              <w:pStyle w:val="TableContents"/>
              <w:spacing w:before="0" w:after="0" w:line="240" w:lineRule="atLeast"/>
            </w:pPr>
            <w:r>
              <w:rPr>
                <w:rFonts w:ascii="Arial" w:hAnsi="Arial" w:cs="Arial" w:eastAsia="Arial"/>
                <w:b/>
                <w:bCs/>
                <w:color w:val="0059D1"/>
                <w:sz w:val="16"/>
                <w:szCs w:val="16"/>
              </w:rPr>
              <w:t>[INSERT: exposure limit]</w:t>
            </w:r>
          </w:p>
        </w:tc>
        <w:tc>
          <w:tcPr>
            <w:tcW w:type="dxa" w:w="1805"/>
          </w:tcPr>
          <w:p>
            <w:pPr>
              <w:pStyle w:val="TableContents"/>
              <w:spacing w:before="0" w:after="0" w:line="240" w:lineRule="atLeast"/>
            </w:pPr>
            <w:r>
              <w:rPr>
                <w:rFonts w:ascii="Arial" w:hAnsi="Arial" w:cs="Arial" w:eastAsia="Arial"/>
                <w:b/>
                <w:bCs/>
                <w:color w:val="0059D1"/>
                <w:sz w:val="16"/>
                <w:szCs w:val="16"/>
              </w:rPr>
              <w:t>[INSERT: supervision]</w:t>
            </w:r>
          </w:p>
        </w:tc>
        <w:tc>
          <w:tcPr>
            <w:tcW w:type="dxa" w:w="1806"/>
          </w:tcPr>
          <w:p>
            <w:pPr>
              <w:pStyle w:val="TableContents"/>
              <w:spacing w:before="0" w:after="0" w:line="240" w:lineRule="atLeast"/>
            </w:pPr>
            <w:r>
              <w:rPr>
                <w:rFonts w:ascii="Arial" w:hAnsi="Arial" w:cs="Arial" w:eastAsia="Arial"/>
                <w:b/>
                <w:bCs/>
                <w:color w:val="0059D1"/>
                <w:sz w:val="16"/>
                <w:szCs w:val="16"/>
              </w:rPr>
              <w:t>[INSERT: clearance criteria]</w:t>
            </w:r>
          </w:p>
        </w:tc>
      </w:tr>
    </w:tbl>
    <w:p>
      <w:pPr>
        <w:pStyle w:val="NormalNumberedtext"/>
      </w:pPr>
    </w:p>
    <w:p>
      <w:pPr>
        <w:pStyle w:val="NormalNumberedtext"/>
      </w:pPr>
      <w:r>
        <w:t>Active supervision and a buddy system are implemented for all personnel during the acclimatisation period. Supervisors conduct visual checks at defined intervals and personnel are instructed to report symptoms of heat stress to their buddy or supervisor immediately.</w:t>
      </w:r>
    </w:p>
    <w:p>
      <w:pPr>
        <w:pStyle w:val="NormalNumberedtext"/>
      </w:pPr>
      <w:r>
        <w:t>Hydration is monitored using Urine Specific Gravity testing conducted per Company standards. USG test results are recorded and reported to the HSESC Manager as a project leading indicator per the Monitoring Procedure, refer [INSERT: Project Document Number]. Personnel recording a USG result above the acceptable threshold are stood down from outdoor work until hydration is restored and a subsequent test confirms an acceptable result.</w:t>
      </w:r>
    </w:p>
    <w:p>
      <w:pPr>
        <w:pStyle w:val="NormalNumberedtext"/>
      </w:pPr>
    </w:p>
    <w:p>
      <w:pPr>
        <w:pStyle w:val="Heading2Numbered"/>
        <w:numPr>
          <w:ilvl w:val="1"/>
          <w:numId w:val="1"/>
        </w:numPr>
      </w:pPr>
      <w:r>
        <w:rPr>
          <w:rFonts w:ascii="Arial" w:hAnsi="Arial" w:cs="Arial" w:eastAsia="Arial"/>
        </w:rPr>
        <w:t>Return to Work and Case Management</w:t>
      </w:r>
    </w:p>
    <w:p>
      <w:pPr>
        <w:pStyle w:val="NormalNumberedtext"/>
      </w:pPr>
      <w:r>
        <w:t>This section defines the return to work process, medical clearance requirements, work modification options, case management obligations, and project owner agreement requirements.</w:t>
      </w:r>
    </w:p>
    <w:p>
      <w:pPr>
        <w:pStyle w:val="NormalNumberedtext"/>
      </w:pPr>
      <w:r>
        <w:t>The return to work process applies to all personnel returning to the project following injury or illness, regardless of whether the injury or illness was work-related. Return-to-work decisions are based on medical clearance and documented work restrictions, not on operational convenience or contractor scheduling preferences.</w:t>
      </w:r>
    </w:p>
    <w:p>
      <w:pPr>
        <w:pStyle w:val="NormalNumberedtext"/>
      </w:pPr>
      <w:r>
        <w:t>No contractor personnel return to work on the project following an injury or illness without prior agreement from the project owner representative. This requirement ensures consistency of injury classification and case management across all contractor organisations working on the project.</w:t>
      </w:r>
    </w:p>
    <w:p>
      <w:pPr>
        <w:pStyle w:val="NormalNumberedtext"/>
      </w:pPr>
      <w:r>
        <w:t>The case management process for injured personnel includes the following requirements:</w:t>
      </w:r>
    </w:p>
    <w:p>
      <w:pPr>
        <w:pStyle w:val="NormalNumberedtext"/>
      </w:pPr>
      <w:r>
        <w:t>Case management for each injured or ill person must address:</w:t>
      </w:r>
    </w:p>
    <w:p>
      <w:pPr>
        <w:pStyle w:val="NumberedBulletL1"/>
      </w:pPr>
      <w:r>
        <w:t>Medical clearance documentation from a licensed treating physician, including a statement of work restrictions or accommodations applicable at the time of return.</w:t>
      </w:r>
    </w:p>
    <w:p>
      <w:pPr>
        <w:pStyle w:val="NumberedBulletL1"/>
      </w:pPr>
      <w:r>
        <w:t>A modified duties plan that enables the injured person to return to meaningful work within their documented restrictions, developed in consultation with the treating physician and the individual.</w:t>
      </w:r>
    </w:p>
    <w:p>
      <w:pPr>
        <w:pStyle w:val="NumberedBulletL1"/>
      </w:pPr>
      <w:r>
        <w:t>Regular review of the case at defined intervals to confirm alignment with recovery progress and Company requirements, and to update the modified duties plan as restrictions change.</w:t>
      </w:r>
    </w:p>
    <w:p>
      <w:pPr>
        <w:pStyle w:val="NumberedBulletL1"/>
      </w:pPr>
      <w:r>
        <w:rPr>
          <w:color w:val="C55A11"/>
        </w:rPr>
        <w:t>Case review intervals are set at a minimum of weekly for the first four weeks of a modified duties arrangement, then fortnightly until full duties are restored, unless the treating physician specifies a different schedule.</w:t>
      </w:r>
    </w:p>
    <w:p>
      <w:pPr>
        <w:pStyle w:val="NumberedBulletL1"/>
      </w:pPr>
      <w:r>
        <w:t>Documentation of each case review, including any changes to restrictions, duties, or rehabilitation access, stored in the project case management record system.</w:t>
      </w:r>
    </w:p>
    <w:p>
      <w:pPr>
        <w:pStyle w:val="NumberedBulletL1"/>
      </w:pPr>
      <w:r>
        <w:t>Access to rehabilitation services appropriate to the nature of the injury, arranged in consultation with the occupational health provider and the individual.</w:t>
      </w:r>
    </w:p>
    <w:p>
      <w:pPr>
        <w:pStyle w:val="NormalNumberedtext"/>
      </w:pPr>
      <w:r>
        <w:t>Injured workers receive appropriate medical treatment and rehabilitation services throughout their recovery. The project demonstrates active care for injured personnel through consistent case management, regular communication with the individual, and timely access to specialist or rehabilitation services where required.</w:t>
      </w:r>
    </w:p>
    <w:p>
      <w:pPr>
        <w:pStyle w:val="NormalNumberedtext"/>
      </w:pPr>
      <w:r>
        <w:t>Return to work following a fitness for work-related incident is managed in accordance with the Incident Management Procedure, refer [INSERT: Project Document Number]. The accountable role for case management oversight is defined in the Organisational Resources Procedure, refer [INSERT: Project Document Number]. FFW requirements for drivers returning to driving duties following injury or illness are addressed in the Vehicles Procedure, refer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FFW</w:t>
            </w:r>
          </w:p>
        </w:tc>
        <w:tc>
          <w:tcPr>
            <w:tcW w:type="dxa" w:w="4889"/>
          </w:tcPr>
          <w:p>
            <w:pPr>
              <w:pStyle w:val="TableContents"/>
              <w:spacing w:before="0" w:after="0" w:line="240" w:lineRule="atLeast"/>
            </w:pPr>
            <w:r>
              <w:rPr>
                <w:rFonts w:ascii="Arial" w:hAnsi="Arial" w:cs="Arial" w:eastAsia="Arial"/>
                <w:sz w:val="16"/>
                <w:szCs w:val="16"/>
              </w:rPr>
              <w:t>Fitness for Work - the state in which a worker is physically, physiologically, and psychologically capable of performing their assigned duties without undue risk to their own health and safety or that of others.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integrated management discipline covering occupational health, workplace safety, and environmental protection obligations.</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 the broader management framework encompassing HSE together with security and community engagement obligations applicable to Rio Tinto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management system document that prescribes mandatory steps, responsibilities, and controls required to achieve a specified outcome.</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standards, frameworks, and requirements flow down to owner-led project management systems.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Requirements - the document series prefix denoting project-level HSE and safety management system controlled documents applicable to Rio Tinto owner-led projects.</w:t>
            </w:r>
          </w:p>
        </w:tc>
      </w:tr>
      <w:tr>
        <w:tc>
          <w:tcPr>
            <w:tcW w:type="dxa" w:w="4888"/>
          </w:tcPr>
          <w:p>
            <w:pPr>
              <w:pStyle w:val="TableContents"/>
              <w:spacing w:before="0" w:after="0" w:line="240" w:lineRule="atLeast"/>
            </w:pPr>
            <w:r>
              <w:rPr>
                <w:rFonts w:ascii="Arial" w:hAnsi="Arial" w:cs="Arial" w:eastAsia="Arial"/>
                <w:sz w:val="16"/>
                <w:szCs w:val="16"/>
              </w:rPr>
              <w:t>USG</w:t>
            </w:r>
          </w:p>
        </w:tc>
        <w:tc>
          <w:tcPr>
            <w:tcW w:type="dxa" w:w="4889"/>
          </w:tcPr>
          <w:p>
            <w:pPr>
              <w:pStyle w:val="TableContents"/>
              <w:spacing w:before="0" w:after="0" w:line="240" w:lineRule="atLeast"/>
            </w:pPr>
            <w:r>
              <w:rPr>
                <w:rFonts w:ascii="Arial" w:hAnsi="Arial" w:cs="Arial" w:eastAsia="Arial"/>
                <w:sz w:val="16"/>
                <w:szCs w:val="16"/>
              </w:rPr>
              <w:t>Urine Specimen Group - the categorisation applied to urine-based alcohol and drug screening samples collected as part of a fitness for work monitoring programme, used as a leading indicator of impairment risk.</w:t>
            </w:r>
          </w:p>
        </w:tc>
      </w:tr>
      <w:tr>
        <w:tc>
          <w:tcPr>
            <w:tcW w:type="dxa" w:w="4888"/>
          </w:tcPr>
          <w:p>
            <w:pPr>
              <w:pStyle w:val="TableContents"/>
              <w:spacing w:before="0" w:after="0" w:line="240" w:lineRule="atLeast"/>
            </w:pPr>
            <w:r>
              <w:rPr>
                <w:rFonts w:ascii="Arial" w:hAnsi="Arial" w:cs="Arial" w:eastAsia="Arial"/>
                <w:sz w:val="16"/>
                <w:szCs w:val="16"/>
              </w:rPr>
              <w:t>BAC</w:t>
            </w:r>
          </w:p>
        </w:tc>
        <w:tc>
          <w:tcPr>
            <w:tcW w:type="dxa" w:w="4889"/>
          </w:tcPr>
          <w:p>
            <w:pPr>
              <w:pStyle w:val="TableContents"/>
              <w:spacing w:before="0" w:after="0" w:line="240" w:lineRule="atLeast"/>
            </w:pPr>
            <w:r>
              <w:rPr>
                <w:rFonts w:ascii="Arial" w:hAnsi="Arial" w:cs="Arial" w:eastAsia="Arial"/>
                <w:sz w:val="16"/>
                <w:szCs w:val="16"/>
              </w:rPr>
              <w:t>Blood Alcohol Concentration - the measure of alcohol present in the bloodstream, expressed as a percentage, used as the primary indicator for alcohol impairment testing under a fitness for work programme.</w:t>
            </w:r>
          </w:p>
        </w:tc>
      </w:tr>
      <w:tr>
        <w:tc>
          <w:tcPr>
            <w:tcW w:type="dxa" w:w="4888"/>
          </w:tcPr>
          <w:p>
            <w:pPr>
              <w:pStyle w:val="TableContents"/>
              <w:spacing w:before="0" w:after="0" w:line="240" w:lineRule="atLeast"/>
            </w:pPr>
            <w:r>
              <w:rPr>
                <w:rFonts w:ascii="Arial" w:hAnsi="Arial" w:cs="Arial" w:eastAsia="Arial"/>
                <w:sz w:val="16"/>
                <w:szCs w:val="16"/>
              </w:rPr>
              <w:t>EAP</w:t>
            </w:r>
          </w:p>
        </w:tc>
        <w:tc>
          <w:tcPr>
            <w:tcW w:type="dxa" w:w="4889"/>
          </w:tcPr>
          <w:p>
            <w:pPr>
              <w:pStyle w:val="TableContents"/>
              <w:spacing w:before="0" w:after="0" w:line="240" w:lineRule="atLeast"/>
            </w:pPr>
            <w:r>
              <w:rPr>
                <w:rFonts w:ascii="Arial" w:hAnsi="Arial" w:cs="Arial" w:eastAsia="Arial"/>
                <w:sz w:val="16"/>
                <w:szCs w:val="16"/>
              </w:rPr>
              <w:t>Employee Assistance Programme - a confidential support service providing workers with access to counselling and referral resources for personal, psychological, or substance-related issues that may affect fitness for work.</w:t>
            </w:r>
          </w:p>
        </w:tc>
      </w:tr>
      <w:tr>
        <w:tc>
          <w:tcPr>
            <w:tcW w:type="dxa" w:w="4888"/>
          </w:tcPr>
          <w:p>
            <w:pPr>
              <w:pStyle w:val="TableContents"/>
              <w:spacing w:before="0" w:after="0" w:line="240" w:lineRule="atLeast"/>
            </w:pPr>
            <w:r>
              <w:rPr>
                <w:rFonts w:ascii="Arial" w:hAnsi="Arial" w:cs="Arial" w:eastAsia="Arial"/>
                <w:sz w:val="16"/>
                <w:szCs w:val="16"/>
              </w:rPr>
              <w:t>MRO</w:t>
            </w:r>
          </w:p>
        </w:tc>
        <w:tc>
          <w:tcPr>
            <w:tcW w:type="dxa" w:w="4889"/>
          </w:tcPr>
          <w:p>
            <w:pPr>
              <w:pStyle w:val="TableContents"/>
              <w:spacing w:before="0" w:after="0" w:line="240" w:lineRule="atLeast"/>
            </w:pPr>
            <w:r>
              <w:rPr>
                <w:rFonts w:ascii="Arial" w:hAnsi="Arial" w:cs="Arial" w:eastAsia="Arial"/>
                <w:sz w:val="16"/>
                <w:szCs w:val="16"/>
              </w:rPr>
              <w:t>Medical Review Officer - a licensed physician responsible for receiving and reviewing laboratory results from drug and alcohol testing and providing a final determination on test outcomes under a fitness for work programme.</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field of practice and associated legislative framework concerned with the prevention of work-related injury, illness, and disease.</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by workers to minimise exposure to hazards that could cause injury or illness, relevant to fitness for work where medical conditions may affect the safe use of PPE.</w:t>
            </w:r>
          </w:p>
        </w:tc>
      </w:tr>
      <w:tr>
        <w:tc>
          <w:tcPr>
            <w:tcW w:type="dxa" w:w="4888"/>
          </w:tcPr>
          <w:p>
            <w:pPr>
              <w:pStyle w:val="TableContents"/>
              <w:spacing w:before="0" w:after="0" w:line="240" w:lineRule="atLeast"/>
            </w:pPr>
            <w:r>
              <w:rPr>
                <w:rFonts w:ascii="Arial" w:hAnsi="Arial" w:cs="Arial" w:eastAsia="Arial"/>
                <w:sz w:val="16"/>
                <w:szCs w:val="16"/>
              </w:rPr>
              <w:t>SMS</w:t>
            </w:r>
          </w:p>
        </w:tc>
        <w:tc>
          <w:tcPr>
            <w:tcW w:type="dxa" w:w="4889"/>
          </w:tcPr>
          <w:p>
            <w:pPr>
              <w:pStyle w:val="TableContents"/>
              <w:spacing w:before="0" w:after="0" w:line="240" w:lineRule="atLeast"/>
            </w:pPr>
            <w:r>
              <w:rPr>
                <w:rFonts w:ascii="Arial" w:hAnsi="Arial" w:cs="Arial" w:eastAsia="Arial"/>
                <w:sz w:val="16"/>
                <w:szCs w:val="16"/>
              </w:rPr>
              <w:t>Safety Management System - the structured framework of policies, procedures, standards, and controls through which an organisation manages health and safety risks across its operations.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a process or programme, including leading and lagging indicators applied to the fitness for work programme.</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the health and safety of persons at work, as enacted in applicable jurisdictions and referenced through legal requirements applicable to fitness for work.</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Organisational Resources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Vehicles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Alcohol and Drug Standard</w:t>
            </w:r>
          </w:p>
        </w:tc>
        <w:tc>
          <w:tcPr>
            <w:tcW w:type="dxa" w:w="3259"/>
          </w:tcPr>
          <w:p>
            <w:pPr>
              <w:pStyle w:val="TableContents"/>
              <w:spacing w:before="0" w:after="0" w:line="240" w:lineRule="atLeast"/>
            </w:pPr>
            <w:r>
              <w:rPr>
                <w:rFonts w:ascii="Arial" w:hAnsi="Arial" w:cs="Arial" w:eastAsia="Arial"/>
                <w:sz w:val="16"/>
                <w:szCs w:val="16"/>
              </w:rPr>
              <w:t>RT Alcohol and Drug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Standard</w:t>
            </w:r>
          </w:p>
        </w:tc>
        <w:tc>
          <w:tcPr>
            <w:tcW w:type="dxa" w:w="3259"/>
          </w:tcPr>
          <w:p>
            <w:pPr>
              <w:pStyle w:val="TableContents"/>
              <w:spacing w:before="0" w:after="0" w:line="240" w:lineRule="atLeast"/>
            </w:pPr>
            <w:r>
              <w:rPr>
                <w:rFonts w:ascii="Arial" w:hAnsi="Arial" w:cs="Arial" w:eastAsia="Arial"/>
                <w:sz w:val="16"/>
                <w:szCs w:val="16"/>
              </w:rPr>
              <w:t>RT Health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Fatigue and Shift Work Standard</w:t>
            </w:r>
          </w:p>
        </w:tc>
        <w:tc>
          <w:tcPr>
            <w:tcW w:type="dxa" w:w="3259"/>
          </w:tcPr>
          <w:p>
            <w:pPr>
              <w:pStyle w:val="TableContents"/>
              <w:spacing w:before="0" w:after="0" w:line="240" w:lineRule="atLeast"/>
            </w:pPr>
            <w:r>
              <w:rPr>
                <w:rFonts w:ascii="Arial" w:hAnsi="Arial" w:cs="Arial" w:eastAsia="Arial"/>
                <w:sz w:val="16"/>
                <w:szCs w:val="16"/>
              </w:rPr>
              <w:t>RT Fatigue and Shift Work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Human Performance Framework</w:t>
            </w:r>
          </w:p>
        </w:tc>
        <w:tc>
          <w:tcPr>
            <w:tcW w:type="dxa" w:w="3259"/>
          </w:tcPr>
          <w:p>
            <w:pPr>
              <w:pStyle w:val="TableContents"/>
              <w:spacing w:before="0" w:after="0" w:line="240" w:lineRule="atLeast"/>
            </w:pPr>
            <w:r>
              <w:rPr>
                <w:rFonts w:ascii="Arial" w:hAnsi="Arial" w:cs="Arial" w:eastAsia="Arial"/>
                <w:sz w:val="16"/>
                <w:szCs w:val="16"/>
              </w:rPr>
              <w:t>RT Human Performance Framework</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ISO 45001 - Occupational Health and Safety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AS/NZS 4308 - Procedures for Specimen Collection and the Detection and Quantitation of Drugs of Abuse in Urine</w:t>
            </w:r>
          </w:p>
        </w:tc>
        <w:tc>
          <w:tcPr>
            <w:tcW w:type="dxa" w:w="3259"/>
          </w:tcPr>
          <w:p>
            <w:pPr>
              <w:pStyle w:val="TableContents"/>
              <w:spacing w:before="0" w:after="0" w:line="240" w:lineRule="atLeast"/>
            </w:pPr>
            <w:r>
              <w:rPr>
                <w:rFonts w:ascii="Arial" w:hAnsi="Arial" w:cs="Arial" w:eastAsia="Arial"/>
                <w:sz w:val="16"/>
                <w:szCs w:val="16"/>
              </w:rPr>
              <w:t>AS/NZS 4308:2008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 3547 - Breath Alcohol Testing Devices for Personal Use</w:t>
            </w:r>
          </w:p>
        </w:tc>
        <w:tc>
          <w:tcPr>
            <w:tcW w:type="dxa" w:w="3259"/>
          </w:tcPr>
          <w:p>
            <w:pPr>
              <w:pStyle w:val="TableContents"/>
              <w:spacing w:before="0" w:after="0" w:line="240" w:lineRule="atLeast"/>
            </w:pPr>
            <w:r>
              <w:rPr>
                <w:rFonts w:ascii="Arial" w:hAnsi="Arial" w:cs="Arial" w:eastAsia="Arial"/>
                <w:sz w:val="16"/>
                <w:szCs w:val="16"/>
              </w:rPr>
              <w:t>AS 3547:1997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§69.1</w:t>
            </w:r>
          </w:p>
        </w:tc>
        <w:tc>
          <w:tcPr>
            <w:tcW w:type="dxa" w:w="2256"/>
          </w:tcPr>
          <w:p>
            <w:pPr>
              <w:pStyle w:val="TableContents"/>
              <w:spacing w:before="0" w:after="0" w:line="240" w:lineRule="atLeast"/>
            </w:pPr>
            <w:r>
              <w:rPr>
                <w:rFonts w:ascii="Arial" w:hAnsi="Arial" w:cs="Arial" w:eastAsia="Arial"/>
                <w:sz w:val="16"/>
                <w:szCs w:val="16"/>
              </w:rPr>
              <w:t>Requires pre-placement medical assessment by a licensed physician for all personnel before mobilisation, with job-specific examinations for sensitive roles and assessments for transfers, ERT, and return to work.</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§69.2</w:t>
            </w:r>
          </w:p>
        </w:tc>
        <w:tc>
          <w:tcPr>
            <w:tcW w:type="dxa" w:w="2256"/>
          </w:tcPr>
          <w:p>
            <w:pPr>
              <w:pStyle w:val="TableContents"/>
              <w:spacing w:before="0" w:after="0" w:line="240" w:lineRule="atLeast"/>
            </w:pPr>
            <w:r>
              <w:rPr>
                <w:rFonts w:ascii="Arial" w:hAnsi="Arial" w:cs="Arial" w:eastAsia="Arial"/>
                <w:sz w:val="16"/>
                <w:szCs w:val="16"/>
              </w:rPr>
              <w:t>Requires a drug and alcohol testing programme covering defined substances, with pre-start BAC testing, confirmatory testing for non-negative screens, cut-off levels per AS4308, and a defined disciplinary process.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§69.2.0.2</w:t>
            </w:r>
          </w:p>
        </w:tc>
        <w:tc>
          <w:tcPr>
            <w:tcW w:type="dxa" w:w="2256"/>
          </w:tcPr>
          <w:p>
            <w:pPr>
              <w:pStyle w:val="TableContents"/>
              <w:spacing w:before="0" w:after="0" w:line="240" w:lineRule="atLeast"/>
            </w:pPr>
            <w:r>
              <w:rPr>
                <w:rFonts w:ascii="Arial" w:hAnsi="Arial" w:cs="Arial" w:eastAsia="Arial"/>
                <w:sz w:val="16"/>
                <w:szCs w:val="16"/>
              </w:rPr>
              <w:t>Requires all personnel to register zero BAC on an automatic test or a negative result on a passive test before starting work, using an approved testing device.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§69.2.0.4</w:t>
            </w:r>
          </w:p>
        </w:tc>
        <w:tc>
          <w:tcPr>
            <w:tcW w:type="dxa" w:w="2256"/>
          </w:tcPr>
          <w:p>
            <w:pPr>
              <w:pStyle w:val="TableContents"/>
              <w:spacing w:before="0" w:after="0" w:line="240" w:lineRule="atLeast"/>
            </w:pPr>
            <w:r>
              <w:rPr>
                <w:rFonts w:ascii="Arial" w:hAnsi="Arial" w:cs="Arial" w:eastAsia="Arial"/>
                <w:sz w:val="16"/>
                <w:szCs w:val="16"/>
              </w:rPr>
              <w:t>Requires that a non-negative drug screen is followed by confirmatory testing reviewed by trained personnel before any disciplinary or administrative action is taken.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§69.2.1</w:t>
            </w:r>
          </w:p>
        </w:tc>
        <w:tc>
          <w:tcPr>
            <w:tcW w:type="dxa" w:w="2256"/>
          </w:tcPr>
          <w:p>
            <w:pPr>
              <w:pStyle w:val="TableContents"/>
              <w:spacing w:before="0" w:after="0" w:line="240" w:lineRule="atLeast"/>
            </w:pPr>
            <w:r>
              <w:rPr>
                <w:rFonts w:ascii="Arial" w:hAnsi="Arial" w:cs="Arial" w:eastAsia="Arial"/>
                <w:sz w:val="16"/>
                <w:szCs w:val="16"/>
              </w:rPr>
              <w:t>Defines the substances covered by the drug and alcohol testing programme including alcohol, cannabis, opiates, hallucinogens, volatile substances, stimulants, and impairing medications.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§69.3</w:t>
            </w:r>
          </w:p>
        </w:tc>
        <w:tc>
          <w:tcPr>
            <w:tcW w:type="dxa" w:w="2256"/>
          </w:tcPr>
          <w:p>
            <w:pPr>
              <w:pStyle w:val="TableContents"/>
              <w:spacing w:before="0" w:after="0" w:line="240" w:lineRule="atLeast"/>
            </w:pPr>
            <w:r>
              <w:rPr>
                <w:rFonts w:ascii="Arial" w:hAnsi="Arial" w:cs="Arial" w:eastAsia="Arial"/>
                <w:sz w:val="16"/>
                <w:szCs w:val="16"/>
              </w:rPr>
              <w:t>Requires acclimatisation periods, heat stress recognition training, buddy system or active supervision, and USG hydration testing reported as a project leading indicator.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§69.4</w:t>
            </w:r>
          </w:p>
        </w:tc>
        <w:tc>
          <w:tcPr>
            <w:tcW w:type="dxa" w:w="2256"/>
          </w:tcPr>
          <w:p>
            <w:pPr>
              <w:pStyle w:val="TableContents"/>
              <w:spacing w:before="0" w:after="0" w:line="240" w:lineRule="atLeast"/>
            </w:pPr>
            <w:r>
              <w:rPr>
                <w:rFonts w:ascii="Arial" w:hAnsi="Arial" w:cs="Arial" w:eastAsia="Arial"/>
                <w:sz w:val="16"/>
                <w:szCs w:val="16"/>
              </w:rPr>
              <w:t>Defines working hour limits of 12 hours normal and 14 hours maximum with prior manager approval, a mandatory 10-hour continuous break between shifts excluding transport time, and self-reporting requirements for fatigue.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§69.4.3</w:t>
            </w:r>
          </w:p>
        </w:tc>
        <w:tc>
          <w:tcPr>
            <w:tcW w:type="dxa" w:w="2256"/>
          </w:tcPr>
          <w:p>
            <w:pPr>
              <w:pStyle w:val="TableContents"/>
              <w:spacing w:before="0" w:after="0" w:line="240" w:lineRule="atLeast"/>
            </w:pPr>
            <w:r>
              <w:rPr>
                <w:rFonts w:ascii="Arial" w:hAnsi="Arial" w:cs="Arial" w:eastAsia="Arial"/>
                <w:sz w:val="16"/>
                <w:szCs w:val="16"/>
              </w:rPr>
              <w:t>Specifies that normal working hours must not exceed 12 hours per day, work beyond 12 hours up to 14 hours requires designated Contractor manager approval, and a minimum 10-hour break is required between shifts excluding travel.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§39.9</w:t>
            </w:r>
          </w:p>
        </w:tc>
        <w:tc>
          <w:tcPr>
            <w:tcW w:type="dxa" w:w="2256"/>
          </w:tcPr>
          <w:p>
            <w:pPr>
              <w:pStyle w:val="TableContents"/>
              <w:spacing w:before="0" w:after="0" w:line="240" w:lineRule="atLeast"/>
            </w:pPr>
            <w:r>
              <w:rPr>
                <w:rFonts w:ascii="Arial" w:hAnsi="Arial" w:cs="Arial" w:eastAsia="Arial"/>
                <w:sz w:val="16"/>
                <w:szCs w:val="16"/>
              </w:rPr>
              <w:t>Requires a defined return-to-work process including medical clearance, work modification, rehabilitation access, case management, and project owner agreement before contractor personnel return following injury or illness.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§39.9.2</w:t>
            </w:r>
          </w:p>
        </w:tc>
        <w:tc>
          <w:tcPr>
            <w:tcW w:type="dxa" w:w="2256"/>
          </w:tcPr>
          <w:p>
            <w:pPr>
              <w:pStyle w:val="TableContents"/>
              <w:spacing w:before="0" w:after="0" w:line="240" w:lineRule="atLeast"/>
            </w:pPr>
            <w:r>
              <w:rPr>
                <w:rFonts w:ascii="Arial" w:hAnsi="Arial" w:cs="Arial" w:eastAsia="Arial"/>
                <w:sz w:val="16"/>
                <w:szCs w:val="16"/>
              </w:rPr>
              <w:t>Requires case management including documented work restrictions, modified duties to support return to meaningful work, and regular review aligned with Company requirements.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PS2 §24 and GN§82</w:t>
            </w:r>
          </w:p>
        </w:tc>
        <w:tc>
          <w:tcPr>
            <w:tcW w:type="dxa" w:w="2256"/>
          </w:tcPr>
          <w:p>
            <w:pPr>
              <w:pStyle w:val="TableContents"/>
              <w:spacing w:before="0" w:after="0" w:line="240" w:lineRule="atLeast"/>
            </w:pPr>
            <w:r>
              <w:rPr>
                <w:rFonts w:ascii="Arial" w:hAnsi="Arial" w:cs="Arial" w:eastAsia="Arial"/>
                <w:sz w:val="16"/>
                <w:szCs w:val="16"/>
              </w:rPr>
              <w:t>Requires health assessments appropriate to the specific risks of positions with heightened physical demands and maintenance of medical confidentiality throughout.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PS2 §23</w:t>
            </w:r>
          </w:p>
        </w:tc>
        <w:tc>
          <w:tcPr>
            <w:tcW w:type="dxa" w:w="2256"/>
          </w:tcPr>
          <w:p>
            <w:pPr>
              <w:pStyle w:val="TableContents"/>
              <w:spacing w:before="0" w:after="0" w:line="240" w:lineRule="atLeast"/>
            </w:pPr>
            <w:r>
              <w:rPr>
                <w:rFonts w:ascii="Arial" w:hAnsi="Arial" w:cs="Arial" w:eastAsia="Arial"/>
                <w:sz w:val="16"/>
                <w:szCs w:val="16"/>
              </w:rPr>
              <w:t>Requires promotion of a safe and healthy work environment and implementation of controls proportionate to identified substance use risks in the workforce and local community context.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PS2 §11</w:t>
            </w:r>
          </w:p>
        </w:tc>
        <w:tc>
          <w:tcPr>
            <w:tcW w:type="dxa" w:w="2256"/>
          </w:tcPr>
          <w:p>
            <w:pPr>
              <w:pStyle w:val="TableContents"/>
              <w:spacing w:before="0" w:after="0" w:line="240" w:lineRule="atLeast"/>
            </w:pPr>
            <w:r>
              <w:rPr>
                <w:rFonts w:ascii="Arial" w:hAnsi="Arial" w:cs="Arial" w:eastAsia="Arial"/>
                <w:sz w:val="16"/>
                <w:szCs w:val="16"/>
              </w:rPr>
              <w:t>Requires working hour arrangements to comply with applicable national law and, where more stringent, with Good International Industry Practice, particularly for physically demanding or safety-critical roles.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PS2 §24</w:t>
            </w:r>
          </w:p>
        </w:tc>
        <w:tc>
          <w:tcPr>
            <w:tcW w:type="dxa" w:w="2256"/>
          </w:tcPr>
          <w:p>
            <w:pPr>
              <w:pStyle w:val="TableContents"/>
              <w:spacing w:before="0" w:after="0" w:line="240" w:lineRule="atLeast"/>
            </w:pPr>
            <w:r>
              <w:rPr>
                <w:rFonts w:ascii="Arial" w:hAnsi="Arial" w:cs="Arial" w:eastAsia="Arial"/>
                <w:sz w:val="16"/>
                <w:szCs w:val="16"/>
              </w:rPr>
              <w:t>Requires that injured workers receive appropriate medical treatment and rehabilitation, are treated with demonstrated care, and that return-to-work decisions are based on medical clearance rather than operational convenience.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Guidelines §2.3</w:t>
            </w:r>
          </w:p>
        </w:tc>
        <w:tc>
          <w:tcPr>
            <w:tcW w:type="dxa" w:w="2256"/>
          </w:tcPr>
          <w:p>
            <w:pPr>
              <w:pStyle w:val="TableContents"/>
              <w:spacing w:before="0" w:after="0" w:line="240" w:lineRule="atLeast"/>
            </w:pPr>
            <w:r>
              <w:rPr>
                <w:rFonts w:ascii="Arial" w:hAnsi="Arial" w:cs="Arial" w:eastAsia="Arial"/>
                <w:sz w:val="16"/>
                <w:szCs w:val="16"/>
              </w:rPr>
              <w:t>Requires identification and assessment of heat stress risk for outdoor and hot process work and implementation of engineering, administrative, and PPE controls to maintain safe core body temperature.</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