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Excavation and Penetration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Excavation and Penetration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excavation work (mechanical and manual) and all penetrations through structures, floors, walls, ceilings, and ground surfaces across the owner-led project.</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excavation and penetration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Risk Assessment and Permits</w:t>
      </w:r>
    </w:p>
    <w:p>
      <w:pPr>
        <w:pStyle w:val="NormalNumberedtext"/>
      </w:pPr>
      <w:r>
        <w:t>This section defines the permit and risk assessment requirements that must be satisfied before any excavation or penetration activity commences on the project.</w:t>
      </w:r>
    </w:p>
    <w:p>
      <w:pPr>
        <w:pStyle w:val="NormalNumberedtext"/>
      </w:pPr>
    </w:p>
    <w:p>
      <w:pPr>
        <w:pStyle w:val="Heading2Numbered"/>
        <w:numPr>
          <w:ilvl w:val="1"/>
          <w:numId w:val="1"/>
        </w:numPr>
      </w:pPr>
      <w:r>
        <w:rPr>
          <w:rFonts w:ascii="Arial" w:hAnsi="Arial" w:cs="Arial" w:eastAsia="Arial"/>
        </w:rPr>
        <w:t>Permit Requirements</w:t>
      </w:r>
    </w:p>
    <w:p>
      <w:pPr>
        <w:pStyle w:val="NormalNumberedtext"/>
      </w:pPr>
      <w:r>
        <w:t>An Excavation Permit and/or Penetration Permit must be raised before all excavation and penetration activities, without exception.</w:t>
      </w:r>
    </w:p>
    <w:p>
      <w:pPr>
        <w:pStyle w:val="NormalNumberedtext"/>
      </w:pPr>
      <w:r>
        <w:t>The work supervisor raises a permit via the site PTW system before commencing work, refer [INSERT: Project Document Number]. The permit type - Excavation Permit, Penetration Permit, or both - is determined by the nature of the activity as defined in the PTW procedure.</w:t>
      </w:r>
    </w:p>
    <w:p>
      <w:pPr>
        <w:pStyle w:val="NormalNumberedtext"/>
      </w:pPr>
      <w:r>
        <w:t>Every Excavation Permit and Penetration Permit must include, at minimum, the following content:</w:t>
      </w:r>
    </w:p>
    <w:p>
      <w:pPr>
        <w:pStyle w:val="NumberedBulletL1"/>
      </w:pPr>
      <w:r>
        <w:t>Work location, including grid reference or structure reference as applicable to the site layout</w:t>
      </w:r>
    </w:p>
    <w:p>
      <w:pPr>
        <w:pStyle w:val="NumberedBulletL1"/>
      </w:pPr>
      <w:r>
        <w:t>Dimensions of the proposed excavation or penetration, including depth, length, width, and orientation</w:t>
      </w:r>
    </w:p>
    <w:p>
      <w:pPr>
        <w:pStyle w:val="NumberedBulletL1"/>
      </w:pPr>
      <w:r>
        <w:t>All identified underground or in-structure services within or adjacent to the work area</w:t>
      </w:r>
    </w:p>
    <w:p>
      <w:pPr>
        <w:pStyle w:val="NumberedBulletL1"/>
      </w:pPr>
      <w:r>
        <w:t>Edge protection requirements, including barrier type and extent</w:t>
      </w:r>
    </w:p>
    <w:p>
      <w:pPr>
        <w:pStyle w:val="NumberedBulletL1"/>
      </w:pPr>
      <w:r>
        <w:t>Shoring requirements, confirmed by a competent person prior to permit approval</w:t>
      </w:r>
    </w:p>
    <w:p>
      <w:pPr>
        <w:pStyle w:val="NumberedBulletL1"/>
      </w:pPr>
      <w:r>
        <w:t>Access and egress provisions, including the number and placement of means of access</w:t>
      </w:r>
    </w:p>
    <w:p>
      <w:pPr>
        <w:pStyle w:val="NormalNumberedtext"/>
      </w:pPr>
      <w:r>
        <w:t>The permit approver must confirm all minimum content items are documented before approving the permit. A permit that does not address all items listed above must be rejected and returned to the work supervisor for completion before work commences.</w:t>
      </w:r>
    </w:p>
    <w:p>
      <w:pPr>
        <w:pStyle w:val="NormalNumberedtext"/>
      </w:pPr>
    </w:p>
    <w:p>
      <w:pPr>
        <w:pStyle w:val="Heading2Numbered"/>
        <w:numPr>
          <w:ilvl w:val="1"/>
          <w:numId w:val="1"/>
        </w:numPr>
      </w:pPr>
      <w:r>
        <w:rPr>
          <w:rFonts w:ascii="Arial" w:hAnsi="Arial" w:cs="Arial" w:eastAsia="Arial"/>
        </w:rPr>
        <w:t>Hazard Identification and Risk Assessment</w:t>
      </w:r>
    </w:p>
    <w:p>
      <w:pPr>
        <w:pStyle w:val="NormalNumberedtext"/>
      </w:pPr>
      <w:r>
        <w:t>A hazard identification and risk assessment specific to the excavation or penetration activity is required before work commences.</w:t>
      </w:r>
    </w:p>
    <w:p>
      <w:pPr>
        <w:pStyle w:val="NormalNumberedtext"/>
      </w:pPr>
      <w:r>
        <w:t>The work supervisor ensures a task-specific risk assessment is completed before any excavation or penetration commences, using the project risk assessment process defined in the Risk Management Procedure, refer [INSERT: Project Document Number]. The risk assessment is completed by personnel with knowledge of the ground conditions, services, and adjacent activities at the work location.</w:t>
      </w:r>
    </w:p>
    <w:p>
      <w:pPr>
        <w:pStyle w:val="NormalNumberedtext"/>
      </w:pPr>
      <w:r>
        <w:t>The risk assessment must address, at minimum, the following hazard categories:</w:t>
      </w:r>
    </w:p>
    <w:p>
      <w:pPr>
        <w:pStyle w:val="NumberedBulletL1"/>
      </w:pPr>
      <w:r>
        <w:t>Slope stability and the potential for ground collapse or face failure</w:t>
      </w:r>
    </w:p>
    <w:p>
      <w:pPr>
        <w:pStyle w:val="NumberedBulletL1"/>
      </w:pPr>
      <w:r>
        <w:t>Water ingress and the risk of inundation, including from rainfall, surface run-off, and adjacent dewatering</w:t>
      </w:r>
    </w:p>
    <w:p>
      <w:pPr>
        <w:pStyle w:val="NumberedBulletL1"/>
      </w:pPr>
      <w:r>
        <w:t>Adjacent underground and in-structure services and the consequences of accidental contact</w:t>
      </w:r>
    </w:p>
    <w:p>
      <w:pPr>
        <w:pStyle w:val="NumberedBulletL1"/>
      </w:pPr>
      <w:r>
        <w:t>Construction activity interfaces, including plant movement, overhead loads, and vibration from adjacent works</w:t>
      </w:r>
    </w:p>
    <w:p>
      <w:pPr>
        <w:pStyle w:val="NormalNumberedtext"/>
      </w:pPr>
      <w:r>
        <w:t>Risk assessment outputs are recorded on the approved project risk assessment form and attached to the permit before approval. The competent person reviews the risk assessment at the start of each shift and after any change to ground conditions, weather, or adjacent activity.</w:t>
      </w:r>
    </w:p>
    <w:p>
      <w:pPr>
        <w:pStyle w:val="NormalNumberedtext"/>
      </w:pPr>
    </w:p>
    <w:p>
      <w:pPr>
        <w:pStyle w:val="Heading1Numbered"/>
        <w:numPr>
          <w:ilvl w:val="0"/>
          <w:numId w:val="1"/>
        </w:numPr>
      </w:pPr>
      <w:r>
        <w:rPr>
          <w:rFonts w:ascii="Arial" w:hAnsi="Arial" w:cs="Arial" w:eastAsia="Arial"/>
        </w:rPr>
        <w:t>Services Identification</w:t>
      </w:r>
    </w:p>
    <w:p>
      <w:pPr>
        <w:pStyle w:val="NormalNumberedtext"/>
      </w:pPr>
      <w:r>
        <w:t>This section defines the process for identifying, marking, and clearing all underground and in-structure services before excavation or penetration commences.</w:t>
      </w:r>
    </w:p>
    <w:p>
      <w:pPr>
        <w:pStyle w:val="NormalNumberedtext"/>
      </w:pPr>
    </w:p>
    <w:p>
      <w:pPr>
        <w:pStyle w:val="Heading2Numbered"/>
        <w:numPr>
          <w:ilvl w:val="1"/>
          <w:numId w:val="1"/>
        </w:numPr>
      </w:pPr>
      <w:r>
        <w:rPr>
          <w:rFonts w:ascii="Arial" w:hAnsi="Arial" w:cs="Arial" w:eastAsia="Arial"/>
        </w:rPr>
        <w:t>Services Identification and Marking</w:t>
      </w:r>
    </w:p>
    <w:p>
      <w:pPr>
        <w:pStyle w:val="NormalNumberedtext"/>
      </w:pPr>
      <w:r>
        <w:t>All underground and in-structure services must be identified and marked before excavation or penetration activity commences at any location.</w:t>
      </w:r>
    </w:p>
    <w:p>
      <w:pPr>
        <w:pStyle w:val="NormalNumberedtext"/>
      </w:pPr>
      <w:r>
        <w:t>The work supervisor ensures all underground and in-structure services within and adjacent to the work area are identified and physically marked before excavation or penetration commences. Services covered by this requirement include electrical, gas, hydraulic, telecommunications, water, and process services.</w:t>
      </w:r>
    </w:p>
    <w:p>
      <w:pPr>
        <w:pStyle w:val="NormalNumberedtext"/>
      </w:pPr>
      <w:r>
        <w:t>Services identification must use one or more of the following methods, applied in combination as required to achieve confidence in the result:</w:t>
      </w:r>
    </w:p>
    <w:p>
      <w:pPr>
        <w:pStyle w:val="NumberedBulletL1"/>
      </w:pPr>
      <w:r>
        <w:t>Utility mapping from the asset owner or infrastructure authority</w:t>
      </w:r>
    </w:p>
    <w:p>
      <w:pPr>
        <w:pStyle w:val="NumberedBulletL1"/>
      </w:pPr>
      <w:r>
        <w:t>As-built drawings reviewed and confirmed current before use</w:t>
      </w:r>
    </w:p>
    <w:p>
      <w:pPr>
        <w:pStyle w:val="NumberedBulletL1"/>
      </w:pPr>
      <w:r>
        <w:t>Ground penetrating radar (GPR) survey conducted by a competent operator</w:t>
      </w:r>
    </w:p>
    <w:p>
      <w:pPr>
        <w:pStyle w:val="NumberedBulletL1"/>
      </w:pPr>
      <w:r>
        <w:rPr>
          <w:color w:val="C55A11"/>
        </w:rPr>
        <w:t>Electromagnetic cable and pipe locators used to supplement GPR where service depth or type limits GPR effectiveness</w:t>
      </w:r>
    </w:p>
    <w:p>
      <w:pPr>
        <w:pStyle w:val="NormalNumberedtext"/>
      </w:pPr>
      <w:r>
        <w:rPr>
          <w:b/>
          <w:bCs/>
          <w:color w:val="0059D1"/>
        </w:rPr>
        <w:t>[INSERT: utility_mapping_process]</w:t>
      </w:r>
    </w:p>
    <w:p>
      <w:pPr>
        <w:pStyle w:val="NormalNumberedtext"/>
      </w:pPr>
      <w:r>
        <w:t>The competent person certifies in writing that services identification has been completed and the work area has been assessed before permit approval is granted. The certification is attached to the Excavation or Penetration Permit.</w:t>
      </w:r>
    </w:p>
    <w:p>
      <w:pPr>
        <w:pStyle w:val="NormalNumberedtext"/>
      </w:pPr>
    </w:p>
    <w:p>
      <w:pPr>
        <w:pStyle w:val="Heading2Numbered"/>
        <w:numPr>
          <w:ilvl w:val="1"/>
          <w:numId w:val="1"/>
        </w:numPr>
      </w:pPr>
      <w:r>
        <w:rPr>
          <w:rFonts w:ascii="Arial" w:hAnsi="Arial" w:cs="Arial" w:eastAsia="Arial"/>
        </w:rPr>
        <w:t>Exclusion Zones and Hand-Dig Requirements</w:t>
      </w:r>
    </w:p>
    <w:p>
      <w:pPr>
        <w:pStyle w:val="NormalNumberedtext"/>
      </w:pPr>
      <w:r>
        <w:t>Exclusion zones must be established around all identified services before excavation commences, with manual excavation required within defined proximity distances.</w:t>
      </w:r>
    </w:p>
    <w:p>
      <w:pPr>
        <w:pStyle w:val="NormalNumberedtext"/>
      </w:pPr>
      <w:r>
        <w:t>The competent person defines exclusion zones around each identified service before excavation commences. Within the exclusion zone, only hand excavation is permitted. Mechanical plant must not operate within the exclusion zone boundary.</w:t>
      </w:r>
    </w:p>
    <w:p>
      <w:pPr>
        <w:pStyle w:val="NormalNumberedtext"/>
      </w:pPr>
      <w:r>
        <w:t>Table: Hand-Dig Exclusion Zone Distances by Service Type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Service Type</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Minimum Hand-Dig Exclusion Zone Distance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Project-Specific Distance</w:t>
            </w:r>
          </w:p>
        </w:tc>
      </w:tr>
      <w:tr>
        <w:tc>
          <w:tcPr>
            <w:tcW w:type="dxa" w:w="3008"/>
          </w:tcPr>
          <w:p>
            <w:pPr>
              <w:pStyle w:val="TableContents"/>
              <w:spacing w:before="0" w:after="0" w:line="240" w:lineRule="atLeast"/>
            </w:pPr>
            <w:r>
              <w:rPr>
                <w:rFonts w:ascii="Arial" w:hAnsi="Arial" w:cs="Arial" w:eastAsia="Arial"/>
                <w:sz w:val="16"/>
                <w:szCs w:val="16"/>
              </w:rPr>
              <w:t>High-voltage electrical (above 11 kV)</w:t>
            </w:r>
          </w:p>
        </w:tc>
        <w:tc>
          <w:tcPr>
            <w:tcW w:type="dxa" w:w="3008"/>
          </w:tcPr>
          <w:p>
            <w:pPr>
              <w:pStyle w:val="TableContents"/>
              <w:spacing w:before="0" w:after="0" w:line="240" w:lineRule="atLeast"/>
            </w:pPr>
            <w:r>
              <w:rPr>
                <w:rFonts w:ascii="Arial" w:hAnsi="Arial" w:cs="Arial" w:eastAsia="Arial"/>
                <w:sz w:val="16"/>
                <w:szCs w:val="16"/>
              </w:rPr>
              <w:t>1000 mm from confirmed service location</w:t>
            </w:r>
          </w:p>
        </w:tc>
        <w:tc>
          <w:tcPr>
            <w:tcW w:type="dxa" w:w="3010"/>
          </w:tcPr>
          <w:p>
            <w:pPr>
              <w:pStyle w:val="TableContents"/>
              <w:spacing w:before="0" w:after="0" w:line="240" w:lineRule="atLeast"/>
            </w:pPr>
            <w:r>
              <w:rPr>
                <w:rFonts w:ascii="Arial" w:hAnsi="Arial" w:cs="Arial" w:eastAsia="Arial"/>
                <w:b/>
                <w:bCs/>
                <w:color w:val="0059D1"/>
                <w:sz w:val="16"/>
                <w:szCs w:val="16"/>
              </w:rPr>
              <w:t>[INSERT: project-specific distance confirmed by competent person]</w:t>
            </w:r>
          </w:p>
        </w:tc>
      </w:tr>
      <w:tr>
        <w:tc>
          <w:tcPr>
            <w:tcW w:type="dxa" w:w="3008"/>
          </w:tcPr>
          <w:p>
            <w:pPr>
              <w:pStyle w:val="TableContents"/>
              <w:spacing w:before="0" w:after="0" w:line="240" w:lineRule="atLeast"/>
            </w:pPr>
            <w:r>
              <w:rPr>
                <w:rFonts w:ascii="Arial" w:hAnsi="Arial" w:cs="Arial" w:eastAsia="Arial"/>
                <w:sz w:val="16"/>
                <w:szCs w:val="16"/>
              </w:rPr>
              <w:t>Low-voltage electrical (up to 11 kV)</w:t>
            </w:r>
          </w:p>
        </w:tc>
        <w:tc>
          <w:tcPr>
            <w:tcW w:type="dxa" w:w="3008"/>
          </w:tcPr>
          <w:p>
            <w:pPr>
              <w:pStyle w:val="TableContents"/>
              <w:spacing w:before="0" w:after="0" w:line="240" w:lineRule="atLeast"/>
            </w:pPr>
            <w:r>
              <w:rPr>
                <w:rFonts w:ascii="Arial" w:hAnsi="Arial" w:cs="Arial" w:eastAsia="Arial"/>
                <w:sz w:val="16"/>
                <w:szCs w:val="16"/>
              </w:rPr>
              <w:t>500 mm from confirmed service location</w:t>
            </w:r>
          </w:p>
        </w:tc>
        <w:tc>
          <w:tcPr>
            <w:tcW w:type="dxa" w:w="3010"/>
          </w:tcPr>
          <w:p>
            <w:pPr>
              <w:pStyle w:val="TableContents"/>
              <w:spacing w:before="0" w:after="0" w:line="240" w:lineRule="atLeast"/>
            </w:pPr>
            <w:r>
              <w:rPr>
                <w:rFonts w:ascii="Arial" w:hAnsi="Arial" w:cs="Arial" w:eastAsia="Arial"/>
                <w:b/>
                <w:bCs/>
                <w:color w:val="0059D1"/>
                <w:sz w:val="16"/>
                <w:szCs w:val="16"/>
              </w:rPr>
              <w:t>[INSERT: project-specific distance confirmed by competent person]</w:t>
            </w:r>
          </w:p>
        </w:tc>
      </w:tr>
      <w:tr>
        <w:tc>
          <w:tcPr>
            <w:tcW w:type="dxa" w:w="3008"/>
          </w:tcPr>
          <w:p>
            <w:pPr>
              <w:pStyle w:val="TableContents"/>
              <w:spacing w:before="0" w:after="0" w:line="240" w:lineRule="atLeast"/>
            </w:pPr>
            <w:r>
              <w:rPr>
                <w:rFonts w:ascii="Arial" w:hAnsi="Arial" w:cs="Arial" w:eastAsia="Arial"/>
                <w:sz w:val="16"/>
                <w:szCs w:val="16"/>
              </w:rPr>
              <w:t>Gas (high pressure)</w:t>
            </w:r>
          </w:p>
        </w:tc>
        <w:tc>
          <w:tcPr>
            <w:tcW w:type="dxa" w:w="3008"/>
          </w:tcPr>
          <w:p>
            <w:pPr>
              <w:pStyle w:val="TableContents"/>
              <w:spacing w:before="0" w:after="0" w:line="240" w:lineRule="atLeast"/>
            </w:pPr>
            <w:r>
              <w:rPr>
                <w:rFonts w:ascii="Arial" w:hAnsi="Arial" w:cs="Arial" w:eastAsia="Arial"/>
                <w:sz w:val="16"/>
                <w:szCs w:val="16"/>
              </w:rPr>
              <w:t>1000 mm from confirmed service location</w:t>
            </w:r>
          </w:p>
        </w:tc>
        <w:tc>
          <w:tcPr>
            <w:tcW w:type="dxa" w:w="3010"/>
          </w:tcPr>
          <w:p>
            <w:pPr>
              <w:pStyle w:val="TableContents"/>
              <w:spacing w:before="0" w:after="0" w:line="240" w:lineRule="atLeast"/>
            </w:pPr>
            <w:r>
              <w:rPr>
                <w:rFonts w:ascii="Arial" w:hAnsi="Arial" w:cs="Arial" w:eastAsia="Arial"/>
                <w:b/>
                <w:bCs/>
                <w:color w:val="0059D1"/>
                <w:sz w:val="16"/>
                <w:szCs w:val="16"/>
              </w:rPr>
              <w:t>[INSERT: project-specific distance confirmed by competent person]</w:t>
            </w:r>
          </w:p>
        </w:tc>
      </w:tr>
      <w:tr>
        <w:tc>
          <w:tcPr>
            <w:tcW w:type="dxa" w:w="3008"/>
          </w:tcPr>
          <w:p>
            <w:pPr>
              <w:pStyle w:val="TableContents"/>
              <w:spacing w:before="0" w:after="0" w:line="240" w:lineRule="atLeast"/>
            </w:pPr>
            <w:r>
              <w:rPr>
                <w:rFonts w:ascii="Arial" w:hAnsi="Arial" w:cs="Arial" w:eastAsia="Arial"/>
                <w:sz w:val="16"/>
                <w:szCs w:val="16"/>
              </w:rPr>
              <w:t>Gas (low pressure)</w:t>
            </w:r>
          </w:p>
        </w:tc>
        <w:tc>
          <w:tcPr>
            <w:tcW w:type="dxa" w:w="3008"/>
          </w:tcPr>
          <w:p>
            <w:pPr>
              <w:pStyle w:val="TableContents"/>
              <w:spacing w:before="0" w:after="0" w:line="240" w:lineRule="atLeast"/>
            </w:pPr>
            <w:r>
              <w:rPr>
                <w:rFonts w:ascii="Arial" w:hAnsi="Arial" w:cs="Arial" w:eastAsia="Arial"/>
                <w:sz w:val="16"/>
                <w:szCs w:val="16"/>
              </w:rPr>
              <w:t>500 mm from confirmed service location</w:t>
            </w:r>
          </w:p>
        </w:tc>
        <w:tc>
          <w:tcPr>
            <w:tcW w:type="dxa" w:w="3010"/>
          </w:tcPr>
          <w:p>
            <w:pPr>
              <w:pStyle w:val="TableContents"/>
              <w:spacing w:before="0" w:after="0" w:line="240" w:lineRule="atLeast"/>
            </w:pPr>
            <w:r>
              <w:rPr>
                <w:rFonts w:ascii="Arial" w:hAnsi="Arial" w:cs="Arial" w:eastAsia="Arial"/>
                <w:b/>
                <w:bCs/>
                <w:color w:val="0059D1"/>
                <w:sz w:val="16"/>
                <w:szCs w:val="16"/>
              </w:rPr>
              <w:t>[INSERT: project-specific distance confirmed by competent person]</w:t>
            </w:r>
          </w:p>
        </w:tc>
      </w:tr>
      <w:tr>
        <w:tc>
          <w:tcPr>
            <w:tcW w:type="dxa" w:w="3008"/>
          </w:tcPr>
          <w:p>
            <w:pPr>
              <w:pStyle w:val="TableContents"/>
              <w:spacing w:before="0" w:after="0" w:line="240" w:lineRule="atLeast"/>
            </w:pPr>
            <w:r>
              <w:rPr>
                <w:rFonts w:ascii="Arial" w:hAnsi="Arial" w:cs="Arial" w:eastAsia="Arial"/>
                <w:sz w:val="16"/>
                <w:szCs w:val="16"/>
              </w:rPr>
              <w:t>Telecommunications and data</w:t>
            </w:r>
          </w:p>
        </w:tc>
        <w:tc>
          <w:tcPr>
            <w:tcW w:type="dxa" w:w="3008"/>
          </w:tcPr>
          <w:p>
            <w:pPr>
              <w:pStyle w:val="TableContents"/>
              <w:spacing w:before="0" w:after="0" w:line="240" w:lineRule="atLeast"/>
            </w:pPr>
            <w:r>
              <w:rPr>
                <w:rFonts w:ascii="Arial" w:hAnsi="Arial" w:cs="Arial" w:eastAsia="Arial"/>
                <w:sz w:val="16"/>
                <w:szCs w:val="16"/>
              </w:rPr>
              <w:t>300 mm from confirmed service location</w:t>
            </w:r>
          </w:p>
        </w:tc>
        <w:tc>
          <w:tcPr>
            <w:tcW w:type="dxa" w:w="3010"/>
          </w:tcPr>
          <w:p>
            <w:pPr>
              <w:pStyle w:val="TableContents"/>
              <w:spacing w:before="0" w:after="0" w:line="240" w:lineRule="atLeast"/>
            </w:pPr>
            <w:r>
              <w:rPr>
                <w:rFonts w:ascii="Arial" w:hAnsi="Arial" w:cs="Arial" w:eastAsia="Arial"/>
                <w:b/>
                <w:bCs/>
                <w:color w:val="0059D1"/>
                <w:sz w:val="16"/>
                <w:szCs w:val="16"/>
              </w:rPr>
              <w:t>[INSERT: project-specific distance confirmed by competent person]</w:t>
            </w:r>
          </w:p>
        </w:tc>
      </w:tr>
      <w:tr>
        <w:tc>
          <w:tcPr>
            <w:tcW w:type="dxa" w:w="3008"/>
          </w:tcPr>
          <w:p>
            <w:pPr>
              <w:pStyle w:val="TableContents"/>
              <w:spacing w:before="0" w:after="0" w:line="240" w:lineRule="atLeast"/>
            </w:pPr>
            <w:r>
              <w:rPr>
                <w:rFonts w:ascii="Arial" w:hAnsi="Arial" w:cs="Arial" w:eastAsia="Arial"/>
                <w:sz w:val="16"/>
                <w:szCs w:val="16"/>
              </w:rPr>
              <w:t>Water and hydraulic</w:t>
            </w:r>
          </w:p>
        </w:tc>
        <w:tc>
          <w:tcPr>
            <w:tcW w:type="dxa" w:w="3008"/>
          </w:tcPr>
          <w:p>
            <w:pPr>
              <w:pStyle w:val="TableContents"/>
              <w:spacing w:before="0" w:after="0" w:line="240" w:lineRule="atLeast"/>
            </w:pPr>
            <w:r>
              <w:rPr>
                <w:rFonts w:ascii="Arial" w:hAnsi="Arial" w:cs="Arial" w:eastAsia="Arial"/>
                <w:sz w:val="16"/>
                <w:szCs w:val="16"/>
              </w:rPr>
              <w:t>500 mm from confirmed service location</w:t>
            </w:r>
          </w:p>
        </w:tc>
        <w:tc>
          <w:tcPr>
            <w:tcW w:type="dxa" w:w="3010"/>
          </w:tcPr>
          <w:p>
            <w:pPr>
              <w:pStyle w:val="TableContents"/>
              <w:spacing w:before="0" w:after="0" w:line="240" w:lineRule="atLeast"/>
            </w:pPr>
            <w:r>
              <w:rPr>
                <w:rFonts w:ascii="Arial" w:hAnsi="Arial" w:cs="Arial" w:eastAsia="Arial"/>
                <w:b/>
                <w:bCs/>
                <w:color w:val="0059D1"/>
                <w:sz w:val="16"/>
                <w:szCs w:val="16"/>
              </w:rPr>
              <w:t>[INSERT: project-specific distance confirmed by competent person]</w:t>
            </w:r>
          </w:p>
        </w:tc>
      </w:tr>
      <w:tr>
        <w:tc>
          <w:tcPr>
            <w:tcW w:type="dxa" w:w="3008"/>
          </w:tcPr>
          <w:p>
            <w:pPr>
              <w:pStyle w:val="TableContents"/>
              <w:spacing w:before="0" w:after="0" w:line="240" w:lineRule="atLeast"/>
            </w:pPr>
            <w:r>
              <w:rPr>
                <w:rFonts w:ascii="Arial" w:hAnsi="Arial" w:cs="Arial" w:eastAsia="Arial"/>
                <w:sz w:val="16"/>
                <w:szCs w:val="16"/>
              </w:rPr>
              <w:t>insert</w:t>
            </w:r>
          </w:p>
        </w:tc>
        <w:tc>
          <w:tcPr>
            <w:tcW w:type="dxa" w:w="3008"/>
          </w:tcPr>
          <w:p>
            <w:pPr>
              <w:pStyle w:val="TableContents"/>
              <w:spacing w:before="0" w:after="0" w:line="240" w:lineRule="atLeast"/>
            </w:pPr>
            <w:r>
              <w:rPr>
                <w:rFonts w:ascii="Arial" w:hAnsi="Arial" w:cs="Arial" w:eastAsia="Arial"/>
                <w:sz w:val="16"/>
                <w:szCs w:val="16"/>
              </w:rPr>
              <w:t>field</w:t>
            </w:r>
          </w:p>
        </w:tc>
        <w:tc>
          <w:tcPr>
            <w:tcW w:type="dxa" w:w="3010"/>
          </w:tcPr>
          <w:p>
            <w:pPr>
              <w:pStyle w:val="TableContents"/>
              <w:spacing w:before="0" w:after="0" w:line="240" w:lineRule="atLeast"/>
            </w:pPr>
            <w:r>
              <w:rPr>
                <w:rFonts w:ascii="Arial" w:hAnsi="Arial" w:cs="Arial" w:eastAsia="Arial"/>
                <w:sz w:val="16"/>
                <w:szCs w:val="16"/>
              </w:rPr>
              <w:t>hint</w:t>
            </w:r>
          </w:p>
        </w:tc>
      </w:tr>
    </w:tbl>
    <w:p>
      <w:pPr>
        <w:pStyle w:val="NormalNumberedtext"/>
      </w:pPr>
    </w:p>
    <w:p>
      <w:pPr>
        <w:pStyle w:val="NormalNumberedtext"/>
      </w:pPr>
      <w:r>
        <w:t>Where a service cannot be confirmed as clear before mechanical excavation commences, the competent person applies the exclusion zone for the highest-consequence service type until the service is positively identified. Isolation of services before excavation commences is governed by the Isolation Procedure, refer [INSERT: Project Document Number].</w:t>
      </w:r>
    </w:p>
    <w:p>
      <w:pPr>
        <w:pStyle w:val="NormalNumberedtext"/>
      </w:pPr>
    </w:p>
    <w:p>
      <w:pPr>
        <w:pStyle w:val="Heading1Numbered"/>
        <w:numPr>
          <w:ilvl w:val="0"/>
          <w:numId w:val="1"/>
        </w:numPr>
      </w:pPr>
      <w:r>
        <w:rPr>
          <w:rFonts w:ascii="Arial" w:hAnsi="Arial" w:cs="Arial" w:eastAsia="Arial"/>
        </w:rPr>
        <w:t>Excavation Stability and Edge Protection</w:t>
      </w:r>
    </w:p>
    <w:p>
      <w:pPr>
        <w:pStyle w:val="NormalNumberedtext"/>
      </w:pPr>
      <w:r>
        <w:t>This section defines slope, benching, and shoring requirements for unsupported excavations and edge protection requirements for all open excavations with fall potential.</w:t>
      </w:r>
    </w:p>
    <w:p>
      <w:pPr>
        <w:pStyle w:val="NormalNumberedtext"/>
      </w:pPr>
    </w:p>
    <w:p>
      <w:pPr>
        <w:pStyle w:val="Heading2Numbered"/>
        <w:numPr>
          <w:ilvl w:val="1"/>
          <w:numId w:val="1"/>
        </w:numPr>
      </w:pPr>
      <w:r>
        <w:rPr>
          <w:rFonts w:ascii="Arial" w:hAnsi="Arial" w:cs="Arial" w:eastAsia="Arial"/>
        </w:rPr>
        <w:t>Slope, Benching and Shoring</w:t>
      </w:r>
    </w:p>
    <w:p>
      <w:pPr>
        <w:pStyle w:val="NormalNumberedtext"/>
      </w:pPr>
      <w:r>
        <w:t>Slope and benching requirements for unsupported excavations and shoring requirements beyond defined depths must be determined by a competent person based on soil type.</w:t>
      </w:r>
    </w:p>
    <w:p>
      <w:pPr>
        <w:pStyle w:val="NormalNumberedtext"/>
      </w:pPr>
      <w:r>
        <w:t>The competent person assesses soil type and ground conditions before excavation commences and determines the maximum allowable slope angle for unsupported excavations. Where soil conditions, depth, or adjacent loading do not permit a stable unsupported slope, shoring, trench boxes, or other engineered ground support must be installed before personnel enter the excavation.</w:t>
      </w:r>
    </w:p>
    <w:p>
      <w:pPr>
        <w:pStyle w:val="NormalNumberedtext"/>
      </w:pPr>
      <w:r>
        <w:t>Table: Maximum Unsupported Slope Angles by Soil Type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Soil Type</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Maximum Unsupported Slope Angle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Notes</w:t>
            </w:r>
          </w:p>
        </w:tc>
      </w:tr>
      <w:tr>
        <w:tc>
          <w:tcPr>
            <w:tcW w:type="dxa" w:w="3008"/>
          </w:tcPr>
          <w:p>
            <w:pPr>
              <w:pStyle w:val="TableContents"/>
              <w:spacing w:before="0" w:after="0" w:line="240" w:lineRule="atLeast"/>
            </w:pPr>
            <w:r>
              <w:rPr>
                <w:rFonts w:ascii="Arial" w:hAnsi="Arial" w:cs="Arial" w:eastAsia="Arial"/>
                <w:sz w:val="16"/>
                <w:szCs w:val="16"/>
              </w:rPr>
              <w:t>Type A (Cohesive, unconfined compressive strength ≥ 144 kPa)</w:t>
            </w:r>
          </w:p>
        </w:tc>
        <w:tc>
          <w:tcPr>
            <w:tcW w:type="dxa" w:w="3008"/>
          </w:tcPr>
          <w:p>
            <w:pPr>
              <w:pStyle w:val="TableContents"/>
              <w:spacing w:before="0" w:after="0" w:line="240" w:lineRule="atLeast"/>
            </w:pPr>
            <w:r>
              <w:rPr>
                <w:rFonts w:ascii="Arial" w:hAnsi="Arial" w:cs="Arial" w:eastAsia="Arial"/>
                <w:sz w:val="16"/>
                <w:szCs w:val="16"/>
              </w:rPr>
              <w:t>53 degrees from horizontal (3H:4V)</w:t>
            </w:r>
          </w:p>
        </w:tc>
        <w:tc>
          <w:tcPr>
            <w:tcW w:type="dxa" w:w="3010"/>
          </w:tcPr>
          <w:p>
            <w:pPr>
              <w:pStyle w:val="TableContents"/>
              <w:spacing w:before="0" w:after="0" w:line="240" w:lineRule="atLeast"/>
            </w:pPr>
            <w:r>
              <w:rPr>
                <w:rFonts w:ascii="Arial" w:hAnsi="Arial" w:cs="Arial" w:eastAsia="Arial"/>
                <w:sz w:val="16"/>
                <w:szCs w:val="16"/>
              </w:rPr>
              <w:t>Confirmed by competent person before excavation commences</w:t>
            </w:r>
          </w:p>
        </w:tc>
      </w:tr>
      <w:tr>
        <w:tc>
          <w:tcPr>
            <w:tcW w:type="dxa" w:w="3008"/>
          </w:tcPr>
          <w:p>
            <w:pPr>
              <w:pStyle w:val="TableContents"/>
              <w:spacing w:before="0" w:after="0" w:line="240" w:lineRule="atLeast"/>
            </w:pPr>
            <w:r>
              <w:rPr>
                <w:rFonts w:ascii="Arial" w:hAnsi="Arial" w:cs="Arial" w:eastAsia="Arial"/>
                <w:sz w:val="16"/>
                <w:szCs w:val="16"/>
              </w:rPr>
              <w:t>Type B (Cohesive, unconfined compressive strength 48-144 kPa)</w:t>
            </w:r>
          </w:p>
        </w:tc>
        <w:tc>
          <w:tcPr>
            <w:tcW w:type="dxa" w:w="3008"/>
          </w:tcPr>
          <w:p>
            <w:pPr>
              <w:pStyle w:val="TableContents"/>
              <w:spacing w:before="0" w:after="0" w:line="240" w:lineRule="atLeast"/>
            </w:pPr>
            <w:r>
              <w:rPr>
                <w:rFonts w:ascii="Arial" w:hAnsi="Arial" w:cs="Arial" w:eastAsia="Arial"/>
                <w:sz w:val="16"/>
                <w:szCs w:val="16"/>
              </w:rPr>
              <w:t>45 degrees from horizontal (1H:1V)</w:t>
            </w:r>
          </w:p>
        </w:tc>
        <w:tc>
          <w:tcPr>
            <w:tcW w:type="dxa" w:w="3010"/>
          </w:tcPr>
          <w:p>
            <w:pPr>
              <w:pStyle w:val="TableContents"/>
              <w:spacing w:before="0" w:after="0" w:line="240" w:lineRule="atLeast"/>
            </w:pPr>
            <w:r>
              <w:rPr>
                <w:rFonts w:ascii="Arial" w:hAnsi="Arial" w:cs="Arial" w:eastAsia="Arial"/>
                <w:sz w:val="16"/>
                <w:szCs w:val="16"/>
              </w:rPr>
              <w:t>Confirmed by competent person before excavation commences</w:t>
            </w:r>
          </w:p>
        </w:tc>
      </w:tr>
      <w:tr>
        <w:tc>
          <w:tcPr>
            <w:tcW w:type="dxa" w:w="3008"/>
          </w:tcPr>
          <w:p>
            <w:pPr>
              <w:pStyle w:val="TableContents"/>
              <w:spacing w:before="0" w:after="0" w:line="240" w:lineRule="atLeast"/>
            </w:pPr>
            <w:r>
              <w:rPr>
                <w:rFonts w:ascii="Arial" w:hAnsi="Arial" w:cs="Arial" w:eastAsia="Arial"/>
                <w:sz w:val="16"/>
                <w:szCs w:val="16"/>
              </w:rPr>
              <w:t>Type C (Granular or unconfined compressive strength &lt; 48 kPa)</w:t>
            </w:r>
          </w:p>
        </w:tc>
        <w:tc>
          <w:tcPr>
            <w:tcW w:type="dxa" w:w="3008"/>
          </w:tcPr>
          <w:p>
            <w:pPr>
              <w:pStyle w:val="TableContents"/>
              <w:spacing w:before="0" w:after="0" w:line="240" w:lineRule="atLeast"/>
            </w:pPr>
            <w:r>
              <w:rPr>
                <w:rFonts w:ascii="Arial" w:hAnsi="Arial" w:cs="Arial" w:eastAsia="Arial"/>
                <w:sz w:val="16"/>
                <w:szCs w:val="16"/>
              </w:rPr>
              <w:t>34 degrees from horizontal (3H:2V)</w:t>
            </w:r>
          </w:p>
        </w:tc>
        <w:tc>
          <w:tcPr>
            <w:tcW w:type="dxa" w:w="3010"/>
          </w:tcPr>
          <w:p>
            <w:pPr>
              <w:pStyle w:val="TableContents"/>
              <w:spacing w:before="0" w:after="0" w:line="240" w:lineRule="atLeast"/>
            </w:pPr>
            <w:r>
              <w:rPr>
                <w:rFonts w:ascii="Arial" w:hAnsi="Arial" w:cs="Arial" w:eastAsia="Arial"/>
                <w:sz w:val="16"/>
                <w:szCs w:val="16"/>
              </w:rPr>
              <w:t>Shoring required if depth exceeds project threshold - refer below</w:t>
            </w:r>
          </w:p>
        </w:tc>
      </w:tr>
      <w:tr>
        <w:tc>
          <w:tcPr>
            <w:tcW w:type="dxa" w:w="3008"/>
          </w:tcPr>
          <w:p>
            <w:pPr>
              <w:pStyle w:val="TableContents"/>
              <w:spacing w:before="0" w:after="0" w:line="240" w:lineRule="atLeast"/>
            </w:pPr>
            <w:r>
              <w:rPr>
                <w:rFonts w:ascii="Arial" w:hAnsi="Arial" w:cs="Arial" w:eastAsia="Arial"/>
                <w:sz w:val="16"/>
                <w:szCs w:val="16"/>
              </w:rPr>
              <w:t>{'insert': True, 'field': 'site_soil_type', 'hint': 'Insert soil type classification confirmed by geotechnical assessment for this project location.'}</w:t>
            </w:r>
          </w:p>
        </w:tc>
        <w:tc>
          <w:tcPr>
            <w:tcW w:type="dxa" w:w="3008"/>
          </w:tcPr>
          <w:p>
            <w:pPr>
              <w:pStyle w:val="TableContents"/>
              <w:spacing w:before="0" w:after="0" w:line="240" w:lineRule="atLeast"/>
            </w:pPr>
            <w:r>
              <w:rPr>
                <w:rFonts w:ascii="Arial" w:hAnsi="Arial" w:cs="Arial" w:eastAsia="Arial"/>
                <w:b/>
                <w:bCs/>
                <w:color w:val="0059D1"/>
                <w:sz w:val="16"/>
                <w:szCs w:val="16"/>
              </w:rPr>
              <w:t>[INSERT: slope angle]</w:t>
            </w:r>
          </w:p>
        </w:tc>
        <w:tc>
          <w:tcPr>
            <w:tcW w:type="dxa" w:w="3010"/>
          </w:tcPr>
          <w:p>
            <w:pPr>
              <w:pStyle w:val="TableContents"/>
              <w:spacing w:before="0" w:after="0" w:line="240" w:lineRule="atLeast"/>
            </w:pPr>
            <w:r>
              <w:rPr>
                <w:rFonts w:ascii="Arial" w:hAnsi="Arial" w:cs="Arial" w:eastAsia="Arial"/>
                <w:b/>
                <w:bCs/>
                <w:color w:val="0059D1"/>
                <w:sz w:val="16"/>
                <w:szCs w:val="16"/>
              </w:rPr>
              <w:t>[INSERT: notes]</w:t>
            </w:r>
          </w:p>
        </w:tc>
      </w:tr>
    </w:tbl>
    <w:p>
      <w:pPr>
        <w:pStyle w:val="NormalNumberedtext"/>
      </w:pPr>
    </w:p>
    <w:p>
      <w:pPr>
        <w:pStyle w:val="NormalNumberedtext"/>
      </w:pPr>
      <w:r>
        <w:t>The project defines the maximum unsupported excavation depth before a formal geotechnical assessment is required. This threshold is set based on anticipated soil conditions for this site and must be documented below before this procedure is issued.</w:t>
      </w:r>
    </w:p>
    <w:p>
      <w:pPr>
        <w:pStyle w:val="NormalNumberedtext"/>
      </w:pPr>
      <w:r>
        <w:rPr>
          <w:b/>
          <w:bCs/>
          <w:color w:val="0059D1"/>
        </w:rPr>
        <w:t>[INSERT: max_unsupported_depth] — Define the project maximum unsupported excavation depth (in metres) before geotechnical assessment is required. This threshold must be set before this procedure is issued.</w:t>
      </w:r>
    </w:p>
    <w:p>
      <w:pPr>
        <w:pStyle w:val="NormalNumberedtext"/>
      </w:pPr>
      <w:r>
        <w:t>Geotechnical assessment is required before excavation commences in the following additional circumstances, regardless of depth:</w:t>
      </w:r>
    </w:p>
    <w:p>
      <w:pPr>
        <w:pStyle w:val="NumberedBulletL1"/>
      </w:pPr>
      <w:r>
        <w:t>Excavation within 1.5 times the excavation depth of an existing structure, foundation, or loaded surface</w:t>
      </w:r>
    </w:p>
    <w:p>
      <w:pPr>
        <w:pStyle w:val="NumberedBulletL1"/>
      </w:pPr>
      <w:r>
        <w:t>Excavation in ground subject to water ingress, seepage, or tidal influence</w:t>
      </w:r>
    </w:p>
    <w:p>
      <w:pPr>
        <w:pStyle w:val="NumberedBulletL1"/>
      </w:pPr>
      <w:r>
        <w:t>Excavation in previously disturbed or filled ground where soil classification cannot be confirmed</w:t>
      </w:r>
    </w:p>
    <w:p>
      <w:pPr>
        <w:pStyle w:val="NumberedBulletL1"/>
      </w:pPr>
      <w:r>
        <w:rPr>
          <w:color w:val="C55A11"/>
        </w:rPr>
        <w:t>Excavation in ground subject to vibration from adjacent plant operations, blasting, or traffic loads</w:t>
      </w:r>
    </w:p>
    <w:p>
      <w:pPr>
        <w:pStyle w:val="NormalNumberedtext"/>
      </w:pPr>
    </w:p>
    <w:p>
      <w:pPr>
        <w:pStyle w:val="Heading2Numbered"/>
        <w:numPr>
          <w:ilvl w:val="1"/>
          <w:numId w:val="1"/>
        </w:numPr>
      </w:pPr>
      <w:r>
        <w:rPr>
          <w:rFonts w:ascii="Arial" w:hAnsi="Arial" w:cs="Arial" w:eastAsia="Arial"/>
        </w:rPr>
        <w:t>Edge Protection Requirements</w:t>
      </w:r>
    </w:p>
    <w:p>
      <w:pPr>
        <w:pStyle w:val="NormalNumberedtext"/>
      </w:pPr>
      <w:r>
        <w:t>Edge protection must be installed around all open excavations where a fall hazard exists, consistent with the Working at Heights Procedure.</w:t>
      </w:r>
    </w:p>
    <w:p>
      <w:pPr>
        <w:pStyle w:val="NormalNumberedtext"/>
      </w:pPr>
      <w:r>
        <w:t>The work supervisor ensures edge protection is installed around all open excavations before personnel or plant approach the excavation edge. Edge protection requirements are determined by the fall potential at each excavation and must be consistent with the requirements of the Working at Heights Procedure, refer [INSERT: Project Document Number]. Barricading requirements for open excavations are governed by the Barricading Procedure, refer [INSERT: Project Document Number].</w:t>
      </w:r>
    </w:p>
    <w:p>
      <w:pPr>
        <w:pStyle w:val="NormalNumberedtext"/>
      </w:pPr>
      <w:r>
        <w:t>The project applies the following minimum edge protection requirements for open excavations:</w:t>
      </w:r>
    </w:p>
    <w:p>
      <w:pPr>
        <w:pStyle w:val="NumberedBulletL1"/>
      </w:pPr>
      <w:r>
        <w:t>Rigid barriers or bunding installed at the excavation edge before the excavation is opened to personnel or plant</w:t>
      </w:r>
    </w:p>
    <w:p>
      <w:pPr>
        <w:pStyle w:val="NumberedBulletL1"/>
      </w:pPr>
      <w:r>
        <w:t>Solid barricading used for all excavations intended to remain open for extended periods or overnight</w:t>
      </w:r>
    </w:p>
    <w:p>
      <w:pPr>
        <w:pStyle w:val="NumberedBulletL1"/>
      </w:pPr>
      <w:r>
        <w:t>Spoil, plant, and materials maintained at a minimum setback from the excavation edge to prevent surcharge loading and edge collapse</w:t>
      </w:r>
    </w:p>
    <w:p>
      <w:pPr>
        <w:pStyle w:val="NumberedBulletL1"/>
      </w:pPr>
      <w:r>
        <w:rPr>
          <w:color w:val="C55A11"/>
        </w:rPr>
        <w:t>Minimum spoil setback distance of 600 mm from the excavation edge, or as determined by the competent person based on soil type and excavation depth</w:t>
      </w:r>
    </w:p>
    <w:p>
      <w:pPr>
        <w:pStyle w:val="NormalNumberedtext"/>
      </w:pPr>
      <w:r>
        <w:t>The hierarchy of controls is applied before barricading is selected as an edge protection measure. The competent person assesses whether the fall hazard can be eliminated, substituted, or controlled through engineering means before barricading is designated as the primary control. Barricading sits within the administrative tier of the hierarchy of controls and does not substitute for engineering controls where engineering controls are practicable.</w:t>
      </w:r>
    </w:p>
    <w:p>
      <w:pPr>
        <w:pStyle w:val="NormalNumberedtext"/>
      </w:pPr>
    </w:p>
    <w:p>
      <w:pPr>
        <w:pStyle w:val="Heading2Numbered"/>
        <w:numPr>
          <w:ilvl w:val="1"/>
          <w:numId w:val="1"/>
        </w:numPr>
      </w:pPr>
      <w:r>
        <w:rPr>
          <w:rFonts w:ascii="Arial" w:hAnsi="Arial" w:cs="Arial" w:eastAsia="Arial"/>
        </w:rPr>
        <w:t>Stability Inspection</w:t>
      </w:r>
    </w:p>
    <w:p>
      <w:pPr>
        <w:pStyle w:val="NormalNumberedtext"/>
      </w:pPr>
      <w:r>
        <w:t>Open excavations must be inspected at defined frequencies by a competent person to confirm stability before and during work.</w:t>
      </w:r>
    </w:p>
    <w:p>
      <w:pPr>
        <w:pStyle w:val="NormalNumberedtext"/>
      </w:pPr>
      <w:r>
        <w:t>The competent person conducts stability inspections of all open excavations at the frequency defined for this project. Inspection findings are recorded and stored in the project document management system. Where an inspection identifies unsafe conditions, work stops immediately and personnel are withdrawn from the excavation until the condition is remediated and re-inspected.</w:t>
      </w:r>
    </w:p>
    <w:p>
      <w:pPr>
        <w:pStyle w:val="NormalNumberedtext"/>
      </w:pPr>
      <w:r>
        <w:rPr>
          <w:b/>
          <w:bCs/>
          <w:color w:val="0059D1"/>
        </w:rPr>
        <w:t>[INSERT: inspection_frequency] — Define the excavation inspection frequency for this project, including minimum inspection after each rain event, before each shift, and after any ground movement or change in adjacent loading. Confirm the inspection record format and storage location.</w:t>
      </w:r>
    </w:p>
    <w:p>
      <w:pPr>
        <w:pStyle w:val="NormalNumberedtext"/>
      </w:pPr>
      <w:r>
        <w:t>The competent person conducts an unscheduled stability inspection immediately following any of the following events:</w:t>
      </w:r>
    </w:p>
    <w:p>
      <w:pPr>
        <w:pStyle w:val="NumberedBulletL1"/>
      </w:pPr>
      <w:r>
        <w:t>Rain event of any duration or intensity that has affected the excavation area</w:t>
      </w:r>
    </w:p>
    <w:p>
      <w:pPr>
        <w:pStyle w:val="NumberedBulletL1"/>
      </w:pPr>
      <w:r>
        <w:t>Ground movement or settlement observed at or near the excavation</w:t>
      </w:r>
    </w:p>
    <w:p>
      <w:pPr>
        <w:pStyle w:val="NumberedBulletL1"/>
      </w:pPr>
      <w:r>
        <w:t>Change in adjacent loading, including plant movement, stockpile placement, or structural activity</w:t>
      </w:r>
    </w:p>
    <w:p>
      <w:pPr>
        <w:pStyle w:val="NumberedBulletL1"/>
      </w:pPr>
      <w:r>
        <w:t>Inspection trigger raised by any person working at or near the excavation</w:t>
      </w:r>
    </w:p>
    <w:p>
      <w:pPr>
        <w:pStyle w:val="NormalNumberedtext"/>
      </w:pPr>
      <w:r>
        <w:t>Work must not resume after a trigger event until the competent person has completed an inspection and confirmed in writing that the excavation is stable and safe for re-entry. The written confirmation is attached to the active permit for the work.</w:t>
      </w:r>
    </w:p>
    <w:p>
      <w:pPr>
        <w:pStyle w:val="NormalNumberedtext"/>
      </w:pPr>
    </w:p>
    <w:p>
      <w:pPr>
        <w:pStyle w:val="Heading1Numbered"/>
        <w:numPr>
          <w:ilvl w:val="0"/>
          <w:numId w:val="1"/>
        </w:numPr>
      </w:pPr>
      <w:r>
        <w:rPr>
          <w:rFonts w:ascii="Arial" w:hAnsi="Arial" w:cs="Arial" w:eastAsia="Arial"/>
        </w:rPr>
        <w:t>Access, Monitoring and Dewatering</w:t>
      </w:r>
    </w:p>
    <w:p>
      <w:pPr>
        <w:pStyle w:val="NormalNumberedtext"/>
      </w:pPr>
      <w:r>
        <w:t>This section defines safe access and egress requirements for personnel-accessible excavations, monitoring obligations, and dewatering requirements for water-affected excavations.</w:t>
      </w:r>
    </w:p>
    <w:p>
      <w:pPr>
        <w:pStyle w:val="NormalNumberedtext"/>
      </w:pPr>
    </w:p>
    <w:p>
      <w:pPr>
        <w:pStyle w:val="Heading2Numbered"/>
        <w:numPr>
          <w:ilvl w:val="1"/>
          <w:numId w:val="1"/>
        </w:numPr>
      </w:pPr>
      <w:r>
        <w:rPr>
          <w:rFonts w:ascii="Arial" w:hAnsi="Arial" w:cs="Arial" w:eastAsia="Arial"/>
        </w:rPr>
        <w:t>Access and Egress</w:t>
      </w:r>
    </w:p>
    <w:p>
      <w:pPr>
        <w:pStyle w:val="NormalNumberedtext"/>
      </w:pPr>
      <w:r>
        <w:t>Safe means of access and egress must be provided for all excavations accessible to personnel before any person enters the excavation.</w:t>
      </w:r>
    </w:p>
    <w:p>
      <w:pPr>
        <w:pStyle w:val="NormalNumberedtext"/>
      </w:pPr>
      <w:r>
        <w:t>The work supervisor ensures safe means of access and egress are installed and confirmed functional before any person enters an excavation. Acceptable means of access and egress include ladders, ramps, and stairs of adequate strength and stability for the excavation dimensions and personnel load.</w:t>
      </w:r>
    </w:p>
    <w:p>
      <w:pPr>
        <w:pStyle w:val="NormalNumberedtext"/>
      </w:pPr>
      <w:r>
        <w:t>Access and egress provisions must meet the following minimum requirements:</w:t>
      </w:r>
    </w:p>
    <w:p>
      <w:pPr>
        <w:pStyle w:val="NumberedBulletL1"/>
      </w:pPr>
      <w:r>
        <w:t>At least one means of access and egress provided for every 7.5 metres (25 feet) of trench length where personnel are present</w:t>
      </w:r>
    </w:p>
    <w:p>
      <w:pPr>
        <w:pStyle w:val="NumberedBulletL1"/>
      </w:pPr>
      <w:r>
        <w:t>Ladders extended at least 1 metre above the top of the excavation edge at the point of egress</w:t>
      </w:r>
    </w:p>
    <w:p>
      <w:pPr>
        <w:pStyle w:val="NumberedBulletL1"/>
      </w:pPr>
      <w:r>
        <w:t>Ramps constructed with a non-slip surface and a gradient that can be safely negotiated by personnel carrying tools or equipment</w:t>
      </w:r>
    </w:p>
    <w:p>
      <w:pPr>
        <w:pStyle w:val="NumberedBulletL1"/>
      </w:pPr>
      <w:r>
        <w:rPr>
          <w:color w:val="C55A11"/>
        </w:rPr>
        <w:t>Access and egress points positioned at locations that do not require personnel to cross over or adjacent to unguarded excavation edges</w:t>
      </w:r>
    </w:p>
    <w:p>
      <w:pPr>
        <w:pStyle w:val="NumberedBulletL1"/>
      </w:pPr>
      <w:r>
        <w:t>Means of access and egress inspected by the competent person at the start of each shift and after any event that may have affected their stability</w:t>
      </w:r>
    </w:p>
    <w:p>
      <w:pPr>
        <w:pStyle w:val="NormalNumberedtext"/>
      </w:pPr>
    </w:p>
    <w:p>
      <w:pPr>
        <w:pStyle w:val="Heading2Numbered"/>
        <w:numPr>
          <w:ilvl w:val="1"/>
          <w:numId w:val="1"/>
        </w:numPr>
      </w:pPr>
      <w:r>
        <w:rPr>
          <w:rFonts w:ascii="Arial" w:hAnsi="Arial" w:cs="Arial" w:eastAsia="Arial"/>
        </w:rPr>
        <w:t>Monitoring and Stop-Work Criteria</w:t>
      </w:r>
    </w:p>
    <w:p>
      <w:pPr>
        <w:pStyle w:val="NormalNumberedtext"/>
      </w:pPr>
      <w:r>
        <w:t>The project must define inspection criteria for open excavations and the conditions that require work to stop and personnel to withdraw.</w:t>
      </w:r>
    </w:p>
    <w:p>
      <w:pPr>
        <w:pStyle w:val="NormalNumberedtext"/>
      </w:pPr>
      <w:r>
        <w:t>The competent person monitors open excavations during work to identify changes in ground conditions, water ingress, or edge stability. Monitoring observations are recorded and any condition that meets the stop-work criteria triggers immediate work cessation and withdrawal of all personnel from the excavation.</w:t>
      </w:r>
    </w:p>
    <w:p>
      <w:pPr>
        <w:pStyle w:val="NormalNumberedtext"/>
      </w:pPr>
      <w:r>
        <w:t>The competent person directs immediate work stoppage and personnel withdrawal when any of the following conditions are observed:</w:t>
      </w:r>
    </w:p>
    <w:p>
      <w:pPr>
        <w:pStyle w:val="NumberedBulletL1"/>
      </w:pPr>
      <w:r>
        <w:t>Visible cracking, tension cracks, or movement in the excavation face or surrounding ground</w:t>
      </w:r>
    </w:p>
    <w:p>
      <w:pPr>
        <w:pStyle w:val="NumberedBulletL1"/>
      </w:pPr>
      <w:r>
        <w:t>Water ingress at a rate that cannot be controlled by the active dewatering system</w:t>
      </w:r>
    </w:p>
    <w:p>
      <w:pPr>
        <w:pStyle w:val="NumberedBulletL1"/>
      </w:pPr>
      <w:r>
        <w:t>Bulging or heaving of the excavation floor</w:t>
      </w:r>
    </w:p>
    <w:p>
      <w:pPr>
        <w:pStyle w:val="NumberedBulletL1"/>
      </w:pPr>
      <w:r>
        <w:t>Failure or distortion of shoring, trench box, or other ground support</w:t>
      </w:r>
    </w:p>
    <w:p>
      <w:pPr>
        <w:pStyle w:val="NumberedBulletL1"/>
      </w:pPr>
      <w:r>
        <w:t>Any condition the competent person assesses as presenting an imminent risk of ground collapse</w:t>
      </w:r>
    </w:p>
    <w:p>
      <w:pPr>
        <w:pStyle w:val="NormalNumberedtext"/>
      </w:pPr>
      <w:r>
        <w:t>Work does not resume after a stop-work event until the competent person has remediated the condition, conducted a re-inspection, and confirmed in writing that the excavation is safe. All incidents and near misses arising from excavation instability are reported per project requirements, refer [INSERT: Project Document Number].</w:t>
      </w:r>
    </w:p>
    <w:p>
      <w:pPr>
        <w:pStyle w:val="NormalNumberedtext"/>
      </w:pPr>
    </w:p>
    <w:p>
      <w:pPr>
        <w:pStyle w:val="Heading2Numbered"/>
        <w:numPr>
          <w:ilvl w:val="1"/>
          <w:numId w:val="1"/>
        </w:numPr>
      </w:pPr>
      <w:r>
        <w:rPr>
          <w:rFonts w:ascii="Arial" w:hAnsi="Arial" w:cs="Arial" w:eastAsia="Arial"/>
        </w:rPr>
        <w:t>Dewatering</w:t>
      </w:r>
    </w:p>
    <w:p>
      <w:pPr>
        <w:pStyle w:val="NormalNumberedtext"/>
      </w:pPr>
      <w:r>
        <w:t>Dewatering requirements apply to all excavations where water accumulation creates a risk to personnel, ground stability, or adjacent services.</w:t>
      </w:r>
    </w:p>
    <w:p>
      <w:pPr>
        <w:pStyle w:val="NormalNumberedtext"/>
      </w:pPr>
      <w:r>
        <w:t>The work supervisor ensures a dewatering plan is prepared and approved before excavation commences where water ingress is identified as a hazard in the risk assessment. The dewatering plan defines the method, equipment, discharge point, and environmental controls for water removed from the excavation.</w:t>
      </w:r>
    </w:p>
    <w:p>
      <w:pPr>
        <w:pStyle w:val="NormalNumberedtext"/>
      </w:pPr>
      <w:r>
        <w:rPr>
          <w:b/>
          <w:bCs/>
          <w:color w:val="0059D1"/>
        </w:rPr>
        <w:t>[INSERT: dewatering_process] — Define the project process for dewatering water-filled excavations, including the dewatering method, discharge approval requirements, environmental controls for discharged water, and the competent person responsible for approving dewatering operations.</w:t>
      </w:r>
    </w:p>
    <w:p>
      <w:pPr>
        <w:pStyle w:val="NormalNumberedtext"/>
      </w:pPr>
      <w:r>
        <w:t>Dewatering operations must meet the following minimum requirements:</w:t>
      </w:r>
    </w:p>
    <w:p>
      <w:pPr>
        <w:pStyle w:val="NumberedBulletL1"/>
      </w:pPr>
      <w:r>
        <w:t>Dewatering equipment is inspected before use and confirmed functional before the excavation is entered by personnel</w:t>
      </w:r>
    </w:p>
    <w:p>
      <w:pPr>
        <w:pStyle w:val="NumberedBulletL1"/>
      </w:pPr>
      <w:r>
        <w:t>Discharge of excavation water is directed to a location that does not cause surface run-off into the excavation or adjacent work areas</w:t>
      </w:r>
    </w:p>
    <w:p>
      <w:pPr>
        <w:pStyle w:val="NumberedBulletL1"/>
      </w:pPr>
      <w:r>
        <w:rPr>
          <w:color w:val="C55A11"/>
        </w:rPr>
        <w:t>Environmental controls for discharged water, including sediment control measures, are confirmed in place before dewatering commences, consistent with the project environmental management plan</w:t>
      </w:r>
    </w:p>
    <w:p>
      <w:pPr>
        <w:pStyle w:val="NumberedBulletL1"/>
      </w:pPr>
      <w:r>
        <w:t>No person enters a water-filled excavation until water has been removed to a level that does not present a drowning or instability risk and the competent person has confirmed re-entry is safe</w:t>
      </w:r>
    </w:p>
    <w:p>
      <w:pPr>
        <w:pStyle w:val="NormalNumberedtext"/>
      </w:pPr>
    </w:p>
    <w:p>
      <w:pPr>
        <w:pStyle w:val="Heading1Numbered"/>
        <w:numPr>
          <w:ilvl w:val="0"/>
          <w:numId w:val="1"/>
        </w:numPr>
      </w:pPr>
      <w:r>
        <w:rPr>
          <w:rFonts w:ascii="Arial" w:hAnsi="Arial" w:cs="Arial" w:eastAsia="Arial"/>
        </w:rPr>
        <w:t>Project Completion Guidance</w:t>
      </w:r>
    </w:p>
    <w:p>
      <w:pPr>
        <w:pStyle w:val="NormalNumberedtext"/>
      </w:pPr>
      <w:r>
        <w:t>This section records additional requirements for barricading, SIMOPS, and excavation-specific controls that must be embedded and confirmed before this procedure is issued for the project.</w:t>
      </w:r>
    </w:p>
    <w:p>
      <w:pPr>
        <w:pStyle w:val="NormalNumberedtext"/>
      </w:pPr>
    </w:p>
    <w:p>
      <w:pPr>
        <w:pStyle w:val="Heading2Numbered"/>
        <w:numPr>
          <w:ilvl w:val="1"/>
          <w:numId w:val="1"/>
        </w:numPr>
      </w:pPr>
      <w:r>
        <w:rPr>
          <w:rFonts w:ascii="Arial" w:hAnsi="Arial" w:cs="Arial" w:eastAsia="Arial"/>
        </w:rPr>
        <w:t>Barricading Requirements for Excavations</w:t>
      </w:r>
    </w:p>
    <w:p>
      <w:pPr>
        <w:pStyle w:val="NormalNumberedtext"/>
      </w:pPr>
      <w:r>
        <w:t>Barricading controls for open excavations must be applied in accordance with the hierarchy of controls and the minimum scenarios defined in this section.</w:t>
      </w:r>
    </w:p>
    <w:p>
      <w:pPr>
        <w:pStyle w:val="NormalNumberedtext"/>
      </w:pPr>
      <w:r>
        <w:t>Before barricading is selected as a control for an excavation hazard, the competent person assesses whether the hazard can be eliminated, substituted, or controlled through engineering means. Barricading is an administrative control and does not replace engineering controls where engineering controls are practicable. Barricading requirements for excavations are governed in detail by the Barricading Procedure, refer [INSERT: Project Document Number].</w:t>
      </w:r>
    </w:p>
    <w:p>
      <w:pPr>
        <w:pStyle w:val="NormalNumberedtext"/>
      </w:pPr>
      <w:r>
        <w:t>Barricading is required as a minimum for all of the following excavation and penetration scenarios:</w:t>
      </w:r>
    </w:p>
    <w:p>
      <w:pPr>
        <w:pStyle w:val="NumberedBulletL1"/>
      </w:pPr>
      <w:r>
        <w:t>All open excavation edges where personnel or machinery could approach</w:t>
      </w:r>
    </w:p>
    <w:p>
      <w:pPr>
        <w:pStyle w:val="NumberedBulletL1"/>
      </w:pPr>
      <w:r>
        <w:t>Work at height adjacent to excavations where falling objects risk exists, with barricading extending outward at 15 degrees from the highest point of the work</w:t>
      </w:r>
    </w:p>
    <w:p>
      <w:pPr>
        <w:pStyle w:val="NumberedBulletL1"/>
      </w:pPr>
      <w:r>
        <w:t>Commissioning access control zones adjacent to open excavations</w:t>
      </w:r>
    </w:p>
    <w:p>
      <w:pPr>
        <w:pStyle w:val="NumberedBulletL1"/>
      </w:pPr>
      <w:r>
        <w:t>Plant operating areas and drop zones near open excavations</w:t>
      </w:r>
    </w:p>
    <w:p>
      <w:pPr>
        <w:pStyle w:val="NumberedBulletL1"/>
      </w:pPr>
      <w:r>
        <w:t>Manholes and penetrations that are open or unattended</w:t>
      </w:r>
    </w:p>
    <w:p>
      <w:pPr>
        <w:pStyle w:val="NumberedBulletL1"/>
      </w:pPr>
      <w:r>
        <w:t>Blast exclusion areas that intersect with excavation work zones</w:t>
      </w:r>
    </w:p>
    <w:p>
      <w:pPr>
        <w:pStyle w:val="NormalNumberedtext"/>
      </w:pPr>
      <w:r>
        <w:t>Solid barricading must be used where the barricade must be higher than two metres, where flooring or handrails have been removed creating a fall risk adjacent to an excavation, or where excavations are intended to remain open. Rope or chain must not be used as a temporary barricade in place of a handrail or solid barrier at any excavation edge.</w:t>
      </w:r>
    </w:p>
    <w:p>
      <w:pPr>
        <w:pStyle w:val="NormalNumberedtext"/>
      </w:pPr>
      <w:r>
        <w:t>The Barricading Plan defines the process for safely accessing all barricaded excavation work areas. The plan specifies the permit or authorisation required before any person enters a barricaded zone and the conditions that must be met before entry is permitted. Refer [INSERT: Project Document Number] for full barricading plan requirements.</w:t>
      </w:r>
    </w:p>
    <w:p>
      <w:pPr>
        <w:pStyle w:val="NormalNumberedtext"/>
      </w:pPr>
    </w:p>
    <w:p>
      <w:pPr>
        <w:pStyle w:val="Heading2Numbered"/>
        <w:numPr>
          <w:ilvl w:val="1"/>
          <w:numId w:val="1"/>
        </w:numPr>
      </w:pPr>
      <w:r>
        <w:rPr>
          <w:rFonts w:ascii="Arial" w:hAnsi="Arial" w:cs="Arial" w:eastAsia="Arial"/>
        </w:rPr>
        <w:t>SIMOPS Assessment for Excavation and Penetration</w:t>
      </w:r>
    </w:p>
    <w:p>
      <w:pPr>
        <w:pStyle w:val="NormalNumberedtext"/>
      </w:pPr>
      <w:r>
        <w:t>A SIMOPS assessment is required for all excavation and penetration activities occurring in areas where other work scopes are active.</w:t>
      </w:r>
    </w:p>
    <w:p>
      <w:pPr>
        <w:pStyle w:val="NormalNumberedtext"/>
      </w:pPr>
      <w:r>
        <w:t>The work supervisor confirms a SIMOPS assessment has been completed before commencing excavation or penetration activities in any area where other work scopes are active. Where excavation interfaces with adjacent scopes, the SIMOPS plan defines safe separation distances and coordination protocols to prevent interference between simultaneous activities. SIMOPS planning is governed by [INSERT: Project Document Number].</w:t>
      </w:r>
    </w:p>
    <w:p>
      <w:pPr>
        <w:pStyle w:val="NormalNumberedtext"/>
      </w:pPr>
      <w:r>
        <w:t>The SIMOPS assessment for excavation and penetration activities must address, at minimum, the following interface conditions:</w:t>
      </w:r>
    </w:p>
    <w:p>
      <w:pPr>
        <w:pStyle w:val="NumberedBulletL1"/>
      </w:pPr>
      <w:r>
        <w:t>Plant operating in proximity to open excavations, including the minimum separation distance between plant and the excavation edge</w:t>
      </w:r>
    </w:p>
    <w:p>
      <w:pPr>
        <w:pStyle w:val="NumberedBulletL1"/>
      </w:pPr>
      <w:r>
        <w:t>Overhead or adjacent lifting operations where load paths cross over or adjacent to an open excavation</w:t>
      </w:r>
    </w:p>
    <w:p>
      <w:pPr>
        <w:pStyle w:val="NumberedBulletL1"/>
      </w:pPr>
      <w:r>
        <w:rPr>
          <w:color w:val="C55A11"/>
        </w:rPr>
        <w:t>Ground vibration from adjacent blasting, compaction, or piling operations and the risk this poses to excavation face stability</w:t>
      </w:r>
    </w:p>
    <w:p>
      <w:pPr>
        <w:pStyle w:val="NumberedBulletL1"/>
      </w:pPr>
      <w:r>
        <w:t>Personnel movement between excavation work zones and adjacent active scopes, including traffic management at crossing points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written authority system that controls high-risk work activities by ensuring hazards are identified and controls are in place before work commences.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Committee - the governance body responsible for overseeing HSESC management system standards and procedures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encompassing the identification, assessment and control of risks to people and the environment in the workplace.</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instruction within the Rio Tinto project management system that defines the required method for undertaking a specific activity or managing a specific risk.</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project delivery business unit of Rio Tinto responsible for delivering owner-led capital projects and associated management system documentation.</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multinational mining and metals corporation whose standards, procedures and management frameworks govern work undertaken on owner-led projects.</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structured technique used to identify hazards associated with each step of a task and to define controls before work begins, typically used to support risk assessment for excavation activities.</w:t>
            </w:r>
          </w:p>
        </w:tc>
      </w:tr>
      <w:tr>
        <w:tc>
          <w:tcPr>
            <w:tcW w:type="dxa" w:w="4888"/>
          </w:tcPr>
          <w:p>
            <w:pPr>
              <w:pStyle w:val="TableContents"/>
              <w:spacing w:before="0" w:after="0" w:line="240" w:lineRule="atLeast"/>
            </w:pPr>
            <w:r>
              <w:rPr>
                <w:rFonts w:ascii="Arial" w:hAnsi="Arial" w:cs="Arial" w:eastAsia="Arial"/>
                <w:sz w:val="16"/>
                <w:szCs w:val="16"/>
              </w:rPr>
              <w:t>SWP</w:t>
            </w:r>
          </w:p>
        </w:tc>
        <w:tc>
          <w:tcPr>
            <w:tcW w:type="dxa" w:w="4889"/>
          </w:tcPr>
          <w:p>
            <w:pPr>
              <w:pStyle w:val="TableContents"/>
              <w:spacing w:before="0" w:after="0" w:line="240" w:lineRule="atLeast"/>
            </w:pPr>
            <w:r>
              <w:rPr>
                <w:rFonts w:ascii="Arial" w:hAnsi="Arial" w:cs="Arial" w:eastAsia="Arial"/>
                <w:sz w:val="16"/>
                <w:szCs w:val="16"/>
              </w:rPr>
              <w:t>Safe Work Procedure - a documented, step-by-step instruction that describes how a task is to be performed safely, incorporating identified hazards and their controls.</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describes the high-risk construction work to be carried out, the hazards arising from that work and the measures to be put in place to control those hazards.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worker to minimise exposure to hazards that can cause serious workplace injuries and illnesses.</w:t>
            </w:r>
          </w:p>
        </w:tc>
      </w:tr>
      <w:tr>
        <w:tc>
          <w:tcPr>
            <w:tcW w:type="dxa" w:w="4888"/>
          </w:tcPr>
          <w:p>
            <w:pPr>
              <w:pStyle w:val="TableContents"/>
              <w:spacing w:before="0" w:after="0" w:line="240" w:lineRule="atLeast"/>
            </w:pPr>
            <w:r>
              <w:rPr>
                <w:rFonts w:ascii="Arial" w:hAnsi="Arial" w:cs="Arial" w:eastAsia="Arial"/>
                <w:sz w:val="16"/>
                <w:szCs w:val="16"/>
              </w:rPr>
              <w:t>UV</w:t>
            </w:r>
          </w:p>
        </w:tc>
        <w:tc>
          <w:tcPr>
            <w:tcW w:type="dxa" w:w="4889"/>
          </w:tcPr>
          <w:p>
            <w:pPr>
              <w:pStyle w:val="TableContents"/>
              <w:spacing w:before="0" w:after="0" w:line="240" w:lineRule="atLeast"/>
            </w:pPr>
            <w:r>
              <w:rPr>
                <w:rFonts w:ascii="Arial" w:hAnsi="Arial" w:cs="Arial" w:eastAsia="Arial"/>
                <w:sz w:val="16"/>
                <w:szCs w:val="16"/>
              </w:rPr>
              <w:t>Underground Utility/Underground Void - subsurface infrastructure including pipes, cables, conduits and voids that must be identified and located prior to any excavation or penetration activity.</w:t>
            </w:r>
          </w:p>
        </w:tc>
      </w:tr>
      <w:tr>
        <w:tc>
          <w:tcPr>
            <w:tcW w:type="dxa" w:w="4888"/>
          </w:tcPr>
          <w:p>
            <w:pPr>
              <w:pStyle w:val="TableContents"/>
              <w:spacing w:before="0" w:after="0" w:line="240" w:lineRule="atLeast"/>
            </w:pPr>
            <w:r>
              <w:rPr>
                <w:rFonts w:ascii="Arial" w:hAnsi="Arial" w:cs="Arial" w:eastAsia="Arial"/>
                <w:sz w:val="16"/>
                <w:szCs w:val="16"/>
              </w:rPr>
              <w:t>GPR</w:t>
            </w:r>
          </w:p>
        </w:tc>
        <w:tc>
          <w:tcPr>
            <w:tcW w:type="dxa" w:w="4889"/>
          </w:tcPr>
          <w:p>
            <w:pPr>
              <w:pStyle w:val="TableContents"/>
              <w:spacing w:before="0" w:after="0" w:line="240" w:lineRule="atLeast"/>
            </w:pPr>
            <w:r>
              <w:rPr>
                <w:rFonts w:ascii="Arial" w:hAnsi="Arial" w:cs="Arial" w:eastAsia="Arial"/>
                <w:sz w:val="16"/>
                <w:szCs w:val="16"/>
              </w:rPr>
              <w:t>Ground Penetrating Radar - a geophysical method that uses radar pulses to image the subsurface and is used during services identification to detect and map underground utilities and structures before excavation.</w:t>
            </w:r>
          </w:p>
        </w:tc>
      </w:tr>
      <w:tr>
        <w:tc>
          <w:tcPr>
            <w:tcW w:type="dxa" w:w="4888"/>
          </w:tcPr>
          <w:p>
            <w:pPr>
              <w:pStyle w:val="TableContents"/>
              <w:spacing w:before="0" w:after="0" w:line="240" w:lineRule="atLeast"/>
            </w:pPr>
            <w:r>
              <w:rPr>
                <w:rFonts w:ascii="Arial" w:hAnsi="Arial" w:cs="Arial" w:eastAsia="Arial"/>
                <w:sz w:val="16"/>
                <w:szCs w:val="16"/>
              </w:rPr>
              <w:t>CAT</w:t>
            </w:r>
          </w:p>
        </w:tc>
        <w:tc>
          <w:tcPr>
            <w:tcW w:type="dxa" w:w="4889"/>
          </w:tcPr>
          <w:p>
            <w:pPr>
              <w:pStyle w:val="TableContents"/>
              <w:spacing w:before="0" w:after="0" w:line="240" w:lineRule="atLeast"/>
            </w:pPr>
            <w:r>
              <w:rPr>
                <w:rFonts w:ascii="Arial" w:hAnsi="Arial" w:cs="Arial" w:eastAsia="Arial"/>
                <w:sz w:val="16"/>
                <w:szCs w:val="16"/>
              </w:rPr>
              <w:t>Cable Avoidance Tool - a portable device used to detect buried cables and pipes by sensing electromagnetic signals, used during services identification before excavation commences.</w:t>
            </w:r>
          </w:p>
        </w:tc>
      </w:tr>
      <w:tr>
        <w:tc>
          <w:tcPr>
            <w:tcW w:type="dxa" w:w="4888"/>
          </w:tcPr>
          <w:p>
            <w:pPr>
              <w:pStyle w:val="TableContents"/>
              <w:spacing w:before="0" w:after="0" w:line="240" w:lineRule="atLeast"/>
            </w:pPr>
            <w:r>
              <w:rPr>
                <w:rFonts w:ascii="Arial" w:hAnsi="Arial" w:cs="Arial" w:eastAsia="Arial"/>
                <w:sz w:val="16"/>
                <w:szCs w:val="16"/>
              </w:rPr>
              <w:t>EWP</w:t>
            </w:r>
          </w:p>
        </w:tc>
        <w:tc>
          <w:tcPr>
            <w:tcW w:type="dxa" w:w="4889"/>
          </w:tcPr>
          <w:p>
            <w:pPr>
              <w:pStyle w:val="TableContents"/>
              <w:spacing w:before="0" w:after="0" w:line="240" w:lineRule="atLeast"/>
            </w:pPr>
            <w:r>
              <w:rPr>
                <w:rFonts w:ascii="Arial" w:hAnsi="Arial" w:cs="Arial" w:eastAsia="Arial"/>
                <w:sz w:val="16"/>
                <w:szCs w:val="16"/>
              </w:rPr>
              <w:t>Elevated Work Platform - a mechanical device used to provide temporary access to elevated work areas; relevant where edge protection or access structures are required adjacent to excavations.</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document that specifies the inspection and testing activities, acceptance criteria and hold points required to verify that work, including excavation activities, meets specified requirements.</w:t>
            </w:r>
          </w:p>
        </w:tc>
      </w:tr>
      <w:tr>
        <w:tc>
          <w:tcPr>
            <w:tcW w:type="dxa" w:w="4888"/>
          </w:tcPr>
          <w:p>
            <w:pPr>
              <w:pStyle w:val="TableContents"/>
              <w:spacing w:before="0" w:after="0" w:line="240" w:lineRule="atLeast"/>
            </w:pPr>
            <w:r>
              <w:rPr>
                <w:rFonts w:ascii="Arial" w:hAnsi="Arial" w:cs="Arial" w:eastAsia="Arial"/>
                <w:sz w:val="16"/>
                <w:szCs w:val="16"/>
              </w:rPr>
              <w:t>RA</w:t>
            </w:r>
          </w:p>
        </w:tc>
        <w:tc>
          <w:tcPr>
            <w:tcW w:type="dxa" w:w="4889"/>
          </w:tcPr>
          <w:p>
            <w:pPr>
              <w:pStyle w:val="TableContents"/>
              <w:spacing w:before="0" w:after="0" w:line="240" w:lineRule="atLeast"/>
            </w:pPr>
            <w:r>
              <w:rPr>
                <w:rFonts w:ascii="Arial" w:hAnsi="Arial" w:cs="Arial" w:eastAsia="Arial"/>
                <w:sz w:val="16"/>
                <w:szCs w:val="16"/>
              </w:rPr>
              <w:t>Risk Assessment - a systematic process of identifying hazards, evaluating the likelihood and consequence of harm, and determining appropriate controls; required for all excavation and penetration activities.</w:t>
            </w:r>
          </w:p>
        </w:tc>
      </w:tr>
      <w:tr>
        <w:tc>
          <w:tcPr>
            <w:tcW w:type="dxa" w:w="4888"/>
          </w:tcPr>
          <w:p>
            <w:pPr>
              <w:pStyle w:val="TableContents"/>
              <w:spacing w:before="0" w:after="0" w:line="240" w:lineRule="atLeast"/>
            </w:pPr>
            <w:r>
              <w:rPr>
                <w:rFonts w:ascii="Arial" w:hAnsi="Arial" w:cs="Arial" w:eastAsia="Arial"/>
                <w:sz w:val="16"/>
                <w:szCs w:val="16"/>
              </w:rPr>
              <w:t>BOW</w:t>
            </w:r>
          </w:p>
        </w:tc>
        <w:tc>
          <w:tcPr>
            <w:tcW w:type="dxa" w:w="4889"/>
          </w:tcPr>
          <w:p>
            <w:pPr>
              <w:pStyle w:val="TableContents"/>
              <w:spacing w:before="0" w:after="0" w:line="240" w:lineRule="atLeast"/>
            </w:pPr>
            <w:r>
              <w:rPr>
                <w:rFonts w:ascii="Arial" w:hAnsi="Arial" w:cs="Arial" w:eastAsia="Arial"/>
                <w:sz w:val="16"/>
                <w:szCs w:val="16"/>
              </w:rPr>
              <w:t>Basis of Work - a project document that defines the scope, conditions and constraints under which a work package or activity is to be executed.</w:t>
            </w:r>
          </w:p>
        </w:tc>
      </w:tr>
      <w:tr>
        <w:tc>
          <w:tcPr>
            <w:tcW w:type="dxa" w:w="4888"/>
          </w:tcPr>
          <w:p>
            <w:pPr>
              <w:pStyle w:val="TableContents"/>
              <w:spacing w:before="0" w:after="0" w:line="240" w:lineRule="atLeast"/>
            </w:pPr>
            <w:r>
              <w:rPr>
                <w:rFonts w:ascii="Arial" w:hAnsi="Arial" w:cs="Arial" w:eastAsia="Arial"/>
                <w:sz w:val="16"/>
                <w:szCs w:val="16"/>
              </w:rPr>
              <w:t>MSDS</w:t>
            </w:r>
          </w:p>
        </w:tc>
        <w:tc>
          <w:tcPr>
            <w:tcW w:type="dxa" w:w="4889"/>
          </w:tcPr>
          <w:p>
            <w:pPr>
              <w:pStyle w:val="TableContents"/>
              <w:spacing w:before="0" w:after="0" w:line="240" w:lineRule="atLeast"/>
            </w:pPr>
            <w:r>
              <w:rPr>
                <w:rFonts w:ascii="Arial" w:hAnsi="Arial" w:cs="Arial" w:eastAsia="Arial"/>
                <w:sz w:val="16"/>
                <w:szCs w:val="16"/>
              </w:rPr>
              <w:t>Material Safety Data Sheet - a document providing information on the properties, hazards, safe handling, storage and emergency response measures for a hazardous substance that may be encountered during excavation activities.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the current terminology replacing MSDS, providing hazard and safe use information for chemical substances and mixtures that may be present in excavated ground or used during dewatering operations.</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standard published by Standards Australia that may specify requirements for excavation, shoring, edge protection and related construction activities.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health, safety and welfare of workers and others in Australian workplaces, applicable to all excavation and penetration activities.</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the legal entity with the primary duty of care under WHS legislation to ensure the health and safety of workers and others affected by excavation and penetration work.</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used to document instances where work, materials or processes do not meet specified requirements, including those related to excavation procedures and controls.</w:t>
            </w:r>
          </w:p>
        </w:tc>
      </w:tr>
      <w:tr>
        <w:tc>
          <w:tcPr>
            <w:tcW w:type="dxa" w:w="4888"/>
          </w:tcPr>
          <w:p>
            <w:pPr>
              <w:pStyle w:val="TableContents"/>
              <w:spacing w:before="0" w:after="0" w:line="240" w:lineRule="atLeast"/>
            </w:pPr>
            <w:r>
              <w:rPr>
                <w:rFonts w:ascii="Arial" w:hAnsi="Arial" w:cs="Arial" w:eastAsia="Arial"/>
                <w:sz w:val="16"/>
                <w:szCs w:val="16"/>
              </w:rPr>
              <w:t>TBT</w:t>
            </w:r>
          </w:p>
        </w:tc>
        <w:tc>
          <w:tcPr>
            <w:tcW w:type="dxa" w:w="4889"/>
          </w:tcPr>
          <w:p>
            <w:pPr>
              <w:pStyle w:val="TableContents"/>
              <w:spacing w:before="0" w:after="0" w:line="240" w:lineRule="atLeast"/>
            </w:pPr>
            <w:r>
              <w:rPr>
                <w:rFonts w:ascii="Arial" w:hAnsi="Arial" w:cs="Arial" w:eastAsia="Arial"/>
                <w:sz w:val="16"/>
                <w:szCs w:val="16"/>
              </w:rPr>
              <w:t>Toolbox Talk - a short, informal safety briefing conducted at the worksite before commencing a task, used to communicate specific hazards and controls associated with excavation and penetration activities.</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field concerned with the safety, health and welfare of people at work; used interchangeably with WHS in some jurisdictions and referenced in legacy Rio Tinto documentation.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Working at Height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Barricading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Model Work Health and Safety Act</w:t>
            </w:r>
          </w:p>
        </w:tc>
        <w:tc>
          <w:tcPr>
            <w:tcW w:type="dxa" w:w="3259"/>
          </w:tcPr>
          <w:p>
            <w:pPr>
              <w:pStyle w:val="TableContents"/>
              <w:spacing w:before="0" w:after="0" w:line="240" w:lineRule="atLeast"/>
            </w:pPr>
            <w:r>
              <w:rPr>
                <w:rFonts w:ascii="Arial" w:hAnsi="Arial" w:cs="Arial" w:eastAsia="Arial"/>
                <w:sz w:val="16"/>
                <w:szCs w:val="16"/>
              </w:rPr>
              <w:t>Safe Work Australia Model WHS Act</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Model Work Health and Safety Regulations</w:t>
            </w:r>
          </w:p>
        </w:tc>
        <w:tc>
          <w:tcPr>
            <w:tcW w:type="dxa" w:w="3259"/>
          </w:tcPr>
          <w:p>
            <w:pPr>
              <w:pStyle w:val="TableContents"/>
              <w:spacing w:before="0" w:after="0" w:line="240" w:lineRule="atLeast"/>
            </w:pPr>
            <w:r>
              <w:rPr>
                <w:rFonts w:ascii="Arial" w:hAnsi="Arial" w:cs="Arial" w:eastAsia="Arial"/>
                <w:sz w:val="16"/>
                <w:szCs w:val="16"/>
              </w:rPr>
              <w:t>Safe Work Australia Model WHS Regulations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Excavation Work - Code of Practice</w:t>
            </w:r>
          </w:p>
        </w:tc>
        <w:tc>
          <w:tcPr>
            <w:tcW w:type="dxa" w:w="3259"/>
          </w:tcPr>
          <w:p>
            <w:pPr>
              <w:pStyle w:val="TableContents"/>
              <w:spacing w:before="0" w:after="0" w:line="240" w:lineRule="atLeast"/>
            </w:pPr>
            <w:r>
              <w:rPr>
                <w:rFonts w:ascii="Arial" w:hAnsi="Arial" w:cs="Arial" w:eastAsia="Arial"/>
                <w:sz w:val="16"/>
                <w:szCs w:val="16"/>
              </w:rPr>
              <w:t>Safe Work Australia - Excavation Work Code of Practice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Excavation and Earthworks - Soil Classification and Stability</w:t>
            </w:r>
          </w:p>
        </w:tc>
        <w:tc>
          <w:tcPr>
            <w:tcW w:type="dxa" w:w="3259"/>
          </w:tcPr>
          <w:p>
            <w:pPr>
              <w:pStyle w:val="TableContents"/>
              <w:spacing w:before="0" w:after="0" w:line="240" w:lineRule="atLeast"/>
            </w:pPr>
            <w:r>
              <w:rPr>
                <w:rFonts w:ascii="Arial" w:hAnsi="Arial" w:cs="Arial" w:eastAsia="Arial"/>
                <w:sz w:val="16"/>
                <w:szCs w:val="16"/>
              </w:rPr>
              <w:t>AS 4678-2002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Trench Shoring and Battering - Design and Construction Requirements</w:t>
            </w:r>
          </w:p>
        </w:tc>
        <w:tc>
          <w:tcPr>
            <w:tcW w:type="dxa" w:w="3259"/>
          </w:tcPr>
          <w:p>
            <w:pPr>
              <w:pStyle w:val="TableContents"/>
              <w:spacing w:before="0" w:after="0" w:line="240" w:lineRule="atLeast"/>
            </w:pPr>
            <w:r>
              <w:rPr>
                <w:rFonts w:ascii="Arial" w:hAnsi="Arial" w:cs="Arial" w:eastAsia="Arial"/>
                <w:sz w:val="16"/>
                <w:szCs w:val="16"/>
              </w:rPr>
              <w:t>AS 3798-2007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Safety in Excavations and Trenches - Guidelines for Earthworks</w:t>
            </w:r>
          </w:p>
        </w:tc>
        <w:tc>
          <w:tcPr>
            <w:tcW w:type="dxa" w:w="3259"/>
          </w:tcPr>
          <w:p>
            <w:pPr>
              <w:pStyle w:val="TableContents"/>
              <w:spacing w:before="0" w:after="0" w:line="240" w:lineRule="atLeast"/>
            </w:pPr>
            <w:r>
              <w:rPr>
                <w:rFonts w:ascii="Arial" w:hAnsi="Arial" w:cs="Arial" w:eastAsia="Arial"/>
                <w:sz w:val="16"/>
                <w:szCs w:val="16"/>
              </w:rPr>
              <w:t>AS/NZS 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Occupational Health and Safety Management Systems Requirements</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§60</w:t>
            </w:r>
          </w:p>
        </w:tc>
        <w:tc>
          <w:tcPr>
            <w:tcW w:type="dxa" w:w="2256"/>
          </w:tcPr>
          <w:p>
            <w:pPr>
              <w:pStyle w:val="TableContents"/>
              <w:spacing w:before="0" w:after="0" w:line="240" w:lineRule="atLeast"/>
            </w:pPr>
            <w:r>
              <w:rPr>
                <w:rFonts w:ascii="Arial" w:hAnsi="Arial" w:cs="Arial" w:eastAsia="Arial"/>
                <w:sz w:val="16"/>
                <w:szCs w:val="16"/>
              </w:rPr>
              <w:t>Requires an Excavation Permit and/or Penetration Permit before all excavation and penetration activities, covering location, dimensions, services identification, edge protection, shoring, and access/egress, and requires services to be identified and marked before work commences.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§2.1</w:t>
            </w:r>
          </w:p>
        </w:tc>
        <w:tc>
          <w:tcPr>
            <w:tcW w:type="dxa" w:w="2256"/>
          </w:tcPr>
          <w:p>
            <w:pPr>
              <w:pStyle w:val="TableContents"/>
              <w:spacing w:before="0" w:after="0" w:line="240" w:lineRule="atLeast"/>
            </w:pPr>
            <w:r>
              <w:rPr>
                <w:rFonts w:ascii="Arial" w:hAnsi="Arial" w:cs="Arial" w:eastAsia="Arial"/>
                <w:sz w:val="16"/>
                <w:szCs w:val="16"/>
              </w:rPr>
              <w:t>Requires a hazard identification and risk assessment covering slope stability, water ingress, adjacent services, and construction interfaces, and defines slope, benching, and shoring requirements based on soil type assessment by a competent person.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29 CFR 1926 Subpart P - Excavations</w:t>
            </w:r>
          </w:p>
        </w:tc>
        <w:tc>
          <w:tcPr>
            <w:tcW w:type="dxa" w:w="2256"/>
          </w:tcPr>
          <w:p>
            <w:pPr>
              <w:pStyle w:val="TableContents"/>
              <w:spacing w:before="0" w:after="0" w:line="240" w:lineRule="atLeast"/>
            </w:pPr>
            <w:r>
              <w:rPr>
                <w:rFonts w:ascii="Arial" w:hAnsi="Arial" w:cs="Arial" w:eastAsia="Arial"/>
                <w:sz w:val="16"/>
                <w:szCs w:val="16"/>
              </w:rPr>
              <w:t>Requires exclusion zones around identified services, manual excavation within defined proximity distances, competent-person clearance procedures, and safe means of access and egress placed every 7.5 metres maximum in long trenches.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C4 - Fall from Height Standard</w:t>
            </w:r>
          </w:p>
        </w:tc>
        <w:tc>
          <w:tcPr>
            <w:tcW w:type="dxa" w:w="2256"/>
          </w:tcPr>
          <w:p>
            <w:pPr>
              <w:pStyle w:val="TableContents"/>
              <w:spacing w:before="0" w:after="0" w:line="240" w:lineRule="atLeast"/>
            </w:pPr>
            <w:r>
              <w:rPr>
                <w:rFonts w:ascii="Arial" w:hAnsi="Arial" w:cs="Arial" w:eastAsia="Arial"/>
                <w:sz w:val="16"/>
                <w:szCs w:val="16"/>
              </w:rPr>
              <w:t>Requires edge protection (barriers/bunding) around all open excavations with fall potential, consistent with the Working at Heights Procedure.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§62.1</w:t>
            </w:r>
          </w:p>
        </w:tc>
        <w:tc>
          <w:tcPr>
            <w:tcW w:type="dxa" w:w="2256"/>
          </w:tcPr>
          <w:p>
            <w:pPr>
              <w:pStyle w:val="TableContents"/>
              <w:spacing w:before="0" w:after="0" w:line="240" w:lineRule="atLeast"/>
            </w:pPr>
            <w:r>
              <w:rPr>
                <w:rFonts w:ascii="Arial" w:hAnsi="Arial" w:cs="Arial" w:eastAsia="Arial"/>
                <w:sz w:val="16"/>
                <w:szCs w:val="16"/>
              </w:rPr>
              <w:t>Requires assessment of engineering controls before barricading is selected, mandates barricading of excavation edges as a minimum scenario, and requires the Barricading Plan to define the authorised entry process for barricaded areas.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§62.2</w:t>
            </w:r>
          </w:p>
        </w:tc>
        <w:tc>
          <w:tcPr>
            <w:tcW w:type="dxa" w:w="2256"/>
          </w:tcPr>
          <w:p>
            <w:pPr>
              <w:pStyle w:val="TableContents"/>
              <w:spacing w:before="0" w:after="0" w:line="240" w:lineRule="atLeast"/>
            </w:pPr>
            <w:r>
              <w:rPr>
                <w:rFonts w:ascii="Arial" w:hAnsi="Arial" w:cs="Arial" w:eastAsia="Arial"/>
                <w:sz w:val="16"/>
                <w:szCs w:val="16"/>
              </w:rPr>
              <w:t>Requires barricading of all excavations where personnel or machinery could approach the edge, with solid barricading for excavations intended to remain open for extended periods.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§62.7</w:t>
            </w:r>
          </w:p>
        </w:tc>
        <w:tc>
          <w:tcPr>
            <w:tcW w:type="dxa" w:w="2256"/>
          </w:tcPr>
          <w:p>
            <w:pPr>
              <w:pStyle w:val="TableContents"/>
              <w:spacing w:before="0" w:after="0" w:line="240" w:lineRule="atLeast"/>
            </w:pPr>
            <w:r>
              <w:rPr>
                <w:rFonts w:ascii="Arial" w:hAnsi="Arial" w:cs="Arial" w:eastAsia="Arial"/>
                <w:sz w:val="16"/>
                <w:szCs w:val="16"/>
              </w:rPr>
              <w:t>Requires solid barricading where barricades exceed two metres height, where flooring or handrails are removed creating fall risk, or where holes or excavations remain open, and prohibits rope or chain as a handrail substitute.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§63.0.1</w:t>
            </w:r>
          </w:p>
        </w:tc>
        <w:tc>
          <w:tcPr>
            <w:tcW w:type="dxa" w:w="2256"/>
          </w:tcPr>
          <w:p>
            <w:pPr>
              <w:pStyle w:val="TableContents"/>
              <w:spacing w:before="0" w:after="0" w:line="240" w:lineRule="atLeast"/>
            </w:pPr>
            <w:r>
              <w:rPr>
                <w:rFonts w:ascii="Arial" w:hAnsi="Arial" w:cs="Arial" w:eastAsia="Arial"/>
                <w:sz w:val="16"/>
                <w:szCs w:val="16"/>
              </w:rPr>
              <w:t>Requires a SIMOPS assessment for all excavation and penetration activities in areas where other work scopes are active, with the SIMOPS plan defining safe separation distances and coordination protocols.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