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Working at Heights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Working at Heights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applies to all work where a person could fall two metres or more - or where local legislation sets a lower threshold - and covers all platforms (fixed, mobile, temporary), fall arrest systems, MEWP operations, crane suspended workboxes, and dropped object prevention. Scaffolding erection, use, and dismantling is addressed in the standalone Scaffolding Procedure.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working at heights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height threshold that triggers its application, and the activities and lifecycle phases it governs on this project.</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why this procedure exists, what it governs, and how it connects to related project procedures.</w:t>
      </w:r>
    </w:p>
    <w:p>
      <w:pPr>
        <w:pStyle w:val="NormalNumberedtext"/>
      </w:pPr>
      <w:r>
        <w:t>This procedure establishes the minimum requirements for managing the risk of falls from height and falling objects on this project. It applies to all Rio Tinto staff and contractor personnel performing work at height during execution, commissioning, and handover phases.</w:t>
      </w:r>
    </w:p>
    <w:p>
      <w:pPr>
        <w:pStyle w:val="NormalNumberedtext"/>
      </w:pPr>
      <w:r>
        <w:t>This procedure operationalises the Rio Tinto Fall from Height Standard (RT C4) and the Rio Tinto Falling Objects Standard into a project-specific working at heights management system. It integrates with the project Permit to Work system, the risk management process, and the PPE procedure.</w:t>
      </w:r>
    </w:p>
    <w:p>
      <w:pPr>
        <w:pStyle w:val="NormalNumberedtext"/>
      </w:pPr>
      <w:r>
        <w:t>Risk assessments required before and during height work are governed by [INSERT: Project Document Number]. Competency requirements and training records for height work are governed by [INSERT: Project Document Number] and documented in [INSERT: Project Document Number]. Fall protection equipment selection and maintenance are governed by [INSERT: Project Document Number]. Scaffold construction and use are governed by [INSERT: Project Document Number] and are not repeated in this procedure. Incidents involving falls or dropped objects are reported per [INSERT: Project Document Number].</w:t>
      </w:r>
    </w:p>
    <w:p>
      <w:pPr>
        <w:pStyle w:val="NormalNumberedtext"/>
      </w:pPr>
    </w:p>
    <w:p>
      <w:pPr>
        <w:pStyle w:val="Heading2Numbered"/>
        <w:numPr>
          <w:ilvl w:val="1"/>
          <w:numId w:val="1"/>
        </w:numPr>
      </w:pPr>
      <w:r>
        <w:rPr>
          <w:rFonts w:ascii="Arial" w:hAnsi="Arial" w:cs="Arial" w:eastAsia="Arial"/>
        </w:rPr>
        <w:t>Height Threshold</w:t>
      </w:r>
    </w:p>
    <w:p>
      <w:pPr>
        <w:pStyle w:val="NormalNumberedtext"/>
      </w:pPr>
      <w:r>
        <w:t>This section defines the height above which this procedure's requirements apply on this project.</w:t>
      </w:r>
    </w:p>
    <w:p>
      <w:pPr>
        <w:pStyle w:val="NormalNumberedtext"/>
      </w:pPr>
      <w:r>
        <w:t>This procedure applies to all work performed at or above the project height threshold. The default project threshold is 2 metres, measured from the work surface to the level below to which a person could fall.</w:t>
      </w:r>
    </w:p>
    <w:p>
      <w:pPr>
        <w:pStyle w:val="NormalNumberedtext"/>
      </w:pPr>
      <w:r>
        <w:t>Where applicable legislation in the project jurisdiction sets a lower threshold than 2 metres, the lower threshold applies and must be documented below:</w:t>
      </w:r>
    </w:p>
    <w:p>
      <w:pPr>
        <w:pStyle w:val="NormalNumberedtext"/>
      </w:pPr>
      <w:r>
        <w:rPr>
          <w:b/>
          <w:bCs/>
          <w:color w:val="0059D1"/>
        </w:rPr>
        <w:t>[INSERT: project_height_threshold] — Confirm the project height threshold. The procedure default is 2 metres. If applicable legislation sets a lower threshold, insert the lower figure and the legislative reference here.</w:t>
      </w:r>
    </w:p>
    <w:p>
      <w:pPr>
        <w:pStyle w:val="NormalNumberedtext"/>
      </w:pPr>
      <w:r>
        <w:t>This procedure also applies below the height threshold wherever a risk assessment conducted under [INSERT: Project Document Number] identifies that a fall at any height could result in a fatal or serious injury, including falls onto fixed objects, into excavations, or over open edges.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work activities and site areas fall within the scope of this procedure.</w:t>
      </w:r>
    </w:p>
    <w:p>
      <w:pPr>
        <w:pStyle w:val="NormalNumberedtext"/>
      </w:pPr>
      <w:r>
        <w:t>This procedure applies to all work at height activities on the project, including work on fixed and temporary structures, mobile elevating work platforms, crane suspended workboxes, open edges, excavations, and pit walls. Scaffold construction and use are governed by [INSERT: Project Document Number].</w:t>
      </w:r>
    </w:p>
    <w:p>
      <w:pPr>
        <w:pStyle w:val="NormalNumberedtext"/>
      </w:pPr>
      <w:r>
        <w:t>Energy isolation requirements before height work on plant or energised equipment are governed by [INSERT: Project Document Number] and are not repeated in this procedure.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working at heights responsibilities for all project roles, covering governance, assessment execution, inspection, rescue planning, and dropped object prevention.</w:t>
      </w:r>
    </w:p>
    <w:p>
      <w:pPr>
        <w:pStyle w:val="NormalNumberedtext"/>
      </w:pPr>
      <w:r>
        <w:t>Table 1: Working at Heights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Project Manager</w:t>
            </w:r>
          </w:p>
        </w:tc>
        <w:tc>
          <w:tcPr>
            <w:tcW w:type="dxa" w:w="4889"/>
          </w:tcPr>
          <w:p>
            <w:pPr>
              <w:pStyle w:val="TableContents"/>
              <w:spacing w:before="0" w:after="0" w:line="240" w:lineRule="atLeast"/>
            </w:pPr>
            <w:r>
              <w:rPr>
                <w:rFonts w:ascii="Arial" w:hAnsi="Arial" w:cs="Arial" w:eastAsia="Arial"/>
                <w:sz w:val="16"/>
                <w:szCs w:val="16"/>
              </w:rPr>
              <w:t>Ensures adequate resources are allocated for compliant height work access, rescue equipment, and DROPS programme. Approves project-specific rescue plan governance.</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Maintains the DROPS register. Approves height-related JHAs and rescue plans. Reviews anchor point certification records. Monitors compliance with this procedure.</w:t>
            </w:r>
          </w:p>
        </w:tc>
      </w:tr>
      <w:tr>
        <w:tc>
          <w:tcPr>
            <w:tcW w:type="dxa" w:w="4888"/>
          </w:tcPr>
          <w:p>
            <w:pPr>
              <w:pStyle w:val="TableContents"/>
              <w:spacing w:before="0" w:after="0" w:line="240" w:lineRule="atLeast"/>
            </w:pPr>
            <w:r>
              <w:rPr>
                <w:rFonts w:ascii="Arial" w:hAnsi="Arial" w:cs="Arial" w:eastAsia="Arial"/>
                <w:sz w:val="16"/>
                <w:szCs w:val="16"/>
              </w:rPr>
              <w:t>Construction Manager</w:t>
            </w:r>
          </w:p>
        </w:tc>
        <w:tc>
          <w:tcPr>
            <w:tcW w:type="dxa" w:w="4889"/>
          </w:tcPr>
          <w:p>
            <w:pPr>
              <w:pStyle w:val="TableContents"/>
              <w:spacing w:before="0" w:after="0" w:line="240" w:lineRule="atLeast"/>
            </w:pPr>
            <w:r>
              <w:rPr>
                <w:rFonts w:ascii="Arial" w:hAnsi="Arial" w:cs="Arial" w:eastAsia="Arial"/>
                <w:sz w:val="16"/>
                <w:szCs w:val="16"/>
              </w:rPr>
              <w:t xml:space="preserve">Ensures height work is planned using the hierarchy of controls before mobilisation. Approves working at heights permits through the PTW system per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Work Supervisor</w:t>
            </w:r>
          </w:p>
        </w:tc>
        <w:tc>
          <w:tcPr>
            <w:tcW w:type="dxa" w:w="4889"/>
          </w:tcPr>
          <w:p>
            <w:pPr>
              <w:pStyle w:val="TableContents"/>
              <w:spacing w:before="0" w:after="0" w:line="240" w:lineRule="atLeast"/>
            </w:pPr>
            <w:r>
              <w:rPr>
                <w:rFonts w:ascii="Arial" w:hAnsi="Arial" w:cs="Arial" w:eastAsia="Arial"/>
                <w:sz w:val="16"/>
                <w:szCs w:val="16"/>
              </w:rPr>
              <w:t>Ensures a working at heights permit is raised before work commences. Briefs the work group on the JHA and rescue plan. Confirms equipment pre-use inspection is completed and recorded.</w:t>
            </w:r>
          </w:p>
        </w:tc>
      </w:tr>
      <w:tr>
        <w:tc>
          <w:tcPr>
            <w:tcW w:type="dxa" w:w="4888"/>
          </w:tcPr>
          <w:p>
            <w:pPr>
              <w:pStyle w:val="TableContents"/>
              <w:spacing w:before="0" w:after="0" w:line="240" w:lineRule="atLeast"/>
            </w:pPr>
            <w:r>
              <w:rPr>
                <w:rFonts w:ascii="Arial" w:hAnsi="Arial" w:cs="Arial" w:eastAsia="Arial"/>
                <w:sz w:val="16"/>
                <w:szCs w:val="16"/>
              </w:rPr>
              <w:t>Competent Person - Height Work</w:t>
            </w:r>
          </w:p>
        </w:tc>
        <w:tc>
          <w:tcPr>
            <w:tcW w:type="dxa" w:w="4889"/>
          </w:tcPr>
          <w:p>
            <w:pPr>
              <w:pStyle w:val="TableContents"/>
              <w:spacing w:before="0" w:after="0" w:line="240" w:lineRule="atLeast"/>
            </w:pPr>
            <w:r>
              <w:rPr>
                <w:rFonts w:ascii="Arial" w:hAnsi="Arial" w:cs="Arial" w:eastAsia="Arial"/>
                <w:sz w:val="16"/>
                <w:szCs w:val="16"/>
              </w:rPr>
              <w:t xml:space="preserve">Inspects and certifies anchor points. Inspects fall protection equipment. Prepares or reviews task-specific rescue plans. Qualifications documented per </w:t>
            </w:r>
            <w:r>
              <w:rPr>
                <w:rFonts w:ascii="Arial" w:hAnsi="Arial" w:cs="Arial" w:eastAsia="Arial"/>
                <w:b/>
                <w:bCs/>
                <w:color w:val="0059D1"/>
                <w:sz w:val="16"/>
                <w:szCs w:val="16"/>
              </w:rPr>
              <w:t>[INSERT: Project Document Number]</w:t>
            </w:r>
            <w:r>
              <w:rPr>
                <w:rFonts w:ascii="Arial" w:hAnsi="Arial" w:cs="Arial" w:eastAsia="Arial"/>
                <w:sz w:val="16"/>
                <w:szCs w:val="16"/>
              </w:rPr>
              <w:t xml:space="preserve"> in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MEWP Operator</w:t>
            </w:r>
          </w:p>
        </w:tc>
        <w:tc>
          <w:tcPr>
            <w:tcW w:type="dxa" w:w="4889"/>
          </w:tcPr>
          <w:p>
            <w:pPr>
              <w:pStyle w:val="TableContents"/>
              <w:spacing w:before="0" w:after="0" w:line="240" w:lineRule="atLeast"/>
            </w:pPr>
            <w:r>
              <w:rPr>
                <w:rFonts w:ascii="Arial" w:hAnsi="Arial" w:cs="Arial" w:eastAsia="Arial"/>
                <w:sz w:val="16"/>
                <w:szCs w:val="16"/>
              </w:rPr>
              <w:t>Completes pre-use inspection checklist before every operation. Operates within rated capacity and assessed ground conditions. Wears fall restraint attached to manufacturer-certified anchor at all times in the basket.</w:t>
            </w:r>
          </w:p>
        </w:tc>
      </w:tr>
      <w:tr>
        <w:tc>
          <w:tcPr>
            <w:tcW w:type="dxa" w:w="4888"/>
          </w:tcPr>
          <w:p>
            <w:pPr>
              <w:pStyle w:val="TableContents"/>
              <w:spacing w:before="0" w:after="0" w:line="240" w:lineRule="atLeast"/>
            </w:pPr>
            <w:r>
              <w:rPr>
                <w:rFonts w:ascii="Arial" w:hAnsi="Arial" w:cs="Arial" w:eastAsia="Arial"/>
                <w:sz w:val="16"/>
                <w:szCs w:val="16"/>
              </w:rPr>
              <w:t>Spotter</w:t>
            </w:r>
          </w:p>
        </w:tc>
        <w:tc>
          <w:tcPr>
            <w:tcW w:type="dxa" w:w="4889"/>
          </w:tcPr>
          <w:p>
            <w:pPr>
              <w:pStyle w:val="TableContents"/>
              <w:spacing w:before="0" w:after="0" w:line="240" w:lineRule="atLeast"/>
            </w:pPr>
            <w:r>
              <w:rPr>
                <w:rFonts w:ascii="Arial" w:hAnsi="Arial" w:cs="Arial" w:eastAsia="Arial"/>
                <w:sz w:val="16"/>
                <w:szCs w:val="16"/>
              </w:rPr>
              <w:t>Maintains direct visual contact with the MEWP platform and personnel at all times during elevated operations. Holds equivalent MEWP qualifications to the operator. Monitors barricaded exclusion zones below overhead work.</w:t>
            </w:r>
          </w:p>
        </w:tc>
      </w:tr>
      <w:tr>
        <w:tc>
          <w:tcPr>
            <w:tcW w:type="dxa" w:w="4888"/>
          </w:tcPr>
          <w:p>
            <w:pPr>
              <w:pStyle w:val="TableContents"/>
              <w:spacing w:before="0" w:after="0" w:line="240" w:lineRule="atLeast"/>
            </w:pPr>
            <w:r>
              <w:rPr>
                <w:rFonts w:ascii="Arial" w:hAnsi="Arial" w:cs="Arial" w:eastAsia="Arial"/>
                <w:sz w:val="16"/>
                <w:szCs w:val="16"/>
              </w:rPr>
              <w:t>All Workers</w:t>
            </w:r>
          </w:p>
        </w:tc>
        <w:tc>
          <w:tcPr>
            <w:tcW w:type="dxa" w:w="4889"/>
          </w:tcPr>
          <w:p>
            <w:pPr>
              <w:pStyle w:val="TableContents"/>
              <w:spacing w:before="0" w:after="0" w:line="240" w:lineRule="atLeast"/>
            </w:pPr>
            <w:r>
              <w:rPr>
                <w:rFonts w:ascii="Arial" w:hAnsi="Arial" w:cs="Arial" w:eastAsia="Arial"/>
                <w:sz w:val="16"/>
                <w:szCs w:val="16"/>
              </w:rPr>
              <w:t>Complete Take 5 before height work. Report defective equipment immediately to the supervisor. Do not commence height work without a valid permit. Attend rescue plan briefing before work commences.</w:t>
            </w:r>
          </w:p>
        </w:tc>
      </w:tr>
      <w:tr>
        <w:tc>
          <w:tcPr>
            <w:tcW w:type="dxa" w:w="4888"/>
          </w:tcPr>
          <w:p>
            <w:pPr>
              <w:pStyle w:val="TableContents"/>
              <w:spacing w:before="0" w:after="0" w:line="240" w:lineRule="atLeast"/>
            </w:pPr>
            <w:r>
              <w:rPr>
                <w:rFonts w:ascii="Arial" w:hAnsi="Arial" w:cs="Arial" w:eastAsia="Arial"/>
                <w:b/>
                <w:bCs/>
                <w:color w:val="0059D1"/>
                <w:sz w:val="16"/>
                <w:szCs w:val="16"/>
              </w:rPr>
              <w:t>[INSERT: role]</w:t>
            </w:r>
          </w:p>
        </w:tc>
        <w:tc>
          <w:tcPr>
            <w:tcW w:type="dxa" w:w="4889"/>
          </w:tcPr>
          <w:p>
            <w:pPr>
              <w:pStyle w:val="TableContents"/>
              <w:spacing w:before="0" w:after="0" w:line="240" w:lineRule="atLeast"/>
            </w:pPr>
            <w:r>
              <w:rPr>
                <w:rFonts w:ascii="Arial" w:hAnsi="Arial" w:cs="Arial" w:eastAsia="Arial"/>
                <w:b/>
                <w:bCs/>
                <w:color w:val="0059D1"/>
                <w:sz w:val="16"/>
                <w:szCs w:val="16"/>
              </w:rPr>
              <w:t>[INSERT: responsibility]</w:t>
            </w:r>
          </w:p>
        </w:tc>
      </w:tr>
    </w:tbl>
    <w:p>
      <w:pPr>
        <w:pStyle w:val="NormalNumberedtext"/>
      </w:pPr>
    </w:p>
    <w:p>
      <w:pPr>
        <w:pStyle w:val="Heading1Numbered"/>
        <w:numPr>
          <w:ilvl w:val="0"/>
          <w:numId w:val="1"/>
        </w:numPr>
      </w:pPr>
      <w:r>
        <w:rPr>
          <w:rFonts w:ascii="Arial" w:hAnsi="Arial" w:cs="Arial" w:eastAsia="Arial"/>
        </w:rPr>
        <w:t>Hierarchy of Controls for Working at Height</w:t>
      </w:r>
    </w:p>
    <w:p>
      <w:pPr>
        <w:pStyle w:val="NormalNumberedtext"/>
      </w:pPr>
      <w:r>
        <w:t>This section defines the mandatory sequence of control selection for all work at height on this project, from elimination through to fall arrest as a last resort.</w:t>
      </w:r>
    </w:p>
    <w:p>
      <w:pPr>
        <w:pStyle w:val="NormalNumberedtext"/>
      </w:pPr>
    </w:p>
    <w:p>
      <w:pPr>
        <w:pStyle w:val="Heading2Numbered"/>
        <w:numPr>
          <w:ilvl w:val="1"/>
          <w:numId w:val="1"/>
        </w:numPr>
      </w:pPr>
      <w:r>
        <w:rPr>
          <w:rFonts w:ascii="Arial" w:hAnsi="Arial" w:cs="Arial" w:eastAsia="Arial"/>
        </w:rPr>
        <w:t>Control Selection Sequence</w:t>
      </w:r>
    </w:p>
    <w:p>
      <w:pPr>
        <w:pStyle w:val="NormalNumberedtext"/>
      </w:pPr>
      <w:r>
        <w:t>This section requires all height work to be evaluated against the full hierarchy before any control tier is selected.</w:t>
      </w:r>
    </w:p>
    <w:p>
      <w:pPr>
        <w:pStyle w:val="NormalNumberedtext"/>
      </w:pPr>
      <w:r>
        <w:t>All work at height must be evaluated against the hierarchy of controls before a working method is selected. The hierarchy is applied in the sequence below. Each lower tier requires documented justification that the tier above is not reasonably practicable:</w:t>
      </w:r>
    </w:p>
    <w:p>
      <w:pPr>
        <w:pStyle w:val="NormalNumberedtext"/>
      </w:pPr>
      <w:r>
        <w:t>The hierarchy of controls for working at height is applied in the following sequence:</w:t>
      </w:r>
    </w:p>
    <w:p>
      <w:pPr>
        <w:pStyle w:val="NumberedBulletL1"/>
      </w:pPr>
      <w:r>
        <w:t>Elimination - redesign the task, structure, or sequence to remove the need to work at height entirely. Elimination must be the first option assessed for every height task.</w:t>
      </w:r>
    </w:p>
    <w:p>
      <w:pPr>
        <w:pStyle w:val="NumberedBulletL1"/>
      </w:pPr>
      <w:r>
        <w:t>Engineering controls - where elimination is not reasonably practicable, engineer out the hazard using fixed platforms, permanent guardrails, or elevated work platforms that provide collective protection for all personnel in the work area.</w:t>
      </w:r>
    </w:p>
    <w:p>
      <w:pPr>
        <w:pStyle w:val="NumberedBulletL1"/>
      </w:pPr>
      <w:r>
        <w:t>Administrative controls - where engineering controls cannot fully eliminate the fall risk, apply administrative controls including a working at heights permit raised via the site PTW system, refer [INSERT: Project Document Number], a task-specific JHA per [INSERT: Project Document Number], and pre-task briefings.</w:t>
      </w:r>
    </w:p>
    <w:p>
      <w:pPr>
        <w:pStyle w:val="NumberedBulletL1"/>
      </w:pPr>
      <w:r>
        <w:t>PPE - fall arrest using a full-body harness and approved lanyard is permitted only as a last resort where elimination, engineering, and administrative controls cannot adequately manage the risk. Documented justification is required before fall arrest PPE is relied upon as a primary control. Fall protection equipment requirements are governed by [INSERT: Project Document Number].</w:t>
      </w:r>
    </w:p>
    <w:p>
      <w:pPr>
        <w:pStyle w:val="NormalNumberedtext"/>
      </w:pPr>
      <w:r>
        <w:t>Collective protective measures - barriers, guardrails, and safety nets - are prioritised over individual fall protection measures wherever collective measures are feasible. Individual fall protection measures such as harnesses and lanyards are not substituted for collective measures unless a risk assessment conducted under [INSERT: Project Document Number] demonstrates that collective measures are not reasonably practicable.</w:t>
      </w:r>
    </w:p>
    <w:p>
      <w:pPr>
        <w:pStyle w:val="NormalNumberedtext"/>
      </w:pPr>
      <w:r>
        <w:t>A documented Working at Heights Permit is required for all work at height. The permit is integrated with the site PTW system and must reflect the control hierarchy, confirming that elimination and engineered access equipment have been evaluated before administrative controls and PPE are relied upon. Raise a permit via the site PTW system before commencing work, refer [INSERT: Project Document Number].</w:t>
      </w:r>
    </w:p>
    <w:p>
      <w:pPr>
        <w:pStyle w:val="NormalNumberedtext"/>
      </w:pPr>
    </w:p>
    <w:p>
      <w:pPr>
        <w:pStyle w:val="Heading1Numbered"/>
        <w:numPr>
          <w:ilvl w:val="0"/>
          <w:numId w:val="1"/>
        </w:numPr>
      </w:pPr>
      <w:r>
        <w:rPr>
          <w:rFonts w:ascii="Arial" w:hAnsi="Arial" w:cs="Arial" w:eastAsia="Arial"/>
        </w:rPr>
        <w:t>Fall Protection Systems and Anchor Points</w:t>
      </w:r>
    </w:p>
    <w:p>
      <w:pPr>
        <w:pStyle w:val="NormalNumberedtext"/>
      </w:pPr>
      <w:r>
        <w:t>This section defines anchor point load requirements, harness use obligations, rope access requirements, and anchor inspection requirements for all fall protection systems on the project.</w:t>
      </w:r>
    </w:p>
    <w:p>
      <w:pPr>
        <w:pStyle w:val="NormalNumberedtext"/>
      </w:pPr>
    </w:p>
    <w:p>
      <w:pPr>
        <w:pStyle w:val="Heading2Numbered"/>
        <w:numPr>
          <w:ilvl w:val="1"/>
          <w:numId w:val="1"/>
        </w:numPr>
      </w:pPr>
      <w:r>
        <w:rPr>
          <w:rFonts w:ascii="Arial" w:hAnsi="Arial" w:cs="Arial" w:eastAsia="Arial"/>
        </w:rPr>
        <w:t>Anchor Point Requirements</w:t>
      </w:r>
    </w:p>
    <w:p>
      <w:pPr>
        <w:pStyle w:val="NormalNumberedtext"/>
      </w:pPr>
      <w:r>
        <w:t>This section defines the structural, marking, and certification requirements for all permanent and temporary anchor systems.</w:t>
      </w:r>
    </w:p>
    <w:p>
      <w:pPr>
        <w:pStyle w:val="NormalNumberedtext"/>
      </w:pPr>
      <w:r>
        <w:t>All anchor systems, whether permanent or temporary, must be designed and certified to withstand the following minimum static loads:</w:t>
      </w:r>
    </w:p>
    <w:p>
      <w:pPr>
        <w:pStyle w:val="NormalNumberedtext"/>
      </w:pPr>
      <w:r>
        <w:t>Minimum anchor system load ratings are:</w:t>
      </w:r>
    </w:p>
    <w:p>
      <w:pPr>
        <w:pStyle w:val="NumberedBulletL1"/>
      </w:pPr>
      <w:r>
        <w:t>15 kN for single-person use.</w:t>
      </w:r>
    </w:p>
    <w:p>
      <w:pPr>
        <w:pStyle w:val="NumberedBulletL1"/>
      </w:pPr>
      <w:r>
        <w:t>21 kN for two-person use.</w:t>
      </w:r>
    </w:p>
    <w:p>
      <w:pPr>
        <w:pStyle w:val="NumberedBulletL1"/>
      </w:pPr>
      <w:r>
        <w:t>Higher loads where required by applicable local legislation or the equipment manufacturer's specification - the more stringent requirement applies.</w:t>
      </w:r>
    </w:p>
    <w:p>
      <w:pPr>
        <w:pStyle w:val="NormalNumberedtext"/>
      </w:pPr>
      <w:r>
        <w:t>Every anchor point must be clearly and durably marked with its intended use, the maximum number of users it is rated for, and its current inspection and certification status. Anchor points without current marking are removed from service until marked and re-certified.</w:t>
      </w:r>
    </w:p>
    <w:p>
      <w:pPr>
        <w:pStyle w:val="NormalNumberedtext"/>
      </w:pPr>
      <w:r>
        <w:t>All anchor points must be independently certified, with load ratings documented in the project anchor register. A competent person inspects each anchor point before every use and records the inspection outcome. Anchor inspection and certification records are maintained per the project document management requirements:</w:t>
      </w:r>
    </w:p>
    <w:p>
      <w:pPr>
        <w:pStyle w:val="NormalNumberedtext"/>
      </w:pPr>
      <w:r>
        <w:rPr>
          <w:b/>
          <w:bCs/>
          <w:color w:val="0059D1"/>
        </w:rPr>
        <w:t>[INSERT: anchor_inspection_certification_process] — Define the project anchor system inspection and certification process: who inspects, what documentation is required, where records are kept. Reference RTPR-HSE-REG-0003 via RTPR-HSE-PRO-0004 for competency records.</w:t>
      </w:r>
    </w:p>
    <w:p>
      <w:pPr>
        <w:pStyle w:val="NormalNumberedtext"/>
      </w:pPr>
    </w:p>
    <w:p>
      <w:pPr>
        <w:pStyle w:val="Heading2Numbered"/>
        <w:numPr>
          <w:ilvl w:val="1"/>
          <w:numId w:val="1"/>
        </w:numPr>
      </w:pPr>
      <w:r>
        <w:rPr>
          <w:rFonts w:ascii="Arial" w:hAnsi="Arial" w:cs="Arial" w:eastAsia="Arial"/>
        </w:rPr>
        <w:t>Harness and Lanyard Use</w:t>
      </w:r>
    </w:p>
    <w:p>
      <w:pPr>
        <w:pStyle w:val="NormalNumberedtext"/>
      </w:pPr>
      <w:r>
        <w:t>This section defines when full-body harness use is mandatory and the fall distance minimisation requirement.</w:t>
      </w:r>
    </w:p>
    <w:p>
      <w:pPr>
        <w:pStyle w:val="NormalNumberedtext"/>
      </w:pPr>
      <w:r>
        <w:t>A full-body harness attached to an approved and currently certified anchor point is mandatory when a worker is at two metres or more above a lower level and is working outside the protection of a compliant platform with handrails. The harness and lanyard system must be selected and rigged to minimise total fall distance, including free fall distance and deceleration distance.</w:t>
      </w:r>
    </w:p>
    <w:p>
      <w:pPr>
        <w:pStyle w:val="NormalNumberedtext"/>
      </w:pPr>
      <w:r>
        <w:t>Fall protection equipment selection, maintenance, and inspection requirements are governed by [INSERT: Project Document Number] and are not repeated in this procedure.</w:t>
      </w:r>
    </w:p>
    <w:p>
      <w:pPr>
        <w:pStyle w:val="NormalNumberedtext"/>
      </w:pPr>
    </w:p>
    <w:p>
      <w:pPr>
        <w:pStyle w:val="Heading2Numbered"/>
        <w:numPr>
          <w:ilvl w:val="1"/>
          <w:numId w:val="1"/>
        </w:numPr>
      </w:pPr>
      <w:r>
        <w:rPr>
          <w:rFonts w:ascii="Arial" w:hAnsi="Arial" w:cs="Arial" w:eastAsia="Arial"/>
        </w:rPr>
        <w:t>Rope Access</w:t>
      </w:r>
    </w:p>
    <w:p>
      <w:pPr>
        <w:pStyle w:val="NormalNumberedtext"/>
      </w:pPr>
      <w:r>
        <w:t>This section defines the standards and operational framework requirements for rope access operations on the project.</w:t>
      </w:r>
    </w:p>
    <w:p>
      <w:pPr>
        <w:pStyle w:val="NormalNumberedtext"/>
      </w:pPr>
      <w:r>
        <w:t>Where rope access techniques are required, all rope access equipment must meet applicable national or international standards. Rope access operations must be planned and executed in alignment with a globally recognised rope access framework such as IRATA, SPRAT, or an equivalent standard approved by the HSESC Manager before work commences.</w:t>
      </w:r>
    </w:p>
    <w:p>
      <w:pPr>
        <w:pStyle w:val="NormalNumberedtext"/>
      </w:pPr>
      <w:r>
        <w:t>Rope access personnel competency is documented per [INSERT: Project Document Number] in [INSERT: Project Document Number]. A working at heights permit is raised via the site PTW system before rope access work commences, refer [INSERT: Project Document Number].</w:t>
      </w:r>
    </w:p>
    <w:p>
      <w:pPr>
        <w:pStyle w:val="NormalNumberedtext"/>
      </w:pPr>
    </w:p>
    <w:p>
      <w:pPr>
        <w:pStyle w:val="Heading1Numbered"/>
        <w:numPr>
          <w:ilvl w:val="0"/>
          <w:numId w:val="1"/>
        </w:numPr>
      </w:pPr>
      <w:r>
        <w:rPr>
          <w:rFonts w:ascii="Arial" w:hAnsi="Arial" w:cs="Arial" w:eastAsia="Arial"/>
        </w:rPr>
        <w:t>Platform Requirements</w:t>
      </w:r>
    </w:p>
    <w:p>
      <w:pPr>
        <w:pStyle w:val="NormalNumberedtext"/>
      </w:pPr>
      <w:r>
        <w:t>This section defines design, load rating, surface, edge protection, and dropped object prevention requirements for all fixed, mobile, and temporary work platforms.</w:t>
      </w:r>
    </w:p>
    <w:p>
      <w:pPr>
        <w:pStyle w:val="NormalNumberedtext"/>
      </w:pPr>
    </w:p>
    <w:p>
      <w:pPr>
        <w:pStyle w:val="Heading2Numbered"/>
        <w:numPr>
          <w:ilvl w:val="1"/>
          <w:numId w:val="1"/>
        </w:numPr>
      </w:pPr>
      <w:r>
        <w:rPr>
          <w:rFonts w:ascii="Arial" w:hAnsi="Arial" w:cs="Arial" w:eastAsia="Arial"/>
        </w:rPr>
        <w:t>Design and Structural Requirements</w:t>
      </w:r>
    </w:p>
    <w:p>
      <w:pPr>
        <w:pStyle w:val="NormalNumberedtext"/>
      </w:pPr>
      <w:r>
        <w:t>This section defines competency, load, and surface requirements for all work platforms used on the project.</w:t>
      </w:r>
    </w:p>
    <w:p>
      <w:pPr>
        <w:pStyle w:val="NormalNumberedtext"/>
      </w:pPr>
      <w:r>
        <w:t>All fixed, mobile, and temporary work platforms must be designed by a competent person for both static and dynamic loads. The design load rating must be displayed on the platform. Non-slip surfaces must be provided across all walking and working surfaces, and all openings and voids must be secured against unplanned access.</w:t>
      </w:r>
    </w:p>
    <w:p>
      <w:pPr>
        <w:pStyle w:val="NormalNumberedtext"/>
      </w:pPr>
      <w:r>
        <w:t>Handrails on work platforms must be installed at a minimum height of 900 mm from the platform floor. Safe access and egress must be provided to and from every work platform. Scaffold platforms are governed by [INSERT: Project Document Number] and are not addressed in this procedure.</w:t>
      </w:r>
    </w:p>
    <w:p>
      <w:pPr>
        <w:pStyle w:val="NormalNumberedtext"/>
      </w:pPr>
    </w:p>
    <w:p>
      <w:pPr>
        <w:pStyle w:val="Heading2Numbered"/>
        <w:numPr>
          <w:ilvl w:val="1"/>
          <w:numId w:val="1"/>
        </w:numPr>
      </w:pPr>
      <w:r>
        <w:rPr>
          <w:rFonts w:ascii="Arial" w:hAnsi="Arial" w:cs="Arial" w:eastAsia="Arial"/>
        </w:rPr>
        <w:t>Dropped Object Prevention on Platforms</w:t>
      </w:r>
    </w:p>
    <w:p>
      <w:pPr>
        <w:pStyle w:val="NormalNumberedtext"/>
      </w:pPr>
      <w:r>
        <w:t>This section defines the physical controls required on work platforms to prevent objects from falling to lower levels.</w:t>
      </w:r>
    </w:p>
    <w:p>
      <w:pPr>
        <w:pStyle w:val="NormalNumberedtext"/>
      </w:pPr>
      <w:r>
        <w:t>All work platforms must incorporate the following dropped object prevention measures as a minimum requirement:</w:t>
      </w:r>
    </w:p>
    <w:p>
      <w:pPr>
        <w:pStyle w:val="NormalNumberedtext"/>
      </w:pPr>
      <w:r>
        <w:t>Platform-level dropped object prevention controls include:</w:t>
      </w:r>
    </w:p>
    <w:p>
      <w:pPr>
        <w:pStyle w:val="NumberedBulletL1"/>
      </w:pPr>
      <w:r>
        <w:t>Toe boards fitted to all open edges of elevated platforms.</w:t>
      </w:r>
    </w:p>
    <w:p>
      <w:pPr>
        <w:pStyle w:val="NumberedBulletL1"/>
      </w:pPr>
      <w:r>
        <w:t>Mesh or solid barricading below elevated work areas where personnel or assets are present at lower levels.</w:t>
      </w:r>
    </w:p>
    <w:p>
      <w:pPr>
        <w:pStyle w:val="NumberedBulletL1"/>
      </w:pPr>
      <w:r>
        <w:t>Tool tethering for all tools used at height - no tool is used on an elevated platform unless it is secured by an appropriate tether rated to exceed the tool weight plus dynamic load.</w:t>
      </w:r>
    </w:p>
    <w:p>
      <w:pPr>
        <w:pStyle w:val="NormalNumberedtext"/>
      </w:pPr>
      <w:r>
        <w:t>A risk assessment conducted under [INSERT: Project Document Number] must confirm the compatibility of securing devices with the tool, the load capacity of the tether, and the suitability of attachment points before work commences. Drop mats and sealed containers must be used for small parts and fastenings handled at height.</w:t>
      </w:r>
    </w:p>
    <w:p>
      <w:pPr>
        <w:pStyle w:val="NormalNumberedtext"/>
      </w:pPr>
    </w:p>
    <w:p>
      <w:pPr>
        <w:pStyle w:val="Heading1Numbered"/>
        <w:numPr>
          <w:ilvl w:val="0"/>
          <w:numId w:val="1"/>
        </w:numPr>
      </w:pPr>
      <w:r>
        <w:rPr>
          <w:rFonts w:ascii="Arial" w:hAnsi="Arial" w:cs="Arial" w:eastAsia="Arial"/>
        </w:rPr>
        <w:t>Open Edge Protection</w:t>
      </w:r>
    </w:p>
    <w:p>
      <w:pPr>
        <w:pStyle w:val="NormalNumberedtext"/>
      </w:pPr>
      <w:r>
        <w:t>This section defines the physical barrier requirements for all open edges on the project, including excavations, water surfaces, and geotechnical features.</w:t>
      </w:r>
    </w:p>
    <w:p>
      <w:pPr>
        <w:pStyle w:val="NormalNumberedtext"/>
      </w:pPr>
    </w:p>
    <w:p>
      <w:pPr>
        <w:pStyle w:val="Heading2Numbered"/>
        <w:numPr>
          <w:ilvl w:val="1"/>
          <w:numId w:val="1"/>
        </w:numPr>
      </w:pPr>
      <w:r>
        <w:rPr>
          <w:rFonts w:ascii="Arial" w:hAnsi="Arial" w:cs="Arial" w:eastAsia="Arial"/>
        </w:rPr>
        <w:t>Edge Protection Requirements</w:t>
      </w:r>
    </w:p>
    <w:p>
      <w:pPr>
        <w:pStyle w:val="NormalNumberedtext"/>
      </w:pPr>
      <w:r>
        <w:t>This section defines what constitutes adequate edge protection and where it is required across the project site.</w:t>
      </w:r>
    </w:p>
    <w:p>
      <w:pPr>
        <w:pStyle w:val="NormalNumberedtext"/>
      </w:pPr>
      <w:r>
        <w:t>A continuous physical barrier must be installed along all exposed perimeters where a fall hazard exists. The type and specification of edge protection is determined through a risk-based assessment conducted under [INSERT: Project Document Number]. Edge protection requirements apply to all open edges including excavation edges, water surface edges, pit walls, and windrows.</w:t>
      </w:r>
    </w:p>
    <w:p>
      <w:pPr>
        <w:pStyle w:val="NormalNumberedtext"/>
      </w:pPr>
      <w:r>
        <w:t>Edge protection is inspected before the start of each shift by the work supervisor and re-inspected after any ground movement, weather event, or vehicle activity in the vicinity. Defective or displaced edge protection is repaired before work resumes in the affected area.</w:t>
      </w:r>
    </w:p>
    <w:p>
      <w:pPr>
        <w:pStyle w:val="NormalNumberedtext"/>
      </w:pPr>
      <w:r>
        <w:t>Personnel must not sit on, stand on, or lean over any edge protection system. Where a task requires a worker to approach within one metre of an open edge, a fall restraint or fall arrest system attached to a certified anchor point must be in place before the worker moves to that position.</w:t>
      </w:r>
    </w:p>
    <w:p>
      <w:pPr>
        <w:pStyle w:val="NormalNumberedtext"/>
      </w:pPr>
    </w:p>
    <w:p>
      <w:pPr>
        <w:pStyle w:val="Heading1Numbered"/>
        <w:numPr>
          <w:ilvl w:val="0"/>
          <w:numId w:val="1"/>
        </w:numPr>
      </w:pPr>
      <w:r>
        <w:rPr>
          <w:rFonts w:ascii="Arial" w:hAnsi="Arial" w:cs="Arial" w:eastAsia="Arial"/>
        </w:rPr>
        <w:t>Mobile Elevating Work Platforms (MEWPs)</w:t>
      </w:r>
    </w:p>
    <w:p>
      <w:pPr>
        <w:pStyle w:val="NormalNumberedtext"/>
      </w:pPr>
      <w:r>
        <w:t>This section defines operator authorisation, fall restraint, pre-use inspection, anti-entrapment, ground-level control, spotter, and ground condition requirements for all MEWPs on the project.</w:t>
      </w:r>
    </w:p>
    <w:p>
      <w:pPr>
        <w:pStyle w:val="NormalNumberedtext"/>
      </w:pPr>
    </w:p>
    <w:p>
      <w:pPr>
        <w:pStyle w:val="Heading2Numbered"/>
        <w:numPr>
          <w:ilvl w:val="1"/>
          <w:numId w:val="1"/>
        </w:numPr>
      </w:pPr>
      <w:r>
        <w:rPr>
          <w:rFonts w:ascii="Arial" w:hAnsi="Arial" w:cs="Arial" w:eastAsia="Arial"/>
        </w:rPr>
        <w:t>Operator Authorisation and Fall Restraint</w:t>
      </w:r>
    </w:p>
    <w:p>
      <w:pPr>
        <w:pStyle w:val="NormalNumberedtext"/>
      </w:pPr>
      <w:r>
        <w:t>This section defines who may operate a MEWP and what fall protection is required at all times in the basket.</w:t>
      </w:r>
    </w:p>
    <w:p>
      <w:pPr>
        <w:pStyle w:val="NormalNumberedtext"/>
      </w:pPr>
      <w:r>
        <w:t>MEWP operators must be trained, assessed as competent, and formally authorised in writing before operating any MEWP on the project. Competency records are documented per [INSERT: Project Document Number] in [INSERT: Project Document Number]. An operator's authorisation specifies the MEWP categories they are permitted to operate.</w:t>
      </w:r>
    </w:p>
    <w:p>
      <w:pPr>
        <w:pStyle w:val="NormalNumberedtext"/>
      </w:pPr>
      <w:r>
        <w:t>Fall restraint, prioritised over fall arrest, must be worn and attached to a manufacturer-certified anchor point within the basket at all times during elevated MEWP operations. Fall arrest may be used in lieu of fall restraint only where the basket geometry or task configuration makes restraint impracticable, with documented justification approved by the HSESC Manager before the work commences.</w:t>
      </w:r>
    </w:p>
    <w:p>
      <w:pPr>
        <w:pStyle w:val="NormalNumberedtext"/>
      </w:pPr>
      <w:r>
        <w:t>Every MEWP must be operated within its rated load capacity. Ground conditions must be assessed as adequate for the MEWP type and loaded weight before the machine is positioned for elevated operations. The operator must not operate a MEWP on ground conditions that have not been assessed and confirmed as suitable.</w:t>
      </w:r>
    </w:p>
    <w:p>
      <w:pPr>
        <w:pStyle w:val="NormalNumberedtext"/>
      </w:pPr>
    </w:p>
    <w:p>
      <w:pPr>
        <w:pStyle w:val="Heading2Numbered"/>
        <w:numPr>
          <w:ilvl w:val="1"/>
          <w:numId w:val="1"/>
        </w:numPr>
      </w:pPr>
      <w:r>
        <w:rPr>
          <w:rFonts w:ascii="Arial" w:hAnsi="Arial" w:cs="Arial" w:eastAsia="Arial"/>
        </w:rPr>
        <w:t>Pre-Use Inspection</w:t>
      </w:r>
    </w:p>
    <w:p>
      <w:pPr>
        <w:pStyle w:val="NormalNumberedtext"/>
      </w:pPr>
      <w:r>
        <w:t>This section defines the pre-use inspection requirement and the checklist standard that applies to all MEWPs.</w:t>
      </w:r>
    </w:p>
    <w:p>
      <w:pPr>
        <w:pStyle w:val="NormalNumberedtext"/>
      </w:pPr>
      <w:r>
        <w:t>Every MEWP must be inspected by the operator against an equipment-specific pre-use inspection checklist before each use. The checklist is equipment-model-specific and covers structural, mechanical, hydraulic, electrical, and safety device items. A MEWP with any defect identified during inspection is removed from service until the defect is repaired and the machine is re-inspected and cleared by a competent person.</w:t>
      </w:r>
    </w:p>
    <w:p>
      <w:pPr>
        <w:pStyle w:val="NormalNumberedtext"/>
      </w:pPr>
      <w:r>
        <w:t>Pre-use inspection records are retained in the project equipment register. Every MEWP on the project is individually identifiable in the register with its current inspection status visible.</w:t>
      </w:r>
    </w:p>
    <w:p>
      <w:pPr>
        <w:pStyle w:val="NormalNumberedtext"/>
      </w:pPr>
    </w:p>
    <w:p>
      <w:pPr>
        <w:pStyle w:val="Heading2Numbered"/>
        <w:numPr>
          <w:ilvl w:val="1"/>
          <w:numId w:val="1"/>
        </w:numPr>
      </w:pPr>
      <w:r>
        <w:rPr>
          <w:rFonts w:ascii="Arial" w:hAnsi="Arial" w:cs="Arial" w:eastAsia="Arial"/>
        </w:rPr>
        <w:t>Anti-Entrapment and Ground-Level Controls</w:t>
      </w:r>
    </w:p>
    <w:p>
      <w:pPr>
        <w:pStyle w:val="NormalNumberedtext"/>
      </w:pPr>
      <w:r>
        <w:t>This section defines the anti-entrapment device and ground-level control requirements for all MEWPs mobilised to the project.</w:t>
      </w:r>
    </w:p>
    <w:p>
      <w:pPr>
        <w:pStyle w:val="NormalNumberedtext"/>
      </w:pPr>
      <w:r>
        <w:t>All MEWPs mobilised to this project must be fitted with an anti-crushing or anti-entrapment device before first use. Where available, this device must be an OEM-approved pressure-sensitive system. Where an OEM pressure-sensitive device is not available for the specific MEWP model, an alternative approved anti-entrapment device must be fitted and approved in writing by the Company representative before the MEWP is permitted for use on the project.</w:t>
      </w:r>
    </w:p>
    <w:p>
      <w:pPr>
        <w:pStyle w:val="NormalNumberedtext"/>
      </w:pPr>
      <w:r>
        <w:t>All MEWPs must have ground-level controls that allow the platform to be operated from the ground. Ground-level controls must be capable of lowering and manoeuvring the basket in the event of operator incapacitation or entrapment in the basket. Ground-level control function is verified during each pre-use inspection.</w:t>
      </w:r>
    </w:p>
    <w:p>
      <w:pPr>
        <w:pStyle w:val="NormalNumberedtext"/>
      </w:pPr>
    </w:p>
    <w:p>
      <w:pPr>
        <w:pStyle w:val="Heading2Numbered"/>
        <w:numPr>
          <w:ilvl w:val="1"/>
          <w:numId w:val="1"/>
        </w:numPr>
      </w:pPr>
      <w:r>
        <w:rPr>
          <w:rFonts w:ascii="Arial" w:hAnsi="Arial" w:cs="Arial" w:eastAsia="Arial"/>
        </w:rPr>
        <w:t>Spotter Requirements</w:t>
      </w:r>
    </w:p>
    <w:p>
      <w:pPr>
        <w:pStyle w:val="NormalNumberedtext"/>
      </w:pPr>
      <w:r>
        <w:t>This section defines when a spotter is required, the spotter's qualifications, and the visual contact obligation.</w:t>
      </w:r>
    </w:p>
    <w:p>
      <w:pPr>
        <w:pStyle w:val="NormalNumberedtext"/>
      </w:pPr>
      <w:r>
        <w:t>A qualified spotter must be assigned during all elevated MEWP operations on this project. The spotter holds the same MEWP qualifications as the operator. The spotter maintains direct, unobstructed visual contact with the platform and all personnel in the basket at all times during elevated operations and does not perform any other concurrent task.</w:t>
      </w:r>
    </w:p>
    <w:p>
      <w:pPr>
        <w:pStyle w:val="NormalNumberedtext"/>
      </w:pPr>
      <w:r>
        <w:t>A spotter is required in the following situations as a minimum:</w:t>
      </w:r>
    </w:p>
    <w:p>
      <w:pPr>
        <w:pStyle w:val="NormalNumberedtext"/>
      </w:pPr>
      <w:r>
        <w:t>Spotter triggers for MEWP operations include:</w:t>
      </w:r>
    </w:p>
    <w:p>
      <w:pPr>
        <w:pStyle w:val="NumberedBulletL1"/>
      </w:pPr>
      <w:r>
        <w:t>All elevated MEWP operations, regardless of proximity to overhead services or structures.</w:t>
      </w:r>
    </w:p>
    <w:p>
      <w:pPr>
        <w:pStyle w:val="NumberedBulletL1"/>
      </w:pPr>
      <w:r>
        <w:t>All MEWP travel while the platform is elevated.</w:t>
      </w:r>
    </w:p>
    <w:p>
      <w:pPr>
        <w:pStyle w:val="NumberedBulletL1"/>
      </w:pPr>
      <w:r>
        <w:t>Operations within 30 metres of overhead powerlines - the spotter function in powerline proximity zones is defined with reference to the project overhead powerline exclusion zone register below.</w:t>
      </w:r>
    </w:p>
    <w:p>
      <w:pPr>
        <w:pStyle w:val="NumberedBulletL1"/>
      </w:pPr>
      <w:r>
        <w:t>Any operation where contact with a structure is identified through the risk assessment as a credible scenario.</w:t>
      </w:r>
    </w:p>
    <w:p>
      <w:pPr>
        <w:pStyle w:val="NormalNumberedtext"/>
      </w:pPr>
      <w:r>
        <w:rPr>
          <w:b/>
          <w:bCs/>
          <w:color w:val="0059D1"/>
        </w:rPr>
        <w:t>[INSERT: mewp_powerline_exclusion_zones]</w:t>
      </w:r>
    </w:p>
    <w:p>
      <w:pPr>
        <w:pStyle w:val="NormalNumberedtext"/>
      </w:pPr>
      <w:r>
        <w:t>Secondary anti-entrapment systems serving as crush protection devices are required on all MEWPs as defined in the anti-entrapment section above. The spotter is not a substitute for the anti-entrapment device requirement.</w:t>
      </w:r>
    </w:p>
    <w:p>
      <w:pPr>
        <w:pStyle w:val="NormalNumberedtext"/>
      </w:pPr>
    </w:p>
    <w:p>
      <w:pPr>
        <w:pStyle w:val="Heading1Numbered"/>
        <w:numPr>
          <w:ilvl w:val="0"/>
          <w:numId w:val="1"/>
        </w:numPr>
      </w:pPr>
      <w:r>
        <w:rPr>
          <w:rFonts w:ascii="Arial" w:hAnsi="Arial" w:cs="Arial" w:eastAsia="Arial"/>
        </w:rPr>
        <w:t>Crane Suspended Workboxes</w:t>
      </w:r>
    </w:p>
    <w:p>
      <w:pPr>
        <w:pStyle w:val="NormalNumberedtext"/>
      </w:pPr>
      <w:r>
        <w:t>This section defines the risk assessment, lift plan, marking, rigging, operational restriction, and lifting standard requirements for all crane suspended workbox operations on the project.</w:t>
      </w:r>
    </w:p>
    <w:p>
      <w:pPr>
        <w:pStyle w:val="NormalNumberedtext"/>
      </w:pPr>
    </w:p>
    <w:p>
      <w:pPr>
        <w:pStyle w:val="Heading2Numbered"/>
        <w:numPr>
          <w:ilvl w:val="1"/>
          <w:numId w:val="1"/>
        </w:numPr>
      </w:pPr>
      <w:r>
        <w:rPr>
          <w:rFonts w:ascii="Arial" w:hAnsi="Arial" w:cs="Arial" w:eastAsia="Arial"/>
        </w:rPr>
        <w:t>Risk Assessment and Lift Plan</w:t>
      </w:r>
    </w:p>
    <w:p>
      <w:pPr>
        <w:pStyle w:val="NormalNumberedtext"/>
      </w:pPr>
      <w:r>
        <w:t>This section defines the planning and documentation requirements before any crane suspended workbox operation commences.</w:t>
      </w:r>
    </w:p>
    <w:p>
      <w:pPr>
        <w:pStyle w:val="NormalNumberedtext"/>
      </w:pPr>
      <w:r>
        <w:t>A specific risk assessment conducted under [INSERT: Project Document Number] and a documented lift plan are required for every crane suspended workbox operation. No crane suspended workbox operation commences without both documents approved and briefed to all personnel involved. The risk assessment and lift plan are task-specific and are not carried over from a previous lift without review.</w:t>
      </w:r>
    </w:p>
    <w:p>
      <w:pPr>
        <w:pStyle w:val="NormalNumberedtext"/>
      </w:pPr>
      <w:r>
        <w:t>Crane suspended workbox operations must also satisfy all cranes and lifting critical controls per the RT C6 Lifting Operations Standard, including crane operator competency, pre-operational checks, exclusion zone establishment, and the no-person-under-suspended-load requirement. A permit is raised via the site PTW system before the operation commences, refer [INSERT: Project Document Number].</w:t>
      </w:r>
    </w:p>
    <w:p>
      <w:pPr>
        <w:pStyle w:val="NormalNumberedtext"/>
      </w:pPr>
      <w:r>
        <w:t>Crane suspended workbox operations are prohibited under the following conditions as a minimum:</w:t>
      </w:r>
    </w:p>
    <w:p>
      <w:pPr>
        <w:pStyle w:val="NormalNumberedtext"/>
      </w:pPr>
      <w:r>
        <w:t>Crane suspended workbox operations are prohibited when:</w:t>
      </w:r>
    </w:p>
    <w:p>
      <w:pPr>
        <w:pStyle w:val="NumberedBulletL1"/>
      </w:pPr>
      <w:r>
        <w:t>Over water - workboxes must not be used over any water surface.</w:t>
      </w:r>
    </w:p>
    <w:p>
      <w:pPr>
        <w:pStyle w:val="NumberedBulletL1"/>
      </w:pPr>
      <w:r>
        <w:t>Wind speed exceeds the limit specified in the lift plan or the workbox manufacturer's specification.</w:t>
      </w:r>
    </w:p>
    <w:p>
      <w:pPr>
        <w:pStyle w:val="NumberedBulletL1"/>
      </w:pPr>
      <w:r>
        <w:t>Crane load indicators or safety devices are not fully functional.</w:t>
      </w:r>
    </w:p>
    <w:p>
      <w:pPr>
        <w:pStyle w:val="NumberedBulletL1"/>
      </w:pPr>
      <w:r>
        <w:t>The lift plan has not been approved or briefed to all involved personnel.</w:t>
      </w:r>
    </w:p>
    <w:p>
      <w:pPr>
        <w:pStyle w:val="NumberedBulletL1"/>
      </w:pPr>
      <w:r>
        <w:rPr>
          <w:color w:val="C55A11"/>
        </w:rPr>
        <w:t>Lighting conditions are insufficient to maintain full visual contact between the crane operator and the workbox at all times.</w:t>
      </w:r>
    </w:p>
    <w:p>
      <w:pPr>
        <w:pStyle w:val="NormalNumberedtext"/>
      </w:pPr>
    </w:p>
    <w:p>
      <w:pPr>
        <w:pStyle w:val="Heading2Numbered"/>
        <w:numPr>
          <w:ilvl w:val="1"/>
          <w:numId w:val="1"/>
        </w:numPr>
      </w:pPr>
      <w:r>
        <w:rPr>
          <w:rFonts w:ascii="Arial" w:hAnsi="Arial" w:cs="Arial" w:eastAsia="Arial"/>
        </w:rPr>
        <w:t>Workbox Marking Requirements</w:t>
      </w:r>
    </w:p>
    <w:p>
      <w:pPr>
        <w:pStyle w:val="NormalNumberedtext"/>
      </w:pPr>
      <w:r>
        <w:t>This section defines the mandatory identification and marking requirements for all crane suspended workboxes.</w:t>
      </w:r>
    </w:p>
    <w:p>
      <w:pPr>
        <w:pStyle w:val="NormalNumberedtext"/>
      </w:pPr>
      <w:r>
        <w:t>Every crane suspended workbox used on this project must be permanently and legibly marked with the following information before it is mobilised to the project:</w:t>
      </w:r>
    </w:p>
    <w:p>
      <w:pPr>
        <w:pStyle w:val="NormalNumberedtext"/>
      </w:pPr>
      <w:r>
        <w:t>Mandatory crane suspended workbox markings are:</w:t>
      </w:r>
    </w:p>
    <w:p>
      <w:pPr>
        <w:pStyle w:val="NumberedBulletL1"/>
      </w:pPr>
      <w:r>
        <w:t>Safe Working Load - the payload capacity of the workbox.</w:t>
      </w:r>
    </w:p>
    <w:p>
      <w:pPr>
        <w:pStyle w:val="NumberedBulletL1"/>
      </w:pPr>
      <w:r>
        <w:t>Date of last inspection.</w:t>
      </w:r>
    </w:p>
    <w:p>
      <w:pPr>
        <w:pStyle w:val="NumberedBulletL1"/>
      </w:pPr>
      <w:r>
        <w:t>The designation 'PB' - personnel basket.</w:t>
      </w:r>
    </w:p>
    <w:p>
      <w:pPr>
        <w:pStyle w:val="NumberedBulletL1"/>
      </w:pPr>
      <w:r>
        <w:t>A unique identifying number that corresponds to the project equipment register.</w:t>
      </w:r>
    </w:p>
    <w:p>
      <w:pPr>
        <w:pStyle w:val="NormalNumberedtext"/>
      </w:pPr>
      <w:r>
        <w:t>A workbox that does not carry all four mandatory markings is removed from service until marking is completed and verified by the HSESC Manager.</w:t>
      </w:r>
    </w:p>
    <w:p>
      <w:pPr>
        <w:pStyle w:val="NormalNumberedtext"/>
      </w:pPr>
    </w:p>
    <w:p>
      <w:pPr>
        <w:pStyle w:val="Heading2Numbered"/>
        <w:numPr>
          <w:ilvl w:val="1"/>
          <w:numId w:val="1"/>
        </w:numPr>
      </w:pPr>
      <w:r>
        <w:rPr>
          <w:rFonts w:ascii="Arial" w:hAnsi="Arial" w:cs="Arial" w:eastAsia="Arial"/>
        </w:rPr>
        <w:t>Rigging and Occupancy Requirements</w:t>
      </w:r>
    </w:p>
    <w:p>
      <w:pPr>
        <w:pStyle w:val="NormalNumberedtext"/>
      </w:pPr>
      <w:r>
        <w:t>This section defines who must occupy the workbox, rigging equipment restrictions, and radio communication requirements.</w:t>
      </w:r>
    </w:p>
    <w:p>
      <w:pPr>
        <w:pStyle w:val="NormalNumberedtext"/>
      </w:pPr>
      <w:r>
        <w:t>A competent rigger must ride in the crane suspended workbox whenever it is occupied. The rigger maintains radio contact with the crane operator throughout the operation. No lift commences until radio communication between the rigger in the workbox and the crane operator is confirmed.</w:t>
      </w:r>
    </w:p>
    <w:p>
      <w:pPr>
        <w:pStyle w:val="NormalNumberedtext"/>
      </w:pPr>
      <w:r>
        <w:t>Rigging equipment used for crane suspended workbox operations must be dedicated to that purpose and must not be used for any other lifting or rigging activity. Dedicated rigging equipment is tagged and stored separately from general rigging equipment when not in use.</w:t>
      </w:r>
    </w:p>
    <w:p>
      <w:pPr>
        <w:pStyle w:val="NormalNumberedtext"/>
      </w:pPr>
    </w:p>
    <w:p>
      <w:pPr>
        <w:pStyle w:val="Heading1Numbered"/>
        <w:numPr>
          <w:ilvl w:val="0"/>
          <w:numId w:val="1"/>
        </w:numPr>
      </w:pPr>
      <w:r>
        <w:rPr>
          <w:rFonts w:ascii="Arial" w:hAnsi="Arial" w:cs="Arial" w:eastAsia="Arial"/>
        </w:rPr>
        <w:t>Dropped Object Prevention</w:t>
      </w:r>
    </w:p>
    <w:p>
      <w:pPr>
        <w:pStyle w:val="NormalNumberedtext"/>
      </w:pPr>
      <w:r>
        <w:t>This section defines the DROPS programme requirements, tool tethering obligations, exclusion zone specifications, and event severity classification requirements for this project.</w:t>
      </w:r>
    </w:p>
    <w:p>
      <w:pPr>
        <w:pStyle w:val="NormalNumberedtext"/>
      </w:pPr>
    </w:p>
    <w:p>
      <w:pPr>
        <w:pStyle w:val="Heading2Numbered"/>
        <w:numPr>
          <w:ilvl w:val="1"/>
          <w:numId w:val="1"/>
        </w:numPr>
      </w:pPr>
      <w:r>
        <w:rPr>
          <w:rFonts w:ascii="Arial" w:hAnsi="Arial" w:cs="Arial" w:eastAsia="Arial"/>
        </w:rPr>
        <w:t>DROPS Programme</w:t>
      </w:r>
    </w:p>
    <w:p>
      <w:pPr>
        <w:pStyle w:val="NormalNumberedtext"/>
      </w:pPr>
      <w:r>
        <w:t>This section defines the DROPS register requirement, the register owner, and the tool securing obligations for all height work.</w:t>
      </w:r>
    </w:p>
    <w:p>
      <w:pPr>
        <w:pStyle w:val="NormalNumberedtext"/>
      </w:pPr>
      <w:r>
        <w:t>A Dropped Object Prevention System (DROPS) programme operates continuously on this project from the commencement of height work. The programme includes a DROPS register that records all tools, equipment, and components that are used at height, with the securing method and tether load rating recorded for each item.</w:t>
      </w:r>
    </w:p>
    <w:p>
      <w:pPr>
        <w:pStyle w:val="NormalNumberedtext"/>
      </w:pPr>
      <w:r>
        <w:t>All tools and equipment used at height must be secured using appropriate lanyards, tool belts, or tethering systems before the worker moves to an elevated position. No tool or component is carried to height without a securing method confirmed as adequate in the DROPS register.</w:t>
      </w:r>
    </w:p>
    <w:p>
      <w:pPr>
        <w:pStyle w:val="NormalNumberedtext"/>
      </w:pPr>
      <w:r>
        <w:rPr>
          <w:b/>
          <w:bCs/>
          <w:color w:val="0059D1"/>
        </w:rPr>
        <w:t>[INSERT: drops_register_format_and_owner] — Define the project DROPS register format and assign the DROPS register owner for this project.</w:t>
      </w:r>
    </w:p>
    <w:p>
      <w:pPr>
        <w:pStyle w:val="NormalNumberedtext"/>
      </w:pPr>
      <w:r>
        <w:t>A risk assessment conducted under [INSERT: Project Document Number] must confirm the compatibility of each securing device with its tool or component, the tether load capacity as exceeding the tool weight plus applicable dynamic forces, and the suitability of the attachment point before the tool is used at height.</w:t>
      </w:r>
    </w:p>
    <w:p>
      <w:pPr>
        <w:pStyle w:val="NormalNumberedtext"/>
      </w:pPr>
      <w:r>
        <w:t>All dropped object events are classified using the DROPS Online Calculator to determine severity. Classification outcomes are recorded in the DROPS register and reported per project requirements, refer [INSERT: Project Document Number].</w:t>
      </w:r>
    </w:p>
    <w:p>
      <w:pPr>
        <w:pStyle w:val="NormalNumberedtext"/>
      </w:pPr>
    </w:p>
    <w:p>
      <w:pPr>
        <w:pStyle w:val="Heading2Numbered"/>
        <w:numPr>
          <w:ilvl w:val="1"/>
          <w:numId w:val="1"/>
        </w:numPr>
      </w:pPr>
      <w:r>
        <w:rPr>
          <w:rFonts w:ascii="Arial" w:hAnsi="Arial" w:cs="Arial" w:eastAsia="Arial"/>
        </w:rPr>
        <w:t>Exclusion Zones Below Elevated Work</w:t>
      </w:r>
    </w:p>
    <w:p>
      <w:pPr>
        <w:pStyle w:val="NormalNumberedtext"/>
      </w:pPr>
      <w:r>
        <w:t>This section defines the minimum exclusion zone geometry, signage, and monitoring requirements below all elevated work areas.</w:t>
      </w:r>
    </w:p>
    <w:p>
      <w:pPr>
        <w:pStyle w:val="NormalNumberedtext"/>
      </w:pPr>
      <w:r>
        <w:t>Exclusion zones must be established below all elevated work areas before work commences. The exclusion zone extends outward at a minimum angle of 15 degrees from the highest point of the elevated work area to the ground. The zone boundary is physically barricaded and signposted to restrict unauthorised access.</w:t>
      </w:r>
    </w:p>
    <w:p>
      <w:pPr>
        <w:pStyle w:val="NormalNumberedtext"/>
      </w:pPr>
      <w:r>
        <w:t>Where authorised walkways cannot be relocated outside the exclusion zone, rated overhead protection is installed above the walkway before the overhead work commences. Exclusion zones are monitored by a spotter whenever overhead work is active.</w:t>
      </w:r>
    </w:p>
    <w:p>
      <w:pPr>
        <w:pStyle w:val="NormalNumberedtext"/>
      </w:pPr>
      <w:r>
        <w:t>Drop mats and sealed containers are used on elevated platforms for small parts and fastenings to prevent items from falling through grating or platform edges. Toe boards, mesh, and platform barricading requirements are defined in Section 5.</w:t>
      </w:r>
    </w:p>
    <w:p>
      <w:pPr>
        <w:pStyle w:val="NormalNumberedtext"/>
      </w:pPr>
    </w:p>
    <w:p>
      <w:pPr>
        <w:pStyle w:val="Heading1Numbered"/>
        <w:numPr>
          <w:ilvl w:val="0"/>
          <w:numId w:val="1"/>
        </w:numPr>
      </w:pPr>
      <w:r>
        <w:rPr>
          <w:rFonts w:ascii="Arial" w:hAnsi="Arial" w:cs="Arial" w:eastAsia="Arial"/>
        </w:rPr>
        <w:t>Inspection and Emergency Response</w:t>
      </w:r>
    </w:p>
    <w:p>
      <w:pPr>
        <w:pStyle w:val="NormalNumberedtext"/>
      </w:pPr>
      <w:r>
        <w:t>This section defines pre-use inspection, equipment register, post-arrest removal, and rescue plan requirements for all height work on the project.</w:t>
      </w:r>
    </w:p>
    <w:p>
      <w:pPr>
        <w:pStyle w:val="NormalNumberedtext"/>
      </w:pPr>
    </w:p>
    <w:p>
      <w:pPr>
        <w:pStyle w:val="Heading2Numbered"/>
        <w:numPr>
          <w:ilvl w:val="1"/>
          <w:numId w:val="1"/>
        </w:numPr>
      </w:pPr>
      <w:r>
        <w:rPr>
          <w:rFonts w:ascii="Arial" w:hAnsi="Arial" w:cs="Arial" w:eastAsia="Arial"/>
        </w:rPr>
        <w:t>Equipment Inspection and Register</w:t>
      </w:r>
    </w:p>
    <w:p>
      <w:pPr>
        <w:pStyle w:val="NormalNumberedtext"/>
      </w:pPr>
      <w:r>
        <w:t>This section defines the pre-use inspection obligation and the equipment register requirements for all height access equipment.</w:t>
      </w:r>
    </w:p>
    <w:p>
      <w:pPr>
        <w:pStyle w:val="NormalNumberedtext"/>
      </w:pPr>
      <w:r>
        <w:t>All fall protection equipment, ladders, non-motorised platforms, and MEWPs must be inspected by a competent person before every use. The inspection confirms the item is free from defect, within its service life, and that its certification is current. Any item that fails inspection is removed from service immediately, tagged out of service, and not returned to use until repaired and re-certified.</w:t>
      </w:r>
    </w:p>
    <w:p>
      <w:pPr>
        <w:pStyle w:val="NormalNumberedtext"/>
      </w:pPr>
      <w:r>
        <w:t>All height access equipment on the project is individually identifiable in the project equipment register. The register records the unique identifier, equipment type, inspection date, inspector, and current certification status for each item. Inspection status must be visible on the equipment itself through a tagging or colour-coding system.</w:t>
      </w:r>
    </w:p>
    <w:p>
      <w:pPr>
        <w:pStyle w:val="NormalNumberedtext"/>
      </w:pPr>
      <w:r>
        <w:rPr>
          <w:b/>
          <w:bCs/>
          <w:color w:val="0059D1"/>
        </w:rPr>
        <w:t>[INSERT: anchor_inspection_records_location] — Confirm where anchor point inspection and certification records are kept for this project and who is responsible for maintaining them. Reference RTPR-HSE-REG-0003 via RTPR-HSE-PRO-0004 for competency records.</w:t>
      </w:r>
    </w:p>
    <w:p>
      <w:pPr>
        <w:pStyle w:val="NormalNumberedtext"/>
      </w:pPr>
    </w:p>
    <w:p>
      <w:pPr>
        <w:pStyle w:val="Heading2Numbered"/>
        <w:numPr>
          <w:ilvl w:val="1"/>
          <w:numId w:val="1"/>
        </w:numPr>
      </w:pPr>
      <w:r>
        <w:rPr>
          <w:rFonts w:ascii="Arial" w:hAnsi="Arial" w:cs="Arial" w:eastAsia="Arial"/>
        </w:rPr>
        <w:t>Post-Arrest Equipment Removal</w:t>
      </w:r>
    </w:p>
    <w:p>
      <w:pPr>
        <w:pStyle w:val="NormalNumberedtext"/>
      </w:pPr>
      <w:r>
        <w:t>This section defines the mandatory removal and inspection requirements for fall arrest equipment subjected to an arrest load.</w:t>
      </w:r>
    </w:p>
    <w:p>
      <w:pPr>
        <w:pStyle w:val="NormalNumberedtext"/>
      </w:pPr>
      <w:r>
        <w:t>Any fall arrest equipment that has been subjected to an arrest load must be removed from service immediately after the arrest event. The equipment must not be returned to use until it has been inspected by the manufacturer or a competent person authorised by the manufacturer, and written clearance for return to use has been issued.</w:t>
      </w:r>
    </w:p>
    <w:p>
      <w:pPr>
        <w:pStyle w:val="NormalNumberedtext"/>
      </w:pPr>
      <w:r>
        <w:t>The supervisor reports all arrest events per project requirements, refer [INSERT: Project Document Number], and retains the removed equipment segregated from serviceable equipment pending the manufacturer or competent person inspection.</w:t>
      </w:r>
    </w:p>
    <w:p>
      <w:pPr>
        <w:pStyle w:val="NormalNumberedtext"/>
      </w:pPr>
    </w:p>
    <w:p>
      <w:pPr>
        <w:pStyle w:val="Heading2Numbered"/>
        <w:numPr>
          <w:ilvl w:val="1"/>
          <w:numId w:val="1"/>
        </w:numPr>
      </w:pPr>
      <w:r>
        <w:rPr>
          <w:rFonts w:ascii="Arial" w:hAnsi="Arial" w:cs="Arial" w:eastAsia="Arial"/>
        </w:rPr>
        <w:t>Rescue Planning</w:t>
      </w:r>
    </w:p>
    <w:p>
      <w:pPr>
        <w:pStyle w:val="NormalNumberedtext"/>
      </w:pPr>
      <w:r>
        <w:t>This section defines the rescue plan content requirements and the frequency of rescue drills for all height work tasks.</w:t>
      </w:r>
    </w:p>
    <w:p>
      <w:pPr>
        <w:pStyle w:val="NormalNumberedtext"/>
      </w:pPr>
      <w:r>
        <w:t>A task-specific emergency rescue plan must be in place and briefed to all involved personnel before any work at height commences. The rescue plan is task-specific and is not carried over from a previous task without review. Each rescue plan includes the following as a minimum:</w:t>
      </w:r>
    </w:p>
    <w:p>
      <w:pPr>
        <w:pStyle w:val="NormalNumberedtext"/>
      </w:pPr>
      <w:r>
        <w:t>The task-specific rescue plan includes:</w:t>
      </w:r>
    </w:p>
    <w:p>
      <w:pPr>
        <w:pStyle w:val="NumberedBulletL1"/>
      </w:pPr>
      <w:r>
        <w:t>Identification of the credible emergency scenarios for the specific task and location.</w:t>
      </w:r>
    </w:p>
    <w:p>
      <w:pPr>
        <w:pStyle w:val="NumberedBulletL1"/>
      </w:pPr>
      <w:r>
        <w:t>Location of rescue equipment available at the work area.</w:t>
      </w:r>
    </w:p>
    <w:p>
      <w:pPr>
        <w:pStyle w:val="NumberedBulletL1"/>
      </w:pPr>
      <w:r>
        <w:t>Preferred rescue method - non-entry rescue is the preferred approach wherever feasible.</w:t>
      </w:r>
    </w:p>
    <w:p>
      <w:pPr>
        <w:pStyle w:val="NumberedBulletL1"/>
      </w:pPr>
      <w:r>
        <w:t>Communication procedures, including contact numbers for emergency services and the site emergency coordinator.</w:t>
      </w:r>
    </w:p>
    <w:p>
      <w:pPr>
        <w:pStyle w:val="NumberedBulletL1"/>
      </w:pPr>
      <w:r>
        <w:t>Identification of personnel trained to execute the rescue.</w:t>
      </w:r>
    </w:p>
    <w:p>
      <w:pPr>
        <w:pStyle w:val="NormalNumberedtext"/>
      </w:pPr>
      <w:r>
        <w:t>Rescue drills are conducted at a frequency determined by the risk level of the height work activity and defined in the project rescue plan governance below. Drill outcomes are recorded and any deficiencies in equipment, personnel capability, or procedure are corrected before the next work period.</w:t>
      </w:r>
    </w:p>
    <w:p>
      <w:pPr>
        <w:pStyle w:val="NormalNumberedtext"/>
      </w:pPr>
      <w:r>
        <w:rPr>
          <w:b/>
          <w:bCs/>
          <w:color w:val="0059D1"/>
        </w:rPr>
        <w:t>[INSERT: rescue_plan_governance] — Define the project-specific rescue planning process: who prepares rescue plans, who approves them, where they are kept, and how often they are tested.</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the principle that residual risk must be reduced to a level that is as low as reasonably practicable, balancing the cost and effort of further risk reduction against the benefit gained.</w:t>
            </w:r>
          </w:p>
        </w:tc>
      </w:tr>
      <w:tr>
        <w:tc>
          <w:tcPr>
            <w:tcW w:type="dxa" w:w="4888"/>
          </w:tcPr>
          <w:p>
            <w:pPr>
              <w:pStyle w:val="TableContents"/>
              <w:spacing w:before="0" w:after="0" w:line="240" w:lineRule="atLeast"/>
            </w:pPr>
            <w:r>
              <w:rPr>
                <w:rFonts w:ascii="Arial" w:hAnsi="Arial" w:cs="Arial" w:eastAsia="Arial"/>
                <w:sz w:val="16"/>
                <w:szCs w:val="16"/>
              </w:rPr>
              <w:t>ANSI</w:t>
            </w:r>
          </w:p>
        </w:tc>
        <w:tc>
          <w:tcPr>
            <w:tcW w:type="dxa" w:w="4889"/>
          </w:tcPr>
          <w:p>
            <w:pPr>
              <w:pStyle w:val="TableContents"/>
              <w:spacing w:before="0" w:after="0" w:line="240" w:lineRule="atLeast"/>
            </w:pPr>
            <w:r>
              <w:rPr>
                <w:rFonts w:ascii="Arial" w:hAnsi="Arial" w:cs="Arial" w:eastAsia="Arial"/>
                <w:sz w:val="16"/>
                <w:szCs w:val="16"/>
              </w:rPr>
              <w:t>American National Standards Institute - a private non-profit organisation that oversees the development of voluntary consensus standards for products, services, processes, systems, and personnel in the United States.</w:t>
            </w:r>
          </w:p>
        </w:tc>
      </w:tr>
      <w:tr>
        <w:tc>
          <w:tcPr>
            <w:tcW w:type="dxa" w:w="4888"/>
          </w:tcPr>
          <w:p>
            <w:pPr>
              <w:pStyle w:val="TableContents"/>
              <w:spacing w:before="0" w:after="0" w:line="240" w:lineRule="atLeast"/>
            </w:pPr>
            <w:r>
              <w:rPr>
                <w:rFonts w:ascii="Arial" w:hAnsi="Arial" w:cs="Arial" w:eastAsia="Arial"/>
                <w:sz w:val="16"/>
                <w:szCs w:val="16"/>
              </w:rPr>
              <w:t>AS</w:t>
            </w:r>
          </w:p>
        </w:tc>
        <w:tc>
          <w:tcPr>
            <w:tcW w:type="dxa" w:w="4889"/>
          </w:tcPr>
          <w:p>
            <w:pPr>
              <w:pStyle w:val="TableContents"/>
              <w:spacing w:before="0" w:after="0" w:line="240" w:lineRule="atLeast"/>
            </w:pPr>
            <w:r>
              <w:rPr>
                <w:rFonts w:ascii="Arial" w:hAnsi="Arial" w:cs="Arial" w:eastAsia="Arial"/>
                <w:sz w:val="16"/>
                <w:szCs w:val="16"/>
              </w:rPr>
              <w:t>Australian Standard - a standard published by Standards Australia, the peak non-government standards body in Australia.</w:t>
            </w:r>
          </w:p>
        </w:tc>
      </w:tr>
      <w:tr>
        <w:tc>
          <w:tcPr>
            <w:tcW w:type="dxa" w:w="4888"/>
          </w:tcPr>
          <w:p>
            <w:pPr>
              <w:pStyle w:val="TableContents"/>
              <w:spacing w:before="0" w:after="0" w:line="240" w:lineRule="atLeast"/>
            </w:pPr>
            <w:r>
              <w:rPr>
                <w:rFonts w:ascii="Arial" w:hAnsi="Arial" w:cs="Arial" w:eastAsia="Arial"/>
                <w:sz w:val="16"/>
                <w:szCs w:val="16"/>
              </w:rPr>
              <w:t>CSEM</w:t>
            </w:r>
          </w:p>
        </w:tc>
        <w:tc>
          <w:tcPr>
            <w:tcW w:type="dxa" w:w="4889"/>
          </w:tcPr>
          <w:p>
            <w:pPr>
              <w:pStyle w:val="TableContents"/>
              <w:spacing w:before="0" w:after="0" w:line="240" w:lineRule="atLeast"/>
            </w:pPr>
            <w:r>
              <w:rPr>
                <w:rFonts w:ascii="Arial" w:hAnsi="Arial" w:cs="Arial" w:eastAsia="Arial"/>
                <w:sz w:val="16"/>
                <w:szCs w:val="16"/>
              </w:rPr>
              <w:t>Crane Suspended Emergency Module - an emergency descent and rescue module used when a crane-suspended workbox occupant cannot self-rescue.</w:t>
            </w:r>
          </w:p>
        </w:tc>
      </w:tr>
      <w:tr>
        <w:tc>
          <w:tcPr>
            <w:tcW w:type="dxa" w:w="4888"/>
          </w:tcPr>
          <w:p>
            <w:pPr>
              <w:pStyle w:val="TableContents"/>
              <w:spacing w:before="0" w:after="0" w:line="240" w:lineRule="atLeast"/>
            </w:pPr>
            <w:r>
              <w:rPr>
                <w:rFonts w:ascii="Arial" w:hAnsi="Arial" w:cs="Arial" w:eastAsia="Arial"/>
                <w:sz w:val="16"/>
                <w:szCs w:val="16"/>
              </w:rPr>
              <w:t>CSW</w:t>
            </w:r>
          </w:p>
        </w:tc>
        <w:tc>
          <w:tcPr>
            <w:tcW w:type="dxa" w:w="4889"/>
          </w:tcPr>
          <w:p>
            <w:pPr>
              <w:pStyle w:val="TableContents"/>
              <w:spacing w:before="0" w:after="0" w:line="240" w:lineRule="atLeast"/>
            </w:pPr>
            <w:r>
              <w:rPr>
                <w:rFonts w:ascii="Arial" w:hAnsi="Arial" w:cs="Arial" w:eastAsia="Arial"/>
                <w:sz w:val="16"/>
                <w:szCs w:val="16"/>
              </w:rPr>
              <w:t>Crane Suspended Workbox - a purpose-built personnel-carrying attachment suspended from a crane hook, used to elevate workers when other means of access are not reasonably practicable.</w:t>
            </w:r>
          </w:p>
        </w:tc>
      </w:tr>
      <w:tr>
        <w:tc>
          <w:tcPr>
            <w:tcW w:type="dxa" w:w="4888"/>
          </w:tcPr>
          <w:p>
            <w:pPr>
              <w:pStyle w:val="TableContents"/>
              <w:spacing w:before="0" w:after="0" w:line="240" w:lineRule="atLeast"/>
            </w:pPr>
            <w:r>
              <w:rPr>
                <w:rFonts w:ascii="Arial" w:hAnsi="Arial" w:cs="Arial" w:eastAsia="Arial"/>
                <w:sz w:val="16"/>
                <w:szCs w:val="16"/>
              </w:rPr>
              <w:t>DOPS</w:t>
            </w:r>
          </w:p>
        </w:tc>
        <w:tc>
          <w:tcPr>
            <w:tcW w:type="dxa" w:w="4889"/>
          </w:tcPr>
          <w:p>
            <w:pPr>
              <w:pStyle w:val="TableContents"/>
              <w:spacing w:before="0" w:after="0" w:line="240" w:lineRule="atLeast"/>
            </w:pPr>
            <w:r>
              <w:rPr>
                <w:rFonts w:ascii="Arial" w:hAnsi="Arial" w:cs="Arial" w:eastAsia="Arial"/>
                <w:sz w:val="16"/>
                <w:szCs w:val="16"/>
              </w:rPr>
              <w:t>Dropped Object Prevention Scheme - a systematic approach to identifying, assessing, and controlling the risk of objects falling from height and striking personnel or equipment below.</w:t>
            </w:r>
          </w:p>
        </w:tc>
      </w:tr>
      <w:tr>
        <w:tc>
          <w:tcPr>
            <w:tcW w:type="dxa" w:w="4888"/>
          </w:tcPr>
          <w:p>
            <w:pPr>
              <w:pStyle w:val="TableContents"/>
              <w:spacing w:before="0" w:after="0" w:line="240" w:lineRule="atLeast"/>
            </w:pPr>
            <w:r>
              <w:rPr>
                <w:rFonts w:ascii="Arial" w:hAnsi="Arial" w:cs="Arial" w:eastAsia="Arial"/>
                <w:sz w:val="16"/>
                <w:szCs w:val="16"/>
              </w:rPr>
              <w:t>EPC</w:t>
            </w:r>
          </w:p>
        </w:tc>
        <w:tc>
          <w:tcPr>
            <w:tcW w:type="dxa" w:w="4889"/>
          </w:tcPr>
          <w:p>
            <w:pPr>
              <w:pStyle w:val="TableContents"/>
              <w:spacing w:before="0" w:after="0" w:line="240" w:lineRule="atLeast"/>
            </w:pPr>
            <w:r>
              <w:rPr>
                <w:rFonts w:ascii="Arial" w:hAnsi="Arial" w:cs="Arial" w:eastAsia="Arial"/>
                <w:sz w:val="16"/>
                <w:szCs w:val="16"/>
              </w:rPr>
              <w:t>Engineering, Procurement and Construction - the project delivery model under which a contractor is responsible for the full scope of engineering design, equipment procurement, and physical construction.</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documented plan detailing the actions, resources, and responsibilities required to respond to an emergency incident, including fall and rescue scenarios at height.</w:t>
            </w:r>
          </w:p>
        </w:tc>
      </w:tr>
      <w:tr>
        <w:tc>
          <w:tcPr>
            <w:tcW w:type="dxa" w:w="4888"/>
          </w:tcPr>
          <w:p>
            <w:pPr>
              <w:pStyle w:val="TableContents"/>
              <w:spacing w:before="0" w:after="0" w:line="240" w:lineRule="atLeast"/>
            </w:pPr>
            <w:r>
              <w:rPr>
                <w:rFonts w:ascii="Arial" w:hAnsi="Arial" w:cs="Arial" w:eastAsia="Arial"/>
                <w:sz w:val="16"/>
                <w:szCs w:val="16"/>
              </w:rPr>
              <w:t>EWPA</w:t>
            </w:r>
          </w:p>
        </w:tc>
        <w:tc>
          <w:tcPr>
            <w:tcW w:type="dxa" w:w="4889"/>
          </w:tcPr>
          <w:p>
            <w:pPr>
              <w:pStyle w:val="TableContents"/>
              <w:spacing w:before="0" w:after="0" w:line="240" w:lineRule="atLeast"/>
            </w:pPr>
            <w:r>
              <w:rPr>
                <w:rFonts w:ascii="Arial" w:hAnsi="Arial" w:cs="Arial" w:eastAsia="Arial"/>
                <w:sz w:val="16"/>
                <w:szCs w:val="16"/>
              </w:rPr>
              <w:t>Elevated Work Platform Association - the peak industry body in Australia and New Zealand representing the powered access industry, responsible for operator training standards and equipment classification.</w:t>
            </w:r>
          </w:p>
        </w:tc>
      </w:tr>
      <w:tr>
        <w:tc>
          <w:tcPr>
            <w:tcW w:type="dxa" w:w="4888"/>
          </w:tcPr>
          <w:p>
            <w:pPr>
              <w:pStyle w:val="TableContents"/>
              <w:spacing w:before="0" w:after="0" w:line="240" w:lineRule="atLeast"/>
            </w:pPr>
            <w:r>
              <w:rPr>
                <w:rFonts w:ascii="Arial" w:hAnsi="Arial" w:cs="Arial" w:eastAsia="Arial"/>
                <w:sz w:val="16"/>
                <w:szCs w:val="16"/>
              </w:rPr>
              <w:t>FPA</w:t>
            </w:r>
          </w:p>
        </w:tc>
        <w:tc>
          <w:tcPr>
            <w:tcW w:type="dxa" w:w="4889"/>
          </w:tcPr>
          <w:p>
            <w:pPr>
              <w:pStyle w:val="TableContents"/>
              <w:spacing w:before="0" w:after="0" w:line="240" w:lineRule="atLeast"/>
            </w:pPr>
            <w:r>
              <w:rPr>
                <w:rFonts w:ascii="Arial" w:hAnsi="Arial" w:cs="Arial" w:eastAsia="Arial"/>
                <w:sz w:val="16"/>
                <w:szCs w:val="16"/>
              </w:rPr>
              <w:t>Fall Protection Assessment - a documented evaluation of fall hazards at a specific work location, identifying the hierarchy of controls to be applied and the fall protection systems selected.</w:t>
            </w:r>
          </w:p>
        </w:tc>
      </w:tr>
      <w:tr>
        <w:tc>
          <w:tcPr>
            <w:tcW w:type="dxa" w:w="4888"/>
          </w:tcPr>
          <w:p>
            <w:pPr>
              <w:pStyle w:val="TableContents"/>
              <w:spacing w:before="0" w:after="0" w:line="240" w:lineRule="atLeast"/>
            </w:pPr>
            <w:r>
              <w:rPr>
                <w:rFonts w:ascii="Arial" w:hAnsi="Arial" w:cs="Arial" w:eastAsia="Arial"/>
                <w:sz w:val="16"/>
                <w:szCs w:val="16"/>
              </w:rPr>
              <w:t>HSEQ</w:t>
            </w:r>
          </w:p>
        </w:tc>
        <w:tc>
          <w:tcPr>
            <w:tcW w:type="dxa" w:w="4889"/>
          </w:tcPr>
          <w:p>
            <w:pPr>
              <w:pStyle w:val="TableContents"/>
              <w:spacing w:before="0" w:after="0" w:line="240" w:lineRule="atLeast"/>
            </w:pPr>
            <w:r>
              <w:rPr>
                <w:rFonts w:ascii="Arial" w:hAnsi="Arial" w:cs="Arial" w:eastAsia="Arial"/>
                <w:sz w:val="16"/>
                <w:szCs w:val="16"/>
              </w:rPr>
              <w:t>Health, Safety, Environment and Quality - the integrated management function responsible for establishing and maintaining standards, systems, and performance in occupational health, safety, environment, and quality across the project.</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 the integrated management framework governing all HSE, security, and community obligations for Rio Tinto owner-led projects.</w:t>
            </w:r>
          </w:p>
        </w:tc>
      </w:tr>
      <w:tr>
        <w:tc>
          <w:tcPr>
            <w:tcW w:type="dxa" w:w="4888"/>
          </w:tcPr>
          <w:p>
            <w:pPr>
              <w:pStyle w:val="TableContents"/>
              <w:spacing w:before="0" w:after="0" w:line="240" w:lineRule="atLeast"/>
            </w:pPr>
            <w:r>
              <w:rPr>
                <w:rFonts w:ascii="Arial" w:hAnsi="Arial" w:cs="Arial" w:eastAsia="Arial"/>
                <w:sz w:val="16"/>
                <w:szCs w:val="16"/>
              </w:rPr>
              <w:t>IFU</w:t>
            </w:r>
          </w:p>
        </w:tc>
        <w:tc>
          <w:tcPr>
            <w:tcW w:type="dxa" w:w="4889"/>
          </w:tcPr>
          <w:p>
            <w:pPr>
              <w:pStyle w:val="TableContents"/>
              <w:spacing w:before="0" w:after="0" w:line="240" w:lineRule="atLeast"/>
            </w:pPr>
            <w:r>
              <w:rPr>
                <w:rFonts w:ascii="Arial" w:hAnsi="Arial" w:cs="Arial" w:eastAsia="Arial"/>
                <w:sz w:val="16"/>
                <w:szCs w:val="16"/>
              </w:rPr>
              <w:t>Instructions for Use - the manufacturer's documented guidance for the correct installation, use, inspection, maintenance, and retirement of fall protection equipment and personal protective equipment.</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systematic technique that identifies hazards associated with each step of a task and specifies controls to eliminate or reduce risk before work commences.</w:t>
            </w:r>
          </w:p>
        </w:tc>
      </w:tr>
      <w:tr>
        <w:tc>
          <w:tcPr>
            <w:tcW w:type="dxa" w:w="4888"/>
          </w:tcPr>
          <w:p>
            <w:pPr>
              <w:pStyle w:val="TableContents"/>
              <w:spacing w:before="0" w:after="0" w:line="240" w:lineRule="atLeast"/>
            </w:pPr>
            <w:r>
              <w:rPr>
                <w:rFonts w:ascii="Arial" w:hAnsi="Arial" w:cs="Arial" w:eastAsia="Arial"/>
                <w:sz w:val="16"/>
                <w:szCs w:val="16"/>
              </w:rPr>
              <w:t>LAF</w:t>
            </w:r>
          </w:p>
        </w:tc>
        <w:tc>
          <w:tcPr>
            <w:tcW w:type="dxa" w:w="4889"/>
          </w:tcPr>
          <w:p>
            <w:pPr>
              <w:pStyle w:val="TableContents"/>
              <w:spacing w:before="0" w:after="0" w:line="240" w:lineRule="atLeast"/>
            </w:pPr>
            <w:r>
              <w:rPr>
                <w:rFonts w:ascii="Arial" w:hAnsi="Arial" w:cs="Arial" w:eastAsia="Arial"/>
                <w:sz w:val="16"/>
                <w:szCs w:val="16"/>
              </w:rPr>
              <w:t>Lift Arrest Force - the maximum arresting force transmitted to the body of a worker during a fall arrest event, measured in kilonewtons (kN), used to assess compatibility between the fall arrest system and the anchor point.</w:t>
            </w:r>
          </w:p>
        </w:tc>
      </w:tr>
      <w:tr>
        <w:tc>
          <w:tcPr>
            <w:tcW w:type="dxa" w:w="4888"/>
          </w:tcPr>
          <w:p>
            <w:pPr>
              <w:pStyle w:val="TableContents"/>
              <w:spacing w:before="0" w:after="0" w:line="240" w:lineRule="atLeast"/>
            </w:pPr>
            <w:r>
              <w:rPr>
                <w:rFonts w:ascii="Arial" w:hAnsi="Arial" w:cs="Arial" w:eastAsia="Arial"/>
                <w:sz w:val="16"/>
                <w:szCs w:val="16"/>
              </w:rPr>
              <w:t>LOTO</w:t>
            </w:r>
          </w:p>
        </w:tc>
        <w:tc>
          <w:tcPr>
            <w:tcW w:type="dxa" w:w="4889"/>
          </w:tcPr>
          <w:p>
            <w:pPr>
              <w:pStyle w:val="TableContents"/>
              <w:spacing w:before="0" w:after="0" w:line="240" w:lineRule="atLeast"/>
            </w:pPr>
            <w:r>
              <w:rPr>
                <w:rFonts w:ascii="Arial" w:hAnsi="Arial" w:cs="Arial" w:eastAsia="Arial"/>
                <w:sz w:val="16"/>
                <w:szCs w:val="16"/>
              </w:rPr>
              <w:t>Lockout/Tagout - an energy isolation procedure in which hazardous energy sources are de-energised, locked, and tagged to prevent unexpected energisation or release of stored energy during work on plant or equipment.</w:t>
            </w:r>
          </w:p>
        </w:tc>
      </w:tr>
      <w:tr>
        <w:tc>
          <w:tcPr>
            <w:tcW w:type="dxa" w:w="4888"/>
          </w:tcPr>
          <w:p>
            <w:pPr>
              <w:pStyle w:val="TableContents"/>
              <w:spacing w:before="0" w:after="0" w:line="240" w:lineRule="atLeast"/>
            </w:pPr>
            <w:r>
              <w:rPr>
                <w:rFonts w:ascii="Arial" w:hAnsi="Arial" w:cs="Arial" w:eastAsia="Arial"/>
                <w:sz w:val="16"/>
                <w:szCs w:val="16"/>
              </w:rPr>
              <w:t>MEWP</w:t>
            </w:r>
          </w:p>
        </w:tc>
        <w:tc>
          <w:tcPr>
            <w:tcW w:type="dxa" w:w="4889"/>
          </w:tcPr>
          <w:p>
            <w:pPr>
              <w:pStyle w:val="TableContents"/>
              <w:spacing w:before="0" w:after="0" w:line="240" w:lineRule="atLeast"/>
            </w:pPr>
            <w:r>
              <w:rPr>
                <w:rFonts w:ascii="Arial" w:hAnsi="Arial" w:cs="Arial" w:eastAsia="Arial"/>
                <w:sz w:val="16"/>
                <w:szCs w:val="16"/>
              </w:rPr>
              <w:t>Mobile Elevating Work Platform - a machine designed to move persons, tools, and materials to working positions at height, including boom lifts, scissor lifts, vertical mast lifts, and trailer-mounted platforms.</w:t>
            </w:r>
          </w:p>
        </w:tc>
      </w:tr>
      <w:tr>
        <w:tc>
          <w:tcPr>
            <w:tcW w:type="dxa" w:w="4888"/>
          </w:tcPr>
          <w:p>
            <w:pPr>
              <w:pStyle w:val="TableContents"/>
              <w:spacing w:before="0" w:after="0" w:line="240" w:lineRule="atLeast"/>
            </w:pPr>
            <w:r>
              <w:rPr>
                <w:rFonts w:ascii="Arial" w:hAnsi="Arial" w:cs="Arial" w:eastAsia="Arial"/>
                <w:sz w:val="16"/>
                <w:szCs w:val="16"/>
              </w:rPr>
              <w:t>MSD</w:t>
            </w:r>
          </w:p>
        </w:tc>
        <w:tc>
          <w:tcPr>
            <w:tcW w:type="dxa" w:w="4889"/>
          </w:tcPr>
          <w:p>
            <w:pPr>
              <w:pStyle w:val="TableContents"/>
              <w:spacing w:before="0" w:after="0" w:line="240" w:lineRule="atLeast"/>
            </w:pPr>
            <w:r>
              <w:rPr>
                <w:rFonts w:ascii="Arial" w:hAnsi="Arial" w:cs="Arial" w:eastAsia="Arial"/>
                <w:sz w:val="16"/>
                <w:szCs w:val="16"/>
              </w:rPr>
              <w:t>Musculoskeletal Disorder - an injury or disorder of the muscles, tendons, ligaments, nerves, joints, cartilage, or spinal discs, which may result from suspension trauma following a fall arrest event.</w:t>
            </w:r>
          </w:p>
        </w:tc>
      </w:tr>
      <w:tr>
        <w:tc>
          <w:tcPr>
            <w:tcW w:type="dxa" w:w="4888"/>
          </w:tcPr>
          <w:p>
            <w:pPr>
              <w:pStyle w:val="TableContents"/>
              <w:spacing w:before="0" w:after="0" w:line="240" w:lineRule="atLeast"/>
            </w:pPr>
            <w:r>
              <w:rPr>
                <w:rFonts w:ascii="Arial" w:hAnsi="Arial" w:cs="Arial" w:eastAsia="Arial"/>
                <w:sz w:val="16"/>
                <w:szCs w:val="16"/>
              </w:rPr>
              <w:t>NZS</w:t>
            </w:r>
          </w:p>
        </w:tc>
        <w:tc>
          <w:tcPr>
            <w:tcW w:type="dxa" w:w="4889"/>
          </w:tcPr>
          <w:p>
            <w:pPr>
              <w:pStyle w:val="TableContents"/>
              <w:spacing w:before="0" w:after="0" w:line="240" w:lineRule="atLeast"/>
            </w:pPr>
            <w:r>
              <w:rPr>
                <w:rFonts w:ascii="Arial" w:hAnsi="Arial" w:cs="Arial" w:eastAsia="Arial"/>
                <w:sz w:val="16"/>
                <w:szCs w:val="16"/>
              </w:rPr>
              <w:t>New Zealand Standard - a standard published by Standards New Zealand, the national standards body of New Zealand.</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discipline concerned with the safety, health, and welfare of workers, used interchangeably with WHS in some Australian state and territory jurisdictions.</w:t>
            </w:r>
          </w:p>
        </w:tc>
      </w:tr>
      <w:tr>
        <w:tc>
          <w:tcPr>
            <w:tcW w:type="dxa" w:w="4888"/>
          </w:tcPr>
          <w:p>
            <w:pPr>
              <w:pStyle w:val="TableContents"/>
              <w:spacing w:before="0" w:after="0" w:line="240" w:lineRule="atLeast"/>
            </w:pPr>
            <w:r>
              <w:rPr>
                <w:rFonts w:ascii="Arial" w:hAnsi="Arial" w:cs="Arial" w:eastAsia="Arial"/>
                <w:sz w:val="16"/>
                <w:szCs w:val="16"/>
              </w:rPr>
              <w:t>PCBU</w:t>
            </w:r>
          </w:p>
        </w:tc>
        <w:tc>
          <w:tcPr>
            <w:tcW w:type="dxa" w:w="4889"/>
          </w:tcPr>
          <w:p>
            <w:pPr>
              <w:pStyle w:val="TableContents"/>
              <w:spacing w:before="0" w:after="0" w:line="240" w:lineRule="atLeast"/>
            </w:pPr>
            <w:r>
              <w:rPr>
                <w:rFonts w:ascii="Arial" w:hAnsi="Arial" w:cs="Arial" w:eastAsia="Arial"/>
                <w:sz w:val="16"/>
                <w:szCs w:val="16"/>
              </w:rPr>
              <w:t>Person Conducting a Business or Undertaking - a legal term under the Work Health and Safety Act 2011 that describes any person, organisation, or entity that conducts business or undertakes work, carrying a primary duty of care for worker health and safety.</w:t>
            </w:r>
          </w:p>
        </w:tc>
      </w:tr>
      <w:tr>
        <w:tc>
          <w:tcPr>
            <w:tcW w:type="dxa" w:w="4888"/>
          </w:tcPr>
          <w:p>
            <w:pPr>
              <w:pStyle w:val="TableContents"/>
              <w:spacing w:before="0" w:after="0" w:line="240" w:lineRule="atLeast"/>
            </w:pPr>
            <w:r>
              <w:rPr>
                <w:rFonts w:ascii="Arial" w:hAnsi="Arial" w:cs="Arial" w:eastAsia="Arial"/>
                <w:sz w:val="16"/>
                <w:szCs w:val="16"/>
              </w:rPr>
              <w:t>PFAS</w:t>
            </w:r>
          </w:p>
        </w:tc>
        <w:tc>
          <w:tcPr>
            <w:tcW w:type="dxa" w:w="4889"/>
          </w:tcPr>
          <w:p>
            <w:pPr>
              <w:pStyle w:val="TableContents"/>
              <w:spacing w:before="0" w:after="0" w:line="240" w:lineRule="atLeast"/>
            </w:pPr>
            <w:r>
              <w:rPr>
                <w:rFonts w:ascii="Arial" w:hAnsi="Arial" w:cs="Arial" w:eastAsia="Arial"/>
                <w:sz w:val="16"/>
                <w:szCs w:val="16"/>
              </w:rPr>
              <w:t>Personal Fall Arrest System - a system designed to safely stop a falling worker before they strike a lower level, comprising a full-body harness, connecting subsystem (lanyard or self-retracting device), and certified anchor point.</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held by a person to protect them from risks to their health and safety, used as the last resort control in the hierarchy of controls after all other practicable measures have been applied.</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instructions specifying the approved method for performing a defined activity or process within the HSESC management system.</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system that authorises specific work activities presenting a high level of risk, defines the controls to be in place, and verifies that the work site is safe before work commences.</w:t>
            </w:r>
          </w:p>
        </w:tc>
      </w:tr>
      <w:tr>
        <w:tc>
          <w:tcPr>
            <w:tcW w:type="dxa" w:w="4888"/>
          </w:tcPr>
          <w:p>
            <w:pPr>
              <w:pStyle w:val="TableContents"/>
              <w:spacing w:before="0" w:after="0" w:line="240" w:lineRule="atLeast"/>
            </w:pPr>
            <w:r>
              <w:rPr>
                <w:rFonts w:ascii="Arial" w:hAnsi="Arial" w:cs="Arial" w:eastAsia="Arial"/>
                <w:sz w:val="16"/>
                <w:szCs w:val="16"/>
              </w:rPr>
              <w:t>QR</w:t>
            </w:r>
          </w:p>
        </w:tc>
        <w:tc>
          <w:tcPr>
            <w:tcW w:type="dxa" w:w="4889"/>
          </w:tcPr>
          <w:p>
            <w:pPr>
              <w:pStyle w:val="TableContents"/>
              <w:spacing w:before="0" w:after="0" w:line="240" w:lineRule="atLeast"/>
            </w:pPr>
            <w:r>
              <w:rPr>
                <w:rFonts w:ascii="Arial" w:hAnsi="Arial" w:cs="Arial" w:eastAsia="Arial"/>
                <w:sz w:val="16"/>
                <w:szCs w:val="16"/>
              </w:rPr>
              <w:t>Quick Release - a connector or coupling mechanism on fall protection equipment designed to allow rapid disconnection under load, used in rescue and retrieval systems.</w:t>
            </w:r>
          </w:p>
        </w:tc>
      </w:tr>
      <w:tr>
        <w:tc>
          <w:tcPr>
            <w:tcW w:type="dxa" w:w="4888"/>
          </w:tcPr>
          <w:p>
            <w:pPr>
              <w:pStyle w:val="TableContents"/>
              <w:spacing w:before="0" w:after="0" w:line="240" w:lineRule="atLeast"/>
            </w:pPr>
            <w:r>
              <w:rPr>
                <w:rFonts w:ascii="Arial" w:hAnsi="Arial" w:cs="Arial" w:eastAsia="Arial"/>
                <w:sz w:val="16"/>
                <w:szCs w:val="16"/>
              </w:rPr>
              <w:t>RAC</w:t>
            </w:r>
          </w:p>
        </w:tc>
        <w:tc>
          <w:tcPr>
            <w:tcW w:type="dxa" w:w="4889"/>
          </w:tcPr>
          <w:p>
            <w:pPr>
              <w:pStyle w:val="TableContents"/>
              <w:spacing w:before="0" w:after="0" w:line="240" w:lineRule="atLeast"/>
            </w:pPr>
            <w:r>
              <w:rPr>
                <w:rFonts w:ascii="Arial" w:hAnsi="Arial" w:cs="Arial" w:eastAsia="Arial"/>
                <w:sz w:val="16"/>
                <w:szCs w:val="16"/>
              </w:rPr>
              <w:t>Risk Assessment and Control - the combined process of identifying hazards, evaluating associated risks, and applying appropriate controls, forming the foundation of the HSESC risk management framework.</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 a controlled HSESC management system document used to record and track information such as training records, inspection results, and certification status.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company whose standards, requirements, and management frameworks govern all owner-led project activities.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document code prefix identifying management system documents applicable to Rio Tinto owner-led project environments.</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a document providing detailed information on a chemical substance or mixture, including hazard identification, safe handling, and emergency response information.</w:t>
            </w:r>
          </w:p>
        </w:tc>
      </w:tr>
      <w:tr>
        <w:tc>
          <w:tcPr>
            <w:tcW w:type="dxa" w:w="4888"/>
          </w:tcPr>
          <w:p>
            <w:pPr>
              <w:pStyle w:val="TableContents"/>
              <w:spacing w:before="0" w:after="0" w:line="240" w:lineRule="atLeast"/>
            </w:pPr>
            <w:r>
              <w:rPr>
                <w:rFonts w:ascii="Arial" w:hAnsi="Arial" w:cs="Arial" w:eastAsia="Arial"/>
                <w:sz w:val="16"/>
                <w:szCs w:val="16"/>
              </w:rPr>
              <w:t>SLT</w:t>
            </w:r>
          </w:p>
        </w:tc>
        <w:tc>
          <w:tcPr>
            <w:tcW w:type="dxa" w:w="4889"/>
          </w:tcPr>
          <w:p>
            <w:pPr>
              <w:pStyle w:val="TableContents"/>
              <w:spacing w:before="0" w:after="0" w:line="240" w:lineRule="atLeast"/>
            </w:pPr>
            <w:r>
              <w:rPr>
                <w:rFonts w:ascii="Arial" w:hAnsi="Arial" w:cs="Arial" w:eastAsia="Arial"/>
                <w:sz w:val="16"/>
                <w:szCs w:val="16"/>
              </w:rPr>
              <w:t>Senior Leadership Team - the group of senior managers and executives accountable for governance, resource allocation, and overall safety performance on the project.</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an individual with specialist knowledge, skills, and experience in a specific technical domain, such as fall protection engineering or MEWP operation, whose input is required for hazard assessment and control selection.</w:t>
            </w:r>
          </w:p>
        </w:tc>
      </w:tr>
      <w:tr>
        <w:tc>
          <w:tcPr>
            <w:tcW w:type="dxa" w:w="4888"/>
          </w:tcPr>
          <w:p>
            <w:pPr>
              <w:pStyle w:val="TableContents"/>
              <w:spacing w:before="0" w:after="0" w:line="240" w:lineRule="atLeast"/>
            </w:pPr>
            <w:r>
              <w:rPr>
                <w:rFonts w:ascii="Arial" w:hAnsi="Arial" w:cs="Arial" w:eastAsia="Arial"/>
                <w:sz w:val="16"/>
                <w:szCs w:val="16"/>
              </w:rPr>
              <w:t>SOP</w:t>
            </w:r>
          </w:p>
        </w:tc>
        <w:tc>
          <w:tcPr>
            <w:tcW w:type="dxa" w:w="4889"/>
          </w:tcPr>
          <w:p>
            <w:pPr>
              <w:pStyle w:val="TableContents"/>
              <w:spacing w:before="0" w:after="0" w:line="240" w:lineRule="atLeast"/>
            </w:pPr>
            <w:r>
              <w:rPr>
                <w:rFonts w:ascii="Arial" w:hAnsi="Arial" w:cs="Arial" w:eastAsia="Arial"/>
                <w:sz w:val="16"/>
                <w:szCs w:val="16"/>
              </w:rPr>
              <w:t>Standard Operating Procedure - a documented set of step-by-step instructions for performing a routine task safely and consistently, subordinate to and consistent with applicable procedures.</w:t>
            </w:r>
          </w:p>
        </w:tc>
      </w:tr>
      <w:tr>
        <w:tc>
          <w:tcPr>
            <w:tcW w:type="dxa" w:w="4888"/>
          </w:tcPr>
          <w:p>
            <w:pPr>
              <w:pStyle w:val="TableContents"/>
              <w:spacing w:before="0" w:after="0" w:line="240" w:lineRule="atLeast"/>
            </w:pPr>
            <w:r>
              <w:rPr>
                <w:rFonts w:ascii="Arial" w:hAnsi="Arial" w:cs="Arial" w:eastAsia="Arial"/>
                <w:sz w:val="16"/>
                <w:szCs w:val="16"/>
              </w:rPr>
              <w:t>SRL</w:t>
            </w:r>
          </w:p>
        </w:tc>
        <w:tc>
          <w:tcPr>
            <w:tcW w:type="dxa" w:w="4889"/>
          </w:tcPr>
          <w:p>
            <w:pPr>
              <w:pStyle w:val="TableContents"/>
              <w:spacing w:before="0" w:after="0" w:line="240" w:lineRule="atLeast"/>
            </w:pPr>
            <w:r>
              <w:rPr>
                <w:rFonts w:ascii="Arial" w:hAnsi="Arial" w:cs="Arial" w:eastAsia="Arial"/>
                <w:sz w:val="16"/>
                <w:szCs w:val="16"/>
              </w:rPr>
              <w:t>Self-Retracting Lifeline - a fall arrest device containing a drum-wound line that automatically retracts under minimal tension and locks quickly in response to the acceleration of a fall.</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required for high-risk construction work that identifies the hazards of each work step, the associated risks, and the control measures to be applied, as required under the Work Health and Safety Regulations.</w:t>
            </w:r>
          </w:p>
        </w:tc>
      </w:tr>
      <w:tr>
        <w:tc>
          <w:tcPr>
            <w:tcW w:type="dxa" w:w="4888"/>
          </w:tcPr>
          <w:p>
            <w:pPr>
              <w:pStyle w:val="TableContents"/>
              <w:spacing w:before="0" w:after="0" w:line="240" w:lineRule="atLeast"/>
            </w:pPr>
            <w:r>
              <w:rPr>
                <w:rFonts w:ascii="Arial" w:hAnsi="Arial" w:cs="Arial" w:eastAsia="Arial"/>
                <w:sz w:val="16"/>
                <w:szCs w:val="16"/>
              </w:rPr>
              <w:t>THA</w:t>
            </w:r>
          </w:p>
        </w:tc>
        <w:tc>
          <w:tcPr>
            <w:tcW w:type="dxa" w:w="4889"/>
          </w:tcPr>
          <w:p>
            <w:pPr>
              <w:pStyle w:val="TableContents"/>
              <w:spacing w:before="0" w:after="0" w:line="240" w:lineRule="atLeast"/>
            </w:pPr>
            <w:r>
              <w:rPr>
                <w:rFonts w:ascii="Arial" w:hAnsi="Arial" w:cs="Arial" w:eastAsia="Arial"/>
                <w:sz w:val="16"/>
                <w:szCs w:val="16"/>
              </w:rPr>
              <w:t>Task Hazard Analysis - a pre-task risk identification process that breaks a task into individual steps, identifies hazards at each step, and specifies controls, used interchangeably with JSA in some project contexts.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Australian legislative and regulatory framework governing occupational health and safety, administered under the Work Health and Safety Act 2011 and associated state and territory legislation.</w:t>
            </w:r>
          </w:p>
        </w:tc>
      </w:tr>
      <w:tr>
        <w:tc>
          <w:tcPr>
            <w:tcW w:type="dxa" w:w="4888"/>
          </w:tcPr>
          <w:p>
            <w:pPr>
              <w:pStyle w:val="TableContents"/>
              <w:spacing w:before="0" w:after="0" w:line="240" w:lineRule="atLeast"/>
            </w:pPr>
            <w:r>
              <w:rPr>
                <w:rFonts w:ascii="Arial" w:hAnsi="Arial" w:cs="Arial" w:eastAsia="Arial"/>
                <w:sz w:val="16"/>
                <w:szCs w:val="16"/>
              </w:rPr>
              <w:t>WAH</w:t>
            </w:r>
          </w:p>
        </w:tc>
        <w:tc>
          <w:tcPr>
            <w:tcW w:type="dxa" w:w="4889"/>
          </w:tcPr>
          <w:p>
            <w:pPr>
              <w:pStyle w:val="TableContents"/>
              <w:spacing w:before="0" w:after="0" w:line="240" w:lineRule="atLeast"/>
            </w:pPr>
            <w:r>
              <w:rPr>
                <w:rFonts w:ascii="Arial" w:hAnsi="Arial" w:cs="Arial" w:eastAsia="Arial"/>
                <w:sz w:val="16"/>
                <w:szCs w:val="16"/>
              </w:rPr>
              <w:t>Working at Heights - any work activity carried out at a location where a person could fall and be injured, defined within this procedure as any work at or above 1.8 metres above a stable reference level, or any work above an open excavation or hazardous surface regardless of height.</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 (current version)</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Consequence and Likelihood Criteria</w:t>
            </w:r>
          </w:p>
        </w:tc>
        <w:tc>
          <w:tcPr>
            <w:tcW w:type="dxa" w:w="3259"/>
          </w:tcPr>
          <w:p>
            <w:pPr>
              <w:pStyle w:val="TableContents"/>
              <w:spacing w:before="0" w:after="0" w:line="240" w:lineRule="atLeast"/>
            </w:pPr>
            <w:r>
              <w:rPr>
                <w:rFonts w:ascii="Arial" w:hAnsi="Arial" w:cs="Arial" w:eastAsia="Arial"/>
                <w:sz w:val="16"/>
                <w:szCs w:val="16"/>
              </w:rPr>
              <w:t>RT Risk Management Standard Appendix C -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Competency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Isolation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Personal Protective Equipment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Scaffolding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Work Health and Safety Act 2011 (Cth)</w:t>
            </w:r>
          </w:p>
        </w:tc>
        <w:tc>
          <w:tcPr>
            <w:tcW w:type="dxa" w:w="3259"/>
          </w:tcPr>
          <w:p>
            <w:pPr>
              <w:pStyle w:val="TableContents"/>
              <w:spacing w:before="0" w:after="0" w:line="240" w:lineRule="atLeast"/>
            </w:pPr>
            <w:r>
              <w:rPr>
                <w:rFonts w:ascii="Arial" w:hAnsi="Arial" w:cs="Arial" w:eastAsia="Arial"/>
                <w:sz w:val="16"/>
                <w:szCs w:val="16"/>
              </w:rPr>
              <w:t>WHS Act 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 2011 (Cth) - Part 4.4: Falling Objects and Falls</w:t>
            </w:r>
          </w:p>
        </w:tc>
        <w:tc>
          <w:tcPr>
            <w:tcW w:type="dxa" w:w="3259"/>
          </w:tcPr>
          <w:p>
            <w:pPr>
              <w:pStyle w:val="TableContents"/>
              <w:spacing w:before="0" w:after="0" w:line="240" w:lineRule="atLeast"/>
            </w:pPr>
            <w:r>
              <w:rPr>
                <w:rFonts w:ascii="Arial" w:hAnsi="Arial" w:cs="Arial" w:eastAsia="Arial"/>
                <w:sz w:val="16"/>
                <w:szCs w:val="16"/>
              </w:rPr>
              <w:t>WHS Regulations 2011 Part 4.4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Code of Practice: Managing the Risk of Falls at Workplaces</w:t>
            </w:r>
          </w:p>
        </w:tc>
        <w:tc>
          <w:tcPr>
            <w:tcW w:type="dxa" w:w="3259"/>
          </w:tcPr>
          <w:p>
            <w:pPr>
              <w:pStyle w:val="TableContents"/>
              <w:spacing w:before="0" w:after="0" w:line="240" w:lineRule="atLeast"/>
            </w:pPr>
            <w:r>
              <w:rPr>
                <w:rFonts w:ascii="Arial" w:hAnsi="Arial" w:cs="Arial" w:eastAsia="Arial"/>
                <w:sz w:val="16"/>
                <w:szCs w:val="16"/>
              </w:rPr>
              <w:t>Safe Work Australia - Model Code of Practice (current edition)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Industrial Fall-Arrest Systems and Devices - Harnesses</w:t>
            </w:r>
          </w:p>
        </w:tc>
        <w:tc>
          <w:tcPr>
            <w:tcW w:type="dxa" w:w="3259"/>
          </w:tcPr>
          <w:p>
            <w:pPr>
              <w:pStyle w:val="TableContents"/>
              <w:spacing w:before="0" w:after="0" w:line="240" w:lineRule="atLeast"/>
            </w:pPr>
            <w:r>
              <w:rPr>
                <w:rFonts w:ascii="Arial" w:hAnsi="Arial" w:cs="Arial" w:eastAsia="Arial"/>
                <w:sz w:val="16"/>
                <w:szCs w:val="16"/>
              </w:rPr>
              <w:t>AS/NZS 1891.1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Industrial Fall-Arrest Systems and Devices - Horizontal Lifeline and Rail Systems</w:t>
            </w:r>
          </w:p>
        </w:tc>
        <w:tc>
          <w:tcPr>
            <w:tcW w:type="dxa" w:w="3259"/>
          </w:tcPr>
          <w:p>
            <w:pPr>
              <w:pStyle w:val="TableContents"/>
              <w:spacing w:before="0" w:after="0" w:line="240" w:lineRule="atLeast"/>
            </w:pPr>
            <w:r>
              <w:rPr>
                <w:rFonts w:ascii="Arial" w:hAnsi="Arial" w:cs="Arial" w:eastAsia="Arial"/>
                <w:sz w:val="16"/>
                <w:szCs w:val="16"/>
              </w:rPr>
              <w:t>AS/NZS 1891.2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Industrial Fall-Arrest Systems and Devices - Fall-Arrest Devices</w:t>
            </w:r>
          </w:p>
        </w:tc>
        <w:tc>
          <w:tcPr>
            <w:tcW w:type="dxa" w:w="3259"/>
          </w:tcPr>
          <w:p>
            <w:pPr>
              <w:pStyle w:val="TableContents"/>
              <w:spacing w:before="0" w:after="0" w:line="240" w:lineRule="atLeast"/>
            </w:pPr>
            <w:r>
              <w:rPr>
                <w:rFonts w:ascii="Arial" w:hAnsi="Arial" w:cs="Arial" w:eastAsia="Arial"/>
                <w:sz w:val="16"/>
                <w:szCs w:val="16"/>
              </w:rPr>
              <w:t>AS/NZS 1891.3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Industrial Fall-Arrest Systems and Devices - Selection, Use and Maintenance</w:t>
            </w:r>
          </w:p>
        </w:tc>
        <w:tc>
          <w:tcPr>
            <w:tcW w:type="dxa" w:w="3259"/>
          </w:tcPr>
          <w:p>
            <w:pPr>
              <w:pStyle w:val="TableContents"/>
              <w:spacing w:before="0" w:after="0" w:line="240" w:lineRule="atLeast"/>
            </w:pPr>
            <w:r>
              <w:rPr>
                <w:rFonts w:ascii="Arial" w:hAnsi="Arial" w:cs="Arial" w:eastAsia="Arial"/>
                <w:sz w:val="16"/>
                <w:szCs w:val="16"/>
              </w:rPr>
              <w:t>AS/NZS 1891.4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Guardrail Systems - Industrial Platforms</w:t>
            </w:r>
          </w:p>
        </w:tc>
        <w:tc>
          <w:tcPr>
            <w:tcW w:type="dxa" w:w="3259"/>
          </w:tcPr>
          <w:p>
            <w:pPr>
              <w:pStyle w:val="TableContents"/>
              <w:spacing w:before="0" w:after="0" w:line="240" w:lineRule="atLeast"/>
            </w:pPr>
            <w:r>
              <w:rPr>
                <w:rFonts w:ascii="Arial" w:hAnsi="Arial" w:cs="Arial" w:eastAsia="Arial"/>
                <w:sz w:val="16"/>
                <w:szCs w:val="16"/>
              </w:rPr>
              <w:t>AS 1657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Safety Helmets - Selection, Care and Use</w:t>
            </w:r>
          </w:p>
        </w:tc>
        <w:tc>
          <w:tcPr>
            <w:tcW w:type="dxa" w:w="3259"/>
          </w:tcPr>
          <w:p>
            <w:pPr>
              <w:pStyle w:val="TableContents"/>
              <w:spacing w:before="0" w:after="0" w:line="240" w:lineRule="atLeast"/>
            </w:pPr>
            <w:r>
              <w:rPr>
                <w:rFonts w:ascii="Arial" w:hAnsi="Arial" w:cs="Arial" w:eastAsia="Arial"/>
                <w:sz w:val="16"/>
                <w:szCs w:val="16"/>
              </w:rPr>
              <w:t>AS/NZS 1801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Mobile Elevating Work Platforms - Design, Calculations, Safety Requirements and Test Methods</w:t>
            </w:r>
          </w:p>
        </w:tc>
        <w:tc>
          <w:tcPr>
            <w:tcW w:type="dxa" w:w="3259"/>
          </w:tcPr>
          <w:p>
            <w:pPr>
              <w:pStyle w:val="TableContents"/>
              <w:spacing w:before="0" w:after="0" w:line="240" w:lineRule="atLeast"/>
            </w:pPr>
            <w:r>
              <w:rPr>
                <w:rFonts w:ascii="Arial" w:hAnsi="Arial" w:cs="Arial" w:eastAsia="Arial"/>
                <w:sz w:val="16"/>
                <w:szCs w:val="16"/>
              </w:rPr>
              <w:t>AS 2550.10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Cranes, Hoists and Winches - Safe Use - General Requirements</w:t>
            </w:r>
          </w:p>
        </w:tc>
        <w:tc>
          <w:tcPr>
            <w:tcW w:type="dxa" w:w="3259"/>
          </w:tcPr>
          <w:p>
            <w:pPr>
              <w:pStyle w:val="TableContents"/>
              <w:spacing w:before="0" w:after="0" w:line="240" w:lineRule="atLeast"/>
            </w:pPr>
            <w:r>
              <w:rPr>
                <w:rFonts w:ascii="Arial" w:hAnsi="Arial" w:cs="Arial" w:eastAsia="Arial"/>
                <w:sz w:val="16"/>
                <w:szCs w:val="16"/>
              </w:rPr>
              <w:t>AS 2550.1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Scaffolding - General Requirements</w:t>
            </w:r>
          </w:p>
        </w:tc>
        <w:tc>
          <w:tcPr>
            <w:tcW w:type="dxa" w:w="3259"/>
          </w:tcPr>
          <w:p>
            <w:pPr>
              <w:pStyle w:val="TableContents"/>
              <w:spacing w:before="0" w:after="0" w:line="240" w:lineRule="atLeast"/>
            </w:pPr>
            <w:r>
              <w:rPr>
                <w:rFonts w:ascii="Arial" w:hAnsi="Arial" w:cs="Arial" w:eastAsia="Arial"/>
                <w:sz w:val="16"/>
                <w:szCs w:val="16"/>
              </w:rPr>
              <w:t>AS/NZS 4576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Overhead Protective Structures</w:t>
            </w:r>
          </w:p>
        </w:tc>
        <w:tc>
          <w:tcPr>
            <w:tcW w:type="dxa" w:w="3259"/>
          </w:tcPr>
          <w:p>
            <w:pPr>
              <w:pStyle w:val="TableContents"/>
              <w:spacing w:before="0" w:after="0" w:line="240" w:lineRule="atLeast"/>
            </w:pPr>
            <w:r>
              <w:rPr>
                <w:rFonts w:ascii="Arial" w:hAnsi="Arial" w:cs="Arial" w:eastAsia="Arial"/>
                <w:sz w:val="16"/>
                <w:szCs w:val="16"/>
              </w:rPr>
              <w:t>AS 4100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Fatal Risk Standard - Working at Height</w:t>
            </w:r>
          </w:p>
        </w:tc>
        <w:tc>
          <w:tcPr>
            <w:tcW w:type="dxa" w:w="3259"/>
          </w:tcPr>
          <w:p>
            <w:pPr>
              <w:pStyle w:val="TableContents"/>
              <w:spacing w:before="0" w:after="0" w:line="240" w:lineRule="atLeast"/>
            </w:pPr>
            <w:r>
              <w:rPr>
                <w:rFonts w:ascii="Arial" w:hAnsi="Arial" w:cs="Arial" w:eastAsia="Arial"/>
                <w:sz w:val="16"/>
                <w:szCs w:val="16"/>
              </w:rPr>
              <w:t>RT Fatal Risk Standard (current version)</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Policy</w:t>
            </w:r>
          </w:p>
        </w:tc>
        <w:tc>
          <w:tcPr>
            <w:tcW w:type="dxa" w:w="3259"/>
          </w:tcPr>
          <w:p>
            <w:pPr>
              <w:pStyle w:val="TableContents"/>
              <w:spacing w:before="0" w:after="0" w:line="240" w:lineRule="atLeast"/>
            </w:pPr>
            <w:r>
              <w:rPr>
                <w:rFonts w:ascii="Arial" w:hAnsi="Arial" w:cs="Arial" w:eastAsia="Arial"/>
                <w:sz w:val="16"/>
                <w:szCs w:val="16"/>
              </w:rPr>
              <w:t>RT HSE Policy (current version)</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Dropped Object Prevention Scheme (DROPS) Industry Guidelines</w:t>
            </w:r>
          </w:p>
        </w:tc>
        <w:tc>
          <w:tcPr>
            <w:tcW w:type="dxa" w:w="3259"/>
          </w:tcPr>
          <w:p>
            <w:pPr>
              <w:pStyle w:val="TableContents"/>
              <w:spacing w:before="0" w:after="0" w:line="240" w:lineRule="atLeast"/>
            </w:pPr>
            <w:r>
              <w:rPr>
                <w:rFonts w:ascii="Arial" w:hAnsi="Arial" w:cs="Arial" w:eastAsia="Arial"/>
                <w:sz w:val="16"/>
                <w:szCs w:val="16"/>
              </w:rPr>
              <w:t>DROPS - International Guidelines (current edition)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C4 - Fall from Height Standard</w:t>
            </w:r>
          </w:p>
        </w:tc>
        <w:tc>
          <w:tcPr>
            <w:tcW w:type="dxa" w:w="2256"/>
          </w:tcPr>
          <w:p>
            <w:pPr>
              <w:pStyle w:val="TableContents"/>
              <w:spacing w:before="0" w:after="0" w:line="240" w:lineRule="atLeast"/>
            </w:pPr>
            <w:r>
              <w:rPr>
                <w:rFonts w:ascii="Arial" w:hAnsi="Arial" w:cs="Arial" w:eastAsia="Arial"/>
                <w:sz w:val="16"/>
                <w:szCs w:val="16"/>
              </w:rPr>
              <w:t>Requires application of the hierarchy of controls for working at height, including anchor system load ratings, full-body harness requirements, platform design, open edge protection, equipment inspection, and task-specific emergency rescue planning.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C6 - Lifting Operations Standard</w:t>
            </w:r>
          </w:p>
        </w:tc>
        <w:tc>
          <w:tcPr>
            <w:tcW w:type="dxa" w:w="2256"/>
          </w:tcPr>
          <w:p>
            <w:pPr>
              <w:pStyle w:val="TableContents"/>
              <w:spacing w:before="0" w:after="0" w:line="240" w:lineRule="atLeast"/>
            </w:pPr>
            <w:r>
              <w:rPr>
                <w:rFonts w:ascii="Arial" w:hAnsi="Arial" w:cs="Arial" w:eastAsia="Arial"/>
                <w:sz w:val="16"/>
                <w:szCs w:val="16"/>
              </w:rPr>
              <w:t>Requires crane suspended workbox operations to meet all cranes and lifting critical controls including operator competency, pre-operational checks, exclusion zones, and no-person-under-suspended-load rule.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Falling Objects Standard</w:t>
            </w:r>
          </w:p>
        </w:tc>
        <w:tc>
          <w:tcPr>
            <w:tcW w:type="dxa" w:w="2256"/>
          </w:tcPr>
          <w:p>
            <w:pPr>
              <w:pStyle w:val="TableContents"/>
              <w:spacing w:before="0" w:after="0" w:line="240" w:lineRule="atLeast"/>
            </w:pPr>
            <w:r>
              <w:rPr>
                <w:rFonts w:ascii="Arial" w:hAnsi="Arial" w:cs="Arial" w:eastAsia="Arial"/>
                <w:sz w:val="16"/>
                <w:szCs w:val="16"/>
              </w:rPr>
              <w:t>Requires a Dropped Object Prevention System including a DROPS register, tool and equipment securing at height, exclusion zones below elevated work, and use of the DROPS Online Calculator for severity classification of dropped object events.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§54.1.1</w:t>
            </w:r>
          </w:p>
        </w:tc>
        <w:tc>
          <w:tcPr>
            <w:tcW w:type="dxa" w:w="2256"/>
          </w:tcPr>
          <w:p>
            <w:pPr>
              <w:pStyle w:val="TableContents"/>
              <w:spacing w:before="0" w:after="0" w:line="240" w:lineRule="atLeast"/>
            </w:pPr>
            <w:r>
              <w:rPr>
                <w:rFonts w:ascii="Arial" w:hAnsi="Arial" w:cs="Arial" w:eastAsia="Arial"/>
                <w:sz w:val="16"/>
                <w:szCs w:val="16"/>
              </w:rPr>
              <w:t>Requires a documented Working at Heights Permit integrated with the site PTW system, prioritising elimination and engineered access equipment over administrative controls and PPE.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§54.1.2</w:t>
            </w:r>
          </w:p>
        </w:tc>
        <w:tc>
          <w:tcPr>
            <w:tcW w:type="dxa" w:w="2256"/>
          </w:tcPr>
          <w:p>
            <w:pPr>
              <w:pStyle w:val="TableContents"/>
              <w:spacing w:before="0" w:after="0" w:line="240" w:lineRule="atLeast"/>
            </w:pPr>
            <w:r>
              <w:rPr>
                <w:rFonts w:ascii="Arial" w:hAnsi="Arial" w:cs="Arial" w:eastAsia="Arial"/>
                <w:sz w:val="16"/>
                <w:szCs w:val="16"/>
              </w:rPr>
              <w:t>Requires rope access equipment to meet national or international standards and operations to align with a globally recognised framework such as IRATA/SPRAT or equivalent.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§54.1.3</w:t>
            </w:r>
          </w:p>
        </w:tc>
        <w:tc>
          <w:tcPr>
            <w:tcW w:type="dxa" w:w="2256"/>
          </w:tcPr>
          <w:p>
            <w:pPr>
              <w:pStyle w:val="TableContents"/>
              <w:spacing w:before="0" w:after="0" w:line="240" w:lineRule="atLeast"/>
            </w:pPr>
            <w:r>
              <w:rPr>
                <w:rFonts w:ascii="Arial" w:hAnsi="Arial" w:cs="Arial" w:eastAsia="Arial"/>
                <w:sz w:val="16"/>
                <w:szCs w:val="16"/>
              </w:rPr>
              <w:t>Requires fall arrest equipment subjected to an arrest load to be removed from service immediately and inspected by the manufacturer or a competent person before return to use.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§54.1.5</w:t>
            </w:r>
          </w:p>
        </w:tc>
        <w:tc>
          <w:tcPr>
            <w:tcW w:type="dxa" w:w="2256"/>
          </w:tcPr>
          <w:p>
            <w:pPr>
              <w:pStyle w:val="TableContents"/>
              <w:spacing w:before="0" w:after="0" w:line="240" w:lineRule="atLeast"/>
            </w:pPr>
            <w:r>
              <w:rPr>
                <w:rFonts w:ascii="Arial" w:hAnsi="Arial" w:cs="Arial" w:eastAsia="Arial"/>
                <w:sz w:val="16"/>
                <w:szCs w:val="16"/>
              </w:rPr>
              <w:t>Requires work platforms to incorporate dropped object prevention measures including toe boards, mesh or barricading below elevated work areas, and tool tethering for all tools used at height.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§54.2</w:t>
            </w:r>
          </w:p>
        </w:tc>
        <w:tc>
          <w:tcPr>
            <w:tcW w:type="dxa" w:w="2256"/>
          </w:tcPr>
          <w:p>
            <w:pPr>
              <w:pStyle w:val="TableContents"/>
              <w:spacing w:before="0" w:after="0" w:line="240" w:lineRule="atLeast"/>
            </w:pPr>
            <w:r>
              <w:rPr>
                <w:rFonts w:ascii="Arial" w:hAnsi="Arial" w:cs="Arial" w:eastAsia="Arial"/>
                <w:sz w:val="16"/>
                <w:szCs w:val="16"/>
              </w:rPr>
              <w:t>Requires MEWP operators to be trained, competent, and formally authorised, with fall restraint attached at all times in the basket and pre-use inspection against an equipment-specific checklist.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§54.2.1</w:t>
            </w:r>
          </w:p>
        </w:tc>
        <w:tc>
          <w:tcPr>
            <w:tcW w:type="dxa" w:w="2256"/>
          </w:tcPr>
          <w:p>
            <w:pPr>
              <w:pStyle w:val="TableContents"/>
              <w:spacing w:before="0" w:after="0" w:line="240" w:lineRule="atLeast"/>
            </w:pPr>
            <w:r>
              <w:rPr>
                <w:rFonts w:ascii="Arial" w:hAnsi="Arial" w:cs="Arial" w:eastAsia="Arial"/>
                <w:sz w:val="16"/>
                <w:szCs w:val="16"/>
              </w:rPr>
              <w:t>Requires a qualified spotter to be assigned during all elevated MEWP operations, maintaining direct visual contact with the platform and personnel at all times.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§54.2.2</w:t>
            </w:r>
          </w:p>
        </w:tc>
        <w:tc>
          <w:tcPr>
            <w:tcW w:type="dxa" w:w="2256"/>
          </w:tcPr>
          <w:p>
            <w:pPr>
              <w:pStyle w:val="TableContents"/>
              <w:spacing w:before="0" w:after="0" w:line="240" w:lineRule="atLeast"/>
            </w:pPr>
            <w:r>
              <w:rPr>
                <w:rFonts w:ascii="Arial" w:hAnsi="Arial" w:cs="Arial" w:eastAsia="Arial"/>
                <w:sz w:val="16"/>
                <w:szCs w:val="16"/>
              </w:rPr>
              <w:t>Requires secondary anti-entrapment systems on MEWPs and defines spotter requirements when working within 30 metres of overhead powerlines, during MEWP movement, or where contact with structures is identified through risk assessment.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§54.2.4.1</w:t>
            </w:r>
          </w:p>
        </w:tc>
        <w:tc>
          <w:tcPr>
            <w:tcW w:type="dxa" w:w="2256"/>
          </w:tcPr>
          <w:p>
            <w:pPr>
              <w:pStyle w:val="TableContents"/>
              <w:spacing w:before="0" w:after="0" w:line="240" w:lineRule="atLeast"/>
            </w:pPr>
            <w:r>
              <w:rPr>
                <w:rFonts w:ascii="Arial" w:hAnsi="Arial" w:cs="Arial" w:eastAsia="Arial"/>
                <w:sz w:val="16"/>
                <w:szCs w:val="16"/>
              </w:rPr>
              <w:t>Requires all MEWPs to be fitted with an OEM-approved pressure-sensitive anti-crushing or anti-entrapment device, or an approved alternative where an OEM device is unavailable.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§54.2.4.3</w:t>
            </w:r>
          </w:p>
        </w:tc>
        <w:tc>
          <w:tcPr>
            <w:tcW w:type="dxa" w:w="2256"/>
          </w:tcPr>
          <w:p>
            <w:pPr>
              <w:pStyle w:val="TableContents"/>
              <w:spacing w:before="0" w:after="0" w:line="240" w:lineRule="atLeast"/>
            </w:pPr>
            <w:r>
              <w:rPr>
                <w:rFonts w:ascii="Arial" w:hAnsi="Arial" w:cs="Arial" w:eastAsia="Arial"/>
                <w:sz w:val="16"/>
                <w:szCs w:val="16"/>
              </w:rPr>
              <w:t>Requires all MEWPs to have ground-level controls allowing platform operation from the ground in cases of operator entrapment in the basket.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§54.3</w:t>
            </w:r>
          </w:p>
        </w:tc>
        <w:tc>
          <w:tcPr>
            <w:tcW w:type="dxa" w:w="2256"/>
          </w:tcPr>
          <w:p>
            <w:pPr>
              <w:pStyle w:val="TableContents"/>
              <w:spacing w:before="0" w:after="0" w:line="240" w:lineRule="atLeast"/>
            </w:pPr>
            <w:r>
              <w:rPr>
                <w:rFonts w:ascii="Arial" w:hAnsi="Arial" w:cs="Arial" w:eastAsia="Arial"/>
                <w:sz w:val="16"/>
                <w:szCs w:val="16"/>
              </w:rPr>
              <w:t>Requires a specific risk assessment and documented lift plan for every crane suspended workbox operation, with the workbox individually identified and marked with maximum load capacity.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§54.3.3</w:t>
            </w:r>
          </w:p>
        </w:tc>
        <w:tc>
          <w:tcPr>
            <w:tcW w:type="dxa" w:w="2256"/>
          </w:tcPr>
          <w:p>
            <w:pPr>
              <w:pStyle w:val="TableContents"/>
              <w:spacing w:before="0" w:after="0" w:line="240" w:lineRule="atLeast"/>
            </w:pPr>
            <w:r>
              <w:rPr>
                <w:rFonts w:ascii="Arial" w:hAnsi="Arial" w:cs="Arial" w:eastAsia="Arial"/>
                <w:sz w:val="16"/>
                <w:szCs w:val="16"/>
              </w:rPr>
              <w:t>Requires crane suspended workboxes to be clearly marked with Safe Working Load, date of last inspection, the PB designation, and a unique identifying number.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§54.3.4</w:t>
            </w:r>
          </w:p>
        </w:tc>
        <w:tc>
          <w:tcPr>
            <w:tcW w:type="dxa" w:w="2256"/>
          </w:tcPr>
          <w:p>
            <w:pPr>
              <w:pStyle w:val="TableContents"/>
              <w:spacing w:before="0" w:after="0" w:line="240" w:lineRule="atLeast"/>
            </w:pPr>
            <w:r>
              <w:rPr>
                <w:rFonts w:ascii="Arial" w:hAnsi="Arial" w:cs="Arial" w:eastAsia="Arial"/>
                <w:sz w:val="16"/>
                <w:szCs w:val="16"/>
              </w:rPr>
              <w:t>Requires a competent rigger in radio contact with the crane operator to ride in the man cage whenever it is occupied, with rigging equipment dedicated to man cage operations only and workboxes prohibited over water.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§54.4</w:t>
            </w:r>
          </w:p>
        </w:tc>
        <w:tc>
          <w:tcPr>
            <w:tcW w:type="dxa" w:w="2256"/>
          </w:tcPr>
          <w:p>
            <w:pPr>
              <w:pStyle w:val="TableContents"/>
              <w:spacing w:before="0" w:after="0" w:line="240" w:lineRule="atLeast"/>
            </w:pPr>
            <w:r>
              <w:rPr>
                <w:rFonts w:ascii="Arial" w:hAnsi="Arial" w:cs="Arial" w:eastAsia="Arial"/>
                <w:sz w:val="16"/>
                <w:szCs w:val="16"/>
              </w:rPr>
              <w:t>Requires risk assessment for securing device compatibility and load capacity for tools used at height, including requirements for drop mats and equipment containers for small parts.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§54.4.4.2</w:t>
            </w:r>
          </w:p>
        </w:tc>
        <w:tc>
          <w:tcPr>
            <w:tcW w:type="dxa" w:w="2256"/>
          </w:tcPr>
          <w:p>
            <w:pPr>
              <w:pStyle w:val="TableContents"/>
              <w:spacing w:before="0" w:after="0" w:line="240" w:lineRule="atLeast"/>
            </w:pPr>
            <w:r>
              <w:rPr>
                <w:rFonts w:ascii="Arial" w:hAnsi="Arial" w:cs="Arial" w:eastAsia="Arial"/>
                <w:sz w:val="16"/>
                <w:szCs w:val="16"/>
              </w:rPr>
              <w:t>Requires areas below elevated work activities to be barricaded off extending at a minimum of 15 degrees from the highest work point, with signage and a spotter where overhead work is active.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§2.1</w:t>
            </w:r>
          </w:p>
        </w:tc>
        <w:tc>
          <w:tcPr>
            <w:tcW w:type="dxa" w:w="2256"/>
          </w:tcPr>
          <w:p>
            <w:pPr>
              <w:pStyle w:val="TableContents"/>
              <w:spacing w:before="0" w:after="0" w:line="240" w:lineRule="atLeast"/>
            </w:pPr>
            <w:r>
              <w:rPr>
                <w:rFonts w:ascii="Arial" w:hAnsi="Arial" w:cs="Arial" w:eastAsia="Arial"/>
                <w:sz w:val="16"/>
                <w:szCs w:val="16"/>
              </w:rPr>
              <w:t>Requires prioritisation of collective protective measures over individual fall protection, independent certification of anchor points with documented load ratings and pre-use inspection by a competent person, operation of MEWPs within rated capacity on assessed ground conditions, and enforcement of exclusion zones under and within the swing radius of crane loads for the full duration of the lift.</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