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Commissioning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Commissioning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Commissioning represents one of the highest-risk phases of any capital project. It involves the transition from a construction environment to an operational environment, the energisation of systems and equipment for the first time, and the simultaneous operation of construction and live systems in the same area. This procedure defines how commissioning safety is planned, authorised, and controlled across the owner-led project - and governs the specific interface between the project team and the operations team as operational control of systems is transferred.</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commissioning safety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Scope and Commissioning Risk Assessment</w:t>
      </w:r>
    </w:p>
    <w:p>
      <w:pPr>
        <w:pStyle w:val="NormalNumberedtext"/>
      </w:pPr>
      <w:r>
        <w:t>This section defines commissioning as a project phase, confirms the application of all HSESC requirements during commissioning, and establishes the risk assessment obligations that must be met before commissioning activities begin.</w:t>
      </w:r>
    </w:p>
    <w:p>
      <w:pPr>
        <w:pStyle w:val="NormalNumberedtext"/>
      </w:pPr>
    </w:p>
    <w:p>
      <w:pPr>
        <w:pStyle w:val="Heading2Numbered"/>
        <w:numPr>
          <w:ilvl w:val="1"/>
          <w:numId w:val="1"/>
        </w:numPr>
      </w:pPr>
      <w:r>
        <w:rPr>
          <w:rFonts w:ascii="Arial" w:hAnsi="Arial" w:cs="Arial" w:eastAsia="Arial"/>
        </w:rPr>
        <w:t>Purpose and Scope of This Procedure</w:t>
      </w:r>
    </w:p>
    <w:p>
      <w:pPr>
        <w:pStyle w:val="NormalNumberedtext"/>
      </w:pPr>
      <w:r>
        <w:t>This section states the phases of work governed by this procedure and confirms the management system requirements that remain in force throughout.</w:t>
      </w:r>
    </w:p>
    <w:p>
      <w:pPr>
        <w:pStyle w:val="NormalNumberedtext"/>
      </w:pPr>
      <w:r>
        <w:t>This procedure governs HSESC requirements for the commissioning phase of the project, applying from the point of mechanical completion verification through to formal handover of each system to the operations team. Commissioning is defined as the phase during which systems and equipment are activated and tested for the first time.</w:t>
      </w:r>
    </w:p>
    <w:p>
      <w:pPr>
        <w:pStyle w:val="NormalNumberedtext"/>
      </w:pPr>
      <w:r>
        <w:t>Commissioning comprises the following sequential activities, each of which is subject to the requirements of this procedure:</w:t>
      </w:r>
    </w:p>
    <w:p>
      <w:pPr>
        <w:pStyle w:val="NormalNumberedtext"/>
      </w:pPr>
      <w:r>
        <w:t>The phases of commissioning governed by this procedure are:</w:t>
      </w:r>
    </w:p>
    <w:p>
      <w:pPr>
        <w:pStyle w:val="NumberedBulletL1"/>
      </w:pPr>
      <w:r>
        <w:t>Pre-commissioning - including cleaning, flushing, pressure testing, and instrument loop checking of systems prior to energisation.</w:t>
      </w:r>
    </w:p>
    <w:p>
      <w:pPr>
        <w:pStyle w:val="NumberedBulletL1"/>
      </w:pPr>
      <w:r>
        <w:t>Mechanical completion verification - confirmation that construction is complete to the standard required before pre-commissioning can proceed.</w:t>
      </w:r>
    </w:p>
    <w:p>
      <w:pPr>
        <w:pStyle w:val="NumberedBulletL1"/>
      </w:pPr>
      <w:r>
        <w:t>Commissioning - energisation of systems and functional testing of equipment and control systems under operating conditions.</w:t>
      </w:r>
    </w:p>
    <w:p>
      <w:pPr>
        <w:pStyle w:val="NumberedBulletL1"/>
      </w:pPr>
      <w:r>
        <w:t>Performance testing - demonstration that each system meets its design performance criteria under representative operating conditions.</w:t>
      </w:r>
    </w:p>
    <w:p>
      <w:pPr>
        <w:pStyle w:val="NumberedBulletL1"/>
      </w:pPr>
      <w:r>
        <w:t>Handover to operations - formal transfer of each system, together with its documentation and authority, from the project team to the operations team.</w:t>
      </w:r>
    </w:p>
    <w:p>
      <w:pPr>
        <w:pStyle w:val="NormalNumberedtext"/>
      </w:pPr>
      <w:r>
        <w:t>All HSESC requirements of the project management system remain in force during commissioning. No requirement is reduced, deferred, or suspended by reason of commissioning activity. Incident and near miss reporting obligations continue without modification; report all incidents and near misses per project requirements, refer [INSERT: Project Document Number].</w:t>
      </w:r>
    </w:p>
    <w:p>
      <w:pPr>
        <w:pStyle w:val="NormalNumberedtext"/>
      </w:pPr>
    </w:p>
    <w:p>
      <w:pPr>
        <w:pStyle w:val="Heading2Numbered"/>
        <w:numPr>
          <w:ilvl w:val="1"/>
          <w:numId w:val="1"/>
        </w:numPr>
      </w:pPr>
      <w:r>
        <w:rPr>
          <w:rFonts w:ascii="Arial" w:hAnsi="Arial" w:cs="Arial" w:eastAsia="Arial"/>
        </w:rPr>
        <w:t>Commissioning Risk Assessment Workshop</w:t>
      </w:r>
    </w:p>
    <w:p>
      <w:pPr>
        <w:pStyle w:val="NormalNumberedtext"/>
      </w:pPr>
      <w:r>
        <w:t>This section defines the workshop requirement, its timing, participants, and the scope of commissioning-specific risks that must be identified and documented.</w:t>
      </w:r>
    </w:p>
    <w:p>
      <w:pPr>
        <w:pStyle w:val="NormalNumberedtext"/>
      </w:pPr>
      <w:r>
        <w:t>A Commissioning Risk Assessment Workshop is conducted jointly by the project team and the operations team before any commissioning activity commences on the project. The workshop identifies and documents commissioning-specific risks that are distinct from the risks assessed during the construction phase. The commissioning risk assessment process is governed by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CRITICAL - The commissioning risk assessment workshop must be scheduled and conducted before commissioning begins. Insert the planned workshop date and confirm the participant list covers both the project team and the operations team before this procedure is issued.</w:t>
            </w:r>
          </w:p>
        </w:tc>
      </w:tr>
    </w:tbl>
    <w:p>
      <w:pPr>
        <w:pStyle w:val="NormalNumberedtext"/>
      </w:pPr>
    </w:p>
    <w:p>
      <w:pPr>
        <w:pStyle w:val="NormalNumberedtext"/>
      </w:pPr>
      <w:r>
        <w:t>The Commissioning Risk Assessment Workshop addresses, at minimum, the following risk categories:</w:t>
      </w:r>
    </w:p>
    <w:p>
      <w:pPr>
        <w:pStyle w:val="NumberedBulletL1"/>
      </w:pPr>
      <w:r>
        <w:t>First energisation of electrical, mechanical, and process systems.</w:t>
      </w:r>
    </w:p>
    <w:p>
      <w:pPr>
        <w:pStyle w:val="NumberedBulletL1"/>
      </w:pPr>
      <w:r>
        <w:t>Testing of safety instrumented systems and emergency shutdown systems.</w:t>
      </w:r>
    </w:p>
    <w:p>
      <w:pPr>
        <w:pStyle w:val="NumberedBulletL1"/>
      </w:pPr>
      <w:r>
        <w:t>Simultaneous operation of live systems adjacent to ongoing construction activities.</w:t>
      </w:r>
    </w:p>
    <w:p>
      <w:pPr>
        <w:pStyle w:val="NumberedBulletL1"/>
      </w:pPr>
      <w:r>
        <w:t>Transition of personnel from construction roles to commissioning or operational roles, including changes to risk exposure profile.</w:t>
      </w:r>
    </w:p>
    <w:p>
      <w:pPr>
        <w:pStyle w:val="NumberedBulletL1"/>
      </w:pPr>
      <w:r>
        <w:t>Fatality risk scenarios introduced by commissioning that were not present during construction, with critical controls identified and verification methods confirmed.</w:t>
      </w:r>
    </w:p>
    <w:p>
      <w:pPr>
        <w:pStyle w:val="NormalNumberedtext"/>
      </w:pPr>
      <w:r>
        <w:t>Fatality risk management is applied with the same rigour during commissioning as during construction. The workshop confirms the critical controls applicable to each commissioning fatality scenario and defines how each control is verified before the relevant commissioning activity proceeds.</w:t>
      </w:r>
    </w:p>
    <w:p>
      <w:pPr>
        <w:pStyle w:val="NormalNumberedtext"/>
      </w:pPr>
      <w:r>
        <w:t>Table: Commissioning Risk Assessment Workshop - Schedule and Participants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Item</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Detail</w:t>
            </w:r>
          </w:p>
        </w:tc>
      </w:tr>
      <w:tr>
        <w:tc>
          <w:tcPr>
            <w:tcW w:type="dxa" w:w="4513"/>
          </w:tcPr>
          <w:p>
            <w:pPr>
              <w:pStyle w:val="TableContents"/>
              <w:spacing w:before="0" w:after="0" w:line="240" w:lineRule="atLeast"/>
            </w:pPr>
            <w:r>
              <w:rPr>
                <w:rFonts w:ascii="Arial" w:hAnsi="Arial" w:cs="Arial" w:eastAsia="Arial"/>
                <w:sz w:val="16"/>
                <w:szCs w:val="16"/>
              </w:rPr>
              <w:t>Workshop date</w:t>
            </w:r>
          </w:p>
        </w:tc>
        <w:tc>
          <w:tcPr>
            <w:tcW w:type="dxa" w:w="4513"/>
          </w:tcPr>
          <w:p>
            <w:pPr>
              <w:pStyle w:val="TableContents"/>
              <w:spacing w:before="0" w:after="0" w:line="240" w:lineRule="atLeast"/>
            </w:pPr>
            <w:r>
              <w:rPr>
                <w:rFonts w:ascii="Arial" w:hAnsi="Arial" w:cs="Arial" w:eastAsia="Arial"/>
                <w:b/>
                <w:bCs/>
                <w:color w:val="0059D1"/>
                <w:sz w:val="16"/>
                <w:szCs w:val="16"/>
              </w:rPr>
              <w:t>[INSERT: planned workshop date]</w:t>
            </w:r>
          </w:p>
        </w:tc>
      </w:tr>
      <w:tr>
        <w:tc>
          <w:tcPr>
            <w:tcW w:type="dxa" w:w="4513"/>
          </w:tcPr>
          <w:p>
            <w:pPr>
              <w:pStyle w:val="TableContents"/>
              <w:spacing w:before="0" w:after="0" w:line="240" w:lineRule="atLeast"/>
            </w:pPr>
            <w:r>
              <w:rPr>
                <w:rFonts w:ascii="Arial" w:hAnsi="Arial" w:cs="Arial" w:eastAsia="Arial"/>
                <w:sz w:val="16"/>
                <w:szCs w:val="16"/>
              </w:rPr>
              <w:t>Workshop facilitator</w:t>
            </w:r>
          </w:p>
        </w:tc>
        <w:tc>
          <w:tcPr>
            <w:tcW w:type="dxa" w:w="4513"/>
          </w:tcPr>
          <w:p>
            <w:pPr>
              <w:pStyle w:val="TableContents"/>
              <w:spacing w:before="0" w:after="0" w:line="240" w:lineRule="atLeast"/>
            </w:pPr>
            <w:r>
              <w:rPr>
                <w:rFonts w:ascii="Arial" w:hAnsi="Arial" w:cs="Arial" w:eastAsia="Arial"/>
                <w:b/>
                <w:bCs/>
                <w:color w:val="0059D1"/>
                <w:sz w:val="16"/>
                <w:szCs w:val="16"/>
              </w:rPr>
              <w:t>[INSERT: name and role]</w:t>
            </w:r>
          </w:p>
        </w:tc>
      </w:tr>
      <w:tr>
        <w:tc>
          <w:tcPr>
            <w:tcW w:type="dxa" w:w="4513"/>
          </w:tcPr>
          <w:p>
            <w:pPr>
              <w:pStyle w:val="TableContents"/>
              <w:spacing w:before="0" w:after="0" w:line="240" w:lineRule="atLeast"/>
            </w:pPr>
            <w:r>
              <w:rPr>
                <w:rFonts w:ascii="Arial" w:hAnsi="Arial" w:cs="Arial" w:eastAsia="Arial"/>
                <w:sz w:val="16"/>
                <w:szCs w:val="16"/>
              </w:rPr>
              <w:t>Project team participants required</w:t>
            </w:r>
          </w:p>
        </w:tc>
        <w:tc>
          <w:tcPr>
            <w:tcW w:type="dxa" w:w="4513"/>
          </w:tcPr>
          <w:p>
            <w:pPr>
              <w:pStyle w:val="TableContents"/>
              <w:spacing w:before="0" w:after="0" w:line="240" w:lineRule="atLeast"/>
            </w:pPr>
            <w:r>
              <w:rPr>
                <w:rFonts w:ascii="Arial" w:hAnsi="Arial" w:cs="Arial" w:eastAsia="Arial"/>
                <w:b/>
                <w:bCs/>
                <w:color w:val="0059D1"/>
                <w:sz w:val="16"/>
                <w:szCs w:val="16"/>
              </w:rPr>
              <w:t>[INSERT: list of project team roles — e.g., Commissioning Manager, Construction Manager, HSESC Manager, Responsible Commissioning Engineers]</w:t>
            </w:r>
          </w:p>
        </w:tc>
      </w:tr>
      <w:tr>
        <w:tc>
          <w:tcPr>
            <w:tcW w:type="dxa" w:w="4513"/>
          </w:tcPr>
          <w:p>
            <w:pPr>
              <w:pStyle w:val="TableContents"/>
              <w:spacing w:before="0" w:after="0" w:line="240" w:lineRule="atLeast"/>
            </w:pPr>
            <w:r>
              <w:rPr>
                <w:rFonts w:ascii="Arial" w:hAnsi="Arial" w:cs="Arial" w:eastAsia="Arial"/>
                <w:sz w:val="16"/>
                <w:szCs w:val="16"/>
              </w:rPr>
              <w:t>Operations team participants required</w:t>
            </w:r>
          </w:p>
        </w:tc>
        <w:tc>
          <w:tcPr>
            <w:tcW w:type="dxa" w:w="4513"/>
          </w:tcPr>
          <w:p>
            <w:pPr>
              <w:pStyle w:val="TableContents"/>
              <w:spacing w:before="0" w:after="0" w:line="240" w:lineRule="atLeast"/>
            </w:pPr>
            <w:r>
              <w:rPr>
                <w:rFonts w:ascii="Arial" w:hAnsi="Arial" w:cs="Arial" w:eastAsia="Arial"/>
                <w:b/>
                <w:bCs/>
                <w:color w:val="0059D1"/>
                <w:sz w:val="16"/>
                <w:szCs w:val="16"/>
              </w:rPr>
              <w:t>[INSERT: list of operations team roles — e.g., Operations Manager, Operations Representative, Maintenance Superintendent]</w:t>
            </w:r>
          </w:p>
        </w:tc>
      </w:tr>
      <w:tr>
        <w:tc>
          <w:tcPr>
            <w:tcW w:type="dxa" w:w="4513"/>
          </w:tcPr>
          <w:p>
            <w:pPr>
              <w:pStyle w:val="TableContents"/>
              <w:spacing w:before="0" w:after="0" w:line="240" w:lineRule="atLeast"/>
            </w:pPr>
            <w:r>
              <w:rPr>
                <w:rFonts w:ascii="Arial" w:hAnsi="Arial" w:cs="Arial" w:eastAsia="Arial"/>
                <w:sz w:val="16"/>
                <w:szCs w:val="16"/>
              </w:rPr>
              <w:t>Document management location for workshop output</w:t>
            </w:r>
          </w:p>
        </w:tc>
        <w:tc>
          <w:tcPr>
            <w:tcW w:type="dxa" w:w="4513"/>
          </w:tcPr>
          <w:p>
            <w:pPr>
              <w:pStyle w:val="TableContents"/>
              <w:spacing w:before="0" w:after="0" w:line="240" w:lineRule="atLeast"/>
            </w:pPr>
            <w:r>
              <w:rPr>
                <w:rFonts w:ascii="Arial" w:hAnsi="Arial" w:cs="Arial" w:eastAsia="Arial"/>
                <w:b/>
                <w:bCs/>
                <w:color w:val="0059D1"/>
                <w:sz w:val="16"/>
                <w:szCs w:val="16"/>
              </w:rPr>
              <w:t>[INSERT: document management system location]</w:t>
            </w:r>
          </w:p>
        </w:tc>
      </w:tr>
      <w:tr>
        <w:tc>
          <w:tcPr>
            <w:tcW w:type="dxa" w:w="4513"/>
          </w:tcPr>
          <w:p>
            <w:pPr>
              <w:pStyle w:val="TableContents"/>
              <w:spacing w:before="0" w:after="0" w:line="240" w:lineRule="atLeast"/>
            </w:pPr>
            <w:r>
              <w:rPr>
                <w:rFonts w:ascii="Arial" w:hAnsi="Arial" w:cs="Arial" w:eastAsia="Arial"/>
                <w:sz w:val="16"/>
                <w:szCs w:val="16"/>
              </w:rPr>
              <w:t>Risk register update deadline after workshop</w:t>
            </w:r>
          </w:p>
        </w:tc>
        <w:tc>
          <w:tcPr>
            <w:tcW w:type="dxa" w:w="4513"/>
          </w:tcPr>
          <w:p>
            <w:pPr>
              <w:pStyle w:val="TableContents"/>
              <w:spacing w:before="0" w:after="0" w:line="240" w:lineRule="atLeast"/>
            </w:pPr>
            <w:r>
              <w:rPr>
                <w:rFonts w:ascii="Arial" w:hAnsi="Arial" w:cs="Arial" w:eastAsia="Arial"/>
                <w:sz w:val="16"/>
                <w:szCs w:val="16"/>
              </w:rPr>
              <w:t>10 business days after workshop completion</w:t>
            </w:r>
          </w:p>
        </w:tc>
      </w:tr>
    </w:tbl>
    <w:p>
      <w:pPr>
        <w:pStyle w:val="NormalNumberedtext"/>
      </w:pPr>
    </w:p>
    <w:p>
      <w:pPr>
        <w:pStyle w:val="NormalNumberedtext"/>
      </w:pPr>
      <w:r>
        <w:rPr>
          <w:b/>
          <w:bCs/>
          <w:color w:val="0059D1"/>
        </w:rPr>
        <w:t>[INSERT: operations_representative_name_position] — Insert the name and position of the Operations Representative who participates in commissioning activities from the risk assessment workshop through to final handover.</w:t>
      </w:r>
    </w:p>
    <w:p>
      <w:pPr>
        <w:pStyle w:val="NormalNumberedtext"/>
      </w:pPr>
    </w:p>
    <w:p>
      <w:pPr>
        <w:pStyle w:val="Heading1Numbered"/>
        <w:numPr>
          <w:ilvl w:val="0"/>
          <w:numId w:val="1"/>
        </w:numPr>
      </w:pPr>
      <w:r>
        <w:rPr>
          <w:rFonts w:ascii="Arial" w:hAnsi="Arial" w:cs="Arial" w:eastAsia="Arial"/>
        </w:rPr>
        <w:t>Pre-Commissioning Plans and Handover Preparation</w:t>
      </w:r>
    </w:p>
    <w:p>
      <w:pPr>
        <w:pStyle w:val="NormalNumberedtext"/>
      </w:pPr>
      <w:r>
        <w:t>This section defines the planning, punch-listing, defect management, and documentation requirements that must be satisfied before any system proceeds from construction to pre-commissioning.</w:t>
      </w:r>
    </w:p>
    <w:p>
      <w:pPr>
        <w:pStyle w:val="NormalNumberedtext"/>
      </w:pPr>
    </w:p>
    <w:p>
      <w:pPr>
        <w:pStyle w:val="Heading2Numbered"/>
        <w:numPr>
          <w:ilvl w:val="1"/>
          <w:numId w:val="1"/>
        </w:numPr>
      </w:pPr>
      <w:r>
        <w:rPr>
          <w:rFonts w:ascii="Arial" w:hAnsi="Arial" w:cs="Arial" w:eastAsia="Arial"/>
        </w:rPr>
        <w:t>Pre-Commissioning Plans</w:t>
      </w:r>
    </w:p>
    <w:p>
      <w:pPr>
        <w:pStyle w:val="NormalNumberedtext"/>
      </w:pPr>
      <w:r>
        <w:t>This section defines the content requirements for pre-commissioning plans and the approvals required before any system proceeds to commissioning.</w:t>
      </w:r>
    </w:p>
    <w:p>
      <w:pPr>
        <w:pStyle w:val="NormalNumberedtext"/>
      </w:pPr>
      <w:r>
        <w:t>A pre-commissioning plan is prepared for each system or sub-system before that system proceeds to the pre-commissioning phase. The plan is approved by both the Construction Manager and the Commissioning Manager before any pre-commissioning activity on that system commences.</w:t>
      </w:r>
    </w:p>
    <w:p>
      <w:pPr>
        <w:pStyle w:val="NormalNumberedtext"/>
      </w:pPr>
      <w:r>
        <w:t>Each pre-commissioning plan addresses the following, at minimum:</w:t>
      </w:r>
    </w:p>
    <w:p>
      <w:pPr>
        <w:pStyle w:val="NumberedBulletL1"/>
      </w:pPr>
      <w:r>
        <w:t>For brownfield projects - tie-in points and the controls required to protect operating plant during tie-in activities.</w:t>
      </w:r>
    </w:p>
    <w:p>
      <w:pPr>
        <w:pStyle w:val="NumberedBulletL1"/>
      </w:pPr>
      <w:r>
        <w:t>Isolation and energisation sequences for each step of pre-commissioning.</w:t>
      </w:r>
    </w:p>
    <w:p>
      <w:pPr>
        <w:pStyle w:val="NumberedBulletL1"/>
      </w:pPr>
      <w:r>
        <w:t>Testing methodology for each system, including the acceptance criteria for each test.</w:t>
      </w:r>
    </w:p>
    <w:p>
      <w:pPr>
        <w:pStyle w:val="NumberedBulletL1"/>
      </w:pPr>
      <w:r>
        <w:t>Minimum system completeness criteria that must be satisfied before any element of the system is energised.</w:t>
      </w:r>
    </w:p>
    <w:p>
      <w:pPr>
        <w:pStyle w:val="NumberedBulletL1"/>
      </w:pPr>
      <w:r>
        <w:t>Sign-off requirements from both the construction team and the operations team before the system proceeds to commissioning.</w:t>
      </w:r>
    </w:p>
    <w:p>
      <w:pPr>
        <w:pStyle w:val="NormalNumberedtext"/>
      </w:pPr>
      <w:r>
        <w:t>All safety systems required for the protection of workers and the environment are tested and commissioned before the process systems they protect are energised or placed in service. The sequence of commissioning across systems reflects this dependency. Refer to [INSERT: Project Document Number] for safety-critical system pre-commissioning requirements and [INSERT: Project Document Number] for SIS proof testing requirements.</w:t>
      </w:r>
    </w:p>
    <w:p>
      <w:pPr>
        <w:pStyle w:val="NormalNumberedtext"/>
      </w:pPr>
    </w:p>
    <w:p>
      <w:pPr>
        <w:pStyle w:val="Heading2Numbered"/>
        <w:numPr>
          <w:ilvl w:val="1"/>
          <w:numId w:val="1"/>
        </w:numPr>
      </w:pPr>
      <w:r>
        <w:rPr>
          <w:rFonts w:ascii="Arial" w:hAnsi="Arial" w:cs="Arial" w:eastAsia="Arial"/>
        </w:rPr>
        <w:t>Punch-Listing and Defect Management</w:t>
      </w:r>
    </w:p>
    <w:p>
      <w:pPr>
        <w:pStyle w:val="NormalNumberedtext"/>
      </w:pPr>
      <w:r>
        <w:t>This section defines the A-list and B-list defect management process applied before mechanical completion is declared for any system.</w:t>
      </w:r>
    </w:p>
    <w:p>
      <w:pPr>
        <w:pStyle w:val="NormalNumberedtext"/>
      </w:pPr>
      <w:r>
        <w:t>Punch-listing and defect resolution are completed before any system is declared mechanically complete and released for pre-commissioning. Outstanding items are classified as either A-list or B-list defects at the time of punch-listing.</w:t>
      </w:r>
    </w:p>
    <w:p>
      <w:pPr>
        <w:pStyle w:val="NormalNumberedtext"/>
      </w:pPr>
      <w:r>
        <w:t>The defect classification system is applied as follows:</w:t>
      </w:r>
    </w:p>
    <w:p>
      <w:pPr>
        <w:pStyle w:val="NumberedBulletL1"/>
      </w:pPr>
      <w:r>
        <w:t>A-list defects are safety-related items that are prohibitive to energisation. No system proceeds to energisation while any A-list defect remains open.</w:t>
      </w:r>
    </w:p>
    <w:p>
      <w:pPr>
        <w:pStyle w:val="NumberedBulletL1"/>
      </w:pPr>
      <w:r>
        <w:t>B-list defects are non-safety items that do not prevent energisation. B-list defects are resolved within an agreed period after energisation, with the completion period defined in the handover package for each system.</w:t>
      </w:r>
    </w:p>
    <w:p>
      <w:pPr>
        <w:pStyle w:val="NumberedBulletL1"/>
      </w:pPr>
      <w:r>
        <w:t>[The agreed period for resolution of B-list defects is 30 days after system energisation unless a longer period is approved in writing by the Commissioning Manager and the Operations Representative.]</w:t>
      </w:r>
    </w:p>
    <w:p>
      <w:pPr>
        <w:pStyle w:val="NormalNumberedtext"/>
      </w:pPr>
      <w:r>
        <w:t>The A-list defect register for each system is reviewed and confirmed closed by the Commissioning Manager and the Construction Manager before the authority-to-energise sign-off is completed for that system.</w:t>
      </w:r>
    </w:p>
    <w:p>
      <w:pPr>
        <w:pStyle w:val="NormalNumberedtext"/>
      </w:pPr>
    </w:p>
    <w:p>
      <w:pPr>
        <w:pStyle w:val="Heading2Numbered"/>
        <w:numPr>
          <w:ilvl w:val="1"/>
          <w:numId w:val="1"/>
        </w:numPr>
      </w:pPr>
      <w:r>
        <w:rPr>
          <w:rFonts w:ascii="Arial" w:hAnsi="Arial" w:cs="Arial" w:eastAsia="Arial"/>
        </w:rPr>
        <w:t>Minimum Documentation Package for Mechanical Completion</w:t>
      </w:r>
    </w:p>
    <w:p>
      <w:pPr>
        <w:pStyle w:val="NormalNumberedtext"/>
      </w:pPr>
      <w:r>
        <w:t>This section defines the documents that must be complete and approved before any system is declared mechanically complete and proceeds to pre-commissioning.</w:t>
      </w:r>
    </w:p>
    <w:p>
      <w:pPr>
        <w:pStyle w:val="NormalNumberedtext"/>
      </w:pPr>
      <w:r>
        <w:t>The project defines the minimum documentation package required before any system is declared mechanically complete. This package is approved by both the Construction Manager and the Commissioning Manager before the system proceeds to pre-commissioning.</w:t>
      </w:r>
    </w:p>
    <w:p>
      <w:pPr>
        <w:pStyle w:val="NormalNumberedtext"/>
      </w:pPr>
      <w:r>
        <w:t>The minimum documentation package for mechanical completion includes:</w:t>
      </w:r>
    </w:p>
    <w:p>
      <w:pPr>
        <w:pStyle w:val="NumberedBulletL1"/>
      </w:pPr>
      <w:r>
        <w:t>As-built drawings for the system, confirmed current at the date of mechanical completion declaration.</w:t>
      </w:r>
    </w:p>
    <w:p>
      <w:pPr>
        <w:pStyle w:val="NumberedBulletL1"/>
      </w:pPr>
      <w:r>
        <w:t>Equipment test certificates for all mechanical and static equipment within the system.</w:t>
      </w:r>
    </w:p>
    <w:p>
      <w:pPr>
        <w:pStyle w:val="NumberedBulletL1"/>
      </w:pPr>
      <w:r>
        <w:t>SIS proof test records confirming satisfactory testing of all Safety Instrumented System functions protecting the system, refer [INSERT: Project Document Number].</w:t>
      </w:r>
    </w:p>
    <w:p>
      <w:pPr>
        <w:pStyle w:val="NumberedBulletL1"/>
      </w:pPr>
      <w:r>
        <w:t>Regulatory inspection certificates for pressure vessels, lifting equipment, and any other equipment subject to statutory inspection requirements.</w:t>
      </w:r>
    </w:p>
    <w:p>
      <w:pPr>
        <w:pStyle w:val="NumberedBulletL1"/>
      </w:pPr>
      <w:r>
        <w:t>Completed punch list with all A-list items confirmed closed and all B-list items documented with agreed resolution timeframes.</w:t>
      </w:r>
    </w:p>
    <w:p>
      <w:pPr>
        <w:pStyle w:val="NumberedBulletL1"/>
      </w:pPr>
      <w:r>
        <w:t>[{'insert': True, 'field': 'additional_mc_documents', 'hint': 'Insert any project-specific documentation requirements not listed above that must be complete before mechanical completion can be declared.'}]</w:t>
      </w:r>
    </w:p>
    <w:p>
      <w:pPr>
        <w:pStyle w:val="NormalNumberedtext"/>
      </w:pPr>
      <w:r>
        <w:t>Table: Mechanical Completion Documentation Package - Approval Record</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Responsible Party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Approved By</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Date Approved</w:t>
            </w:r>
          </w:p>
        </w:tc>
      </w:tr>
      <w:tr>
        <w:tc>
          <w:tcPr>
            <w:tcW w:type="dxa" w:w="2256"/>
          </w:tcPr>
          <w:p>
            <w:pPr>
              <w:pStyle w:val="TableContents"/>
              <w:spacing w:before="0" w:after="0" w:line="240" w:lineRule="atLeast"/>
            </w:pPr>
            <w:r>
              <w:rPr>
                <w:rFonts w:ascii="Arial" w:hAnsi="Arial" w:cs="Arial" w:eastAsia="Arial"/>
                <w:sz w:val="16"/>
                <w:szCs w:val="16"/>
              </w:rPr>
              <w:t>As-built drawings</w:t>
            </w:r>
          </w:p>
        </w:tc>
        <w:tc>
          <w:tcPr>
            <w:tcW w:type="dxa" w:w="2256"/>
          </w:tcPr>
          <w:p>
            <w:pPr>
              <w:pStyle w:val="TableContents"/>
              <w:spacing w:before="0" w:after="0" w:line="240" w:lineRule="atLeast"/>
            </w:pPr>
            <w:r>
              <w:rPr>
                <w:rFonts w:ascii="Arial" w:hAnsi="Arial" w:cs="Arial" w:eastAsia="Arial"/>
                <w:sz w:val="16"/>
                <w:szCs w:val="16"/>
              </w:rPr>
              <w:t>Construction Manager</w:t>
            </w:r>
          </w:p>
        </w:tc>
        <w:tc>
          <w:tcPr>
            <w:tcW w:type="dxa" w:w="2256"/>
          </w:tcPr>
          <w:p>
            <w:pPr>
              <w:pStyle w:val="TableContents"/>
              <w:spacing w:before="0" w:after="0" w:line="240" w:lineRule="atLeast"/>
            </w:pPr>
            <w:r>
              <w:rPr>
                <w:rFonts w:ascii="Arial" w:hAnsi="Arial" w:cs="Arial" w:eastAsia="Arial"/>
                <w:sz w:val="16"/>
                <w:szCs w:val="16"/>
              </w:rPr>
              <w:t>Construction Manager and Commissioning Manager</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Equipment test certificates</w:t>
            </w:r>
          </w:p>
        </w:tc>
        <w:tc>
          <w:tcPr>
            <w:tcW w:type="dxa" w:w="2256"/>
          </w:tcPr>
          <w:p>
            <w:pPr>
              <w:pStyle w:val="TableContents"/>
              <w:spacing w:before="0" w:after="0" w:line="240" w:lineRule="atLeast"/>
            </w:pPr>
            <w:r>
              <w:rPr>
                <w:rFonts w:ascii="Arial" w:hAnsi="Arial" w:cs="Arial" w:eastAsia="Arial"/>
                <w:sz w:val="16"/>
                <w:szCs w:val="16"/>
              </w:rPr>
              <w:t>Construction Manager</w:t>
            </w:r>
          </w:p>
        </w:tc>
        <w:tc>
          <w:tcPr>
            <w:tcW w:type="dxa" w:w="2256"/>
          </w:tcPr>
          <w:p>
            <w:pPr>
              <w:pStyle w:val="TableContents"/>
              <w:spacing w:before="0" w:after="0" w:line="240" w:lineRule="atLeast"/>
            </w:pPr>
            <w:r>
              <w:rPr>
                <w:rFonts w:ascii="Arial" w:hAnsi="Arial" w:cs="Arial" w:eastAsia="Arial"/>
                <w:sz w:val="16"/>
                <w:szCs w:val="16"/>
              </w:rPr>
              <w:t>Construction Manager and Commissioning Manager</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SIS proof test records</w:t>
            </w:r>
          </w:p>
        </w:tc>
        <w:tc>
          <w:tcPr>
            <w:tcW w:type="dxa" w:w="2256"/>
          </w:tcPr>
          <w:p>
            <w:pPr>
              <w:pStyle w:val="TableContents"/>
              <w:spacing w:before="0" w:after="0" w:line="240" w:lineRule="atLeast"/>
            </w:pPr>
            <w:r>
              <w:rPr>
                <w:rFonts w:ascii="Arial" w:hAnsi="Arial" w:cs="Arial" w:eastAsia="Arial"/>
                <w:sz w:val="16"/>
                <w:szCs w:val="16"/>
              </w:rPr>
              <w:t>Commissioning Manager</w:t>
            </w:r>
          </w:p>
        </w:tc>
        <w:tc>
          <w:tcPr>
            <w:tcW w:type="dxa" w:w="2256"/>
          </w:tcPr>
          <w:p>
            <w:pPr>
              <w:pStyle w:val="TableContents"/>
              <w:spacing w:before="0" w:after="0" w:line="240" w:lineRule="atLeast"/>
            </w:pPr>
            <w:r>
              <w:rPr>
                <w:rFonts w:ascii="Arial" w:hAnsi="Arial" w:cs="Arial" w:eastAsia="Arial"/>
                <w:sz w:val="16"/>
                <w:szCs w:val="16"/>
              </w:rPr>
              <w:t>Construction Manager and Commissioning Manager</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Regulatory inspection certificates</w:t>
            </w:r>
          </w:p>
        </w:tc>
        <w:tc>
          <w:tcPr>
            <w:tcW w:type="dxa" w:w="2256"/>
          </w:tcPr>
          <w:p>
            <w:pPr>
              <w:pStyle w:val="TableContents"/>
              <w:spacing w:before="0" w:after="0" w:line="240" w:lineRule="atLeast"/>
            </w:pPr>
            <w:r>
              <w:rPr>
                <w:rFonts w:ascii="Arial" w:hAnsi="Arial" w:cs="Arial" w:eastAsia="Arial"/>
                <w:sz w:val="16"/>
                <w:szCs w:val="16"/>
              </w:rPr>
              <w:t>Construction Manager</w:t>
            </w:r>
          </w:p>
        </w:tc>
        <w:tc>
          <w:tcPr>
            <w:tcW w:type="dxa" w:w="2256"/>
          </w:tcPr>
          <w:p>
            <w:pPr>
              <w:pStyle w:val="TableContents"/>
              <w:spacing w:before="0" w:after="0" w:line="240" w:lineRule="atLeast"/>
            </w:pPr>
            <w:r>
              <w:rPr>
                <w:rFonts w:ascii="Arial" w:hAnsi="Arial" w:cs="Arial" w:eastAsia="Arial"/>
                <w:sz w:val="16"/>
                <w:szCs w:val="16"/>
              </w:rPr>
              <w:t>Construction Manager and Commissioning Manager</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Completed punch list - A-list closed</w:t>
            </w:r>
          </w:p>
        </w:tc>
        <w:tc>
          <w:tcPr>
            <w:tcW w:type="dxa" w:w="2256"/>
          </w:tcPr>
          <w:p>
            <w:pPr>
              <w:pStyle w:val="TableContents"/>
              <w:spacing w:before="0" w:after="0" w:line="240" w:lineRule="atLeast"/>
            </w:pPr>
            <w:r>
              <w:rPr>
                <w:rFonts w:ascii="Arial" w:hAnsi="Arial" w:cs="Arial" w:eastAsia="Arial"/>
                <w:sz w:val="16"/>
                <w:szCs w:val="16"/>
              </w:rPr>
              <w:t>Commissioning Manager</w:t>
            </w:r>
          </w:p>
        </w:tc>
        <w:tc>
          <w:tcPr>
            <w:tcW w:type="dxa" w:w="2256"/>
          </w:tcPr>
          <w:p>
            <w:pPr>
              <w:pStyle w:val="TableContents"/>
              <w:spacing w:before="0" w:after="0" w:line="240" w:lineRule="atLeast"/>
            </w:pPr>
            <w:r>
              <w:rPr>
                <w:rFonts w:ascii="Arial" w:hAnsi="Arial" w:cs="Arial" w:eastAsia="Arial"/>
                <w:sz w:val="16"/>
                <w:szCs w:val="16"/>
              </w:rPr>
              <w:t>Construction Manager and Commissioning Manager</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document]</w:t>
            </w:r>
          </w:p>
        </w:tc>
        <w:tc>
          <w:tcPr>
            <w:tcW w:type="dxa" w:w="2256"/>
          </w:tcPr>
          <w:p>
            <w:pPr>
              <w:pStyle w:val="TableContents"/>
              <w:spacing w:before="0" w:after="0" w:line="240" w:lineRule="atLeast"/>
            </w:pPr>
            <w:r>
              <w:rPr>
                <w:rFonts w:ascii="Arial" w:hAnsi="Arial" w:cs="Arial" w:eastAsia="Arial"/>
                <w:b/>
                <w:bCs/>
                <w:color w:val="0059D1"/>
                <w:sz w:val="16"/>
                <w:szCs w:val="16"/>
              </w:rPr>
              <w:t>[INSERT: responsible party]</w:t>
            </w:r>
          </w:p>
        </w:tc>
        <w:tc>
          <w:tcPr>
            <w:tcW w:type="dxa" w:w="2256"/>
          </w:tcPr>
          <w:p>
            <w:pPr>
              <w:pStyle w:val="TableContents"/>
              <w:spacing w:before="0" w:after="0" w:line="240" w:lineRule="atLeast"/>
            </w:pPr>
            <w:r>
              <w:rPr>
                <w:rFonts w:ascii="Arial" w:hAnsi="Arial" w:cs="Arial" w:eastAsia="Arial"/>
                <w:b/>
                <w:bCs/>
                <w:color w:val="0059D1"/>
                <w:sz w:val="16"/>
                <w:szCs w:val="16"/>
              </w:rPr>
              <w:t>[INSERT: approval authority]</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1Numbered"/>
        <w:numPr>
          <w:ilvl w:val="0"/>
          <w:numId w:val="1"/>
        </w:numPr>
      </w:pPr>
      <w:r>
        <w:rPr>
          <w:rFonts w:ascii="Arial" w:hAnsi="Arial" w:cs="Arial" w:eastAsia="Arial"/>
        </w:rPr>
        <w:t>Isolation and Energisation Management</w:t>
      </w:r>
    </w:p>
    <w:p>
      <w:pPr>
        <w:pStyle w:val="NormalNumberedtext"/>
      </w:pPr>
      <w:r>
        <w:t>This section defines the authority-to-energise process, electrical commissioning plan requirements, commissioning boundary demarcation, and the transition of permit authority from construction to operations.</w:t>
      </w:r>
    </w:p>
    <w:p>
      <w:pPr>
        <w:pStyle w:val="NormalNumberedtext"/>
      </w:pPr>
    </w:p>
    <w:p>
      <w:pPr>
        <w:pStyle w:val="Heading2Numbered"/>
        <w:numPr>
          <w:ilvl w:val="1"/>
          <w:numId w:val="1"/>
        </w:numPr>
      </w:pPr>
      <w:r>
        <w:rPr>
          <w:rFonts w:ascii="Arial" w:hAnsi="Arial" w:cs="Arial" w:eastAsia="Arial"/>
        </w:rPr>
        <w:t>Authority to Energise</w:t>
      </w:r>
    </w:p>
    <w:p>
      <w:pPr>
        <w:pStyle w:val="NormalNumberedtext"/>
      </w:pPr>
      <w:r>
        <w:t>This section defines the sign-off authority and documentation requirements before any system or safety-critical equipment is energised for the first time.</w:t>
      </w:r>
    </w:p>
    <w:p>
      <w:pPr>
        <w:pStyle w:val="NormalNumberedtext"/>
      </w:pPr>
      <w:r>
        <w:t>All commissioning energisation activities are authorised through the site PTW system. Raise a permit via the site PTW system before commencing any energisation activity, refer [INSERT: Project Document Number]. Energy isolation plans are maintained and updated to reflect the evolving boundary between energised and non-energised systems as commissioning progresses. Isolation management during commissioning is governed by [INSERT: Project Document Number].</w:t>
      </w:r>
    </w:p>
    <w:p>
      <w:pPr>
        <w:pStyle w:val="NormalNumberedtext"/>
      </w:pPr>
      <w:r>
        <w:t>A written authority-to-energise is required before any safety-critical system is energised for the first time. This authority is signed by both the Commissioning Manager and the plant Operations Representative before energisation proceeds. The signed authority-to-energise record is retained as a permanent project record.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authority-to-energise process for this project: who must sign the authority-to-energise for each system; what documentation must be complete before sign-off is permitted; where the signed authority-to-energise records are retained. These are project-specific implementation decisions.</w:t>
            </w:r>
          </w:p>
        </w:tc>
      </w:tr>
    </w:tbl>
    <w:p>
      <w:pPr>
        <w:pStyle w:val="NormalNumberedtext"/>
      </w:pPr>
    </w:p>
    <w:p>
      <w:pPr>
        <w:pStyle w:val="NormalNumberedtext"/>
      </w:pPr>
      <w:r>
        <w:t>Table: Authority-to-Energise - Process Definition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Element</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Project Definition</w:t>
            </w:r>
          </w:p>
        </w:tc>
      </w:tr>
      <w:tr>
        <w:tc>
          <w:tcPr>
            <w:tcW w:type="dxa" w:w="4513"/>
          </w:tcPr>
          <w:p>
            <w:pPr>
              <w:pStyle w:val="TableContents"/>
              <w:spacing w:before="0" w:after="0" w:line="240" w:lineRule="atLeast"/>
            </w:pPr>
            <w:r>
              <w:rPr>
                <w:rFonts w:ascii="Arial" w:hAnsi="Arial" w:cs="Arial" w:eastAsia="Arial"/>
                <w:sz w:val="16"/>
                <w:szCs w:val="16"/>
              </w:rPr>
              <w:t>Required signatories for safety-critical system energisation</w:t>
            </w:r>
          </w:p>
        </w:tc>
        <w:tc>
          <w:tcPr>
            <w:tcW w:type="dxa" w:w="4513"/>
          </w:tcPr>
          <w:p>
            <w:pPr>
              <w:pStyle w:val="TableContents"/>
              <w:spacing w:before="0" w:after="0" w:line="240" w:lineRule="atLeast"/>
            </w:pPr>
            <w:r>
              <w:rPr>
                <w:rFonts w:ascii="Arial" w:hAnsi="Arial" w:cs="Arial" w:eastAsia="Arial"/>
                <w:b/>
                <w:bCs/>
                <w:color w:val="0059D1"/>
                <w:sz w:val="16"/>
                <w:szCs w:val="16"/>
              </w:rPr>
              <w:t>[INSERT: names and roles of required signatories — at minimum, Commissioning Manager and Operations Representative]</w:t>
            </w:r>
          </w:p>
        </w:tc>
      </w:tr>
      <w:tr>
        <w:tc>
          <w:tcPr>
            <w:tcW w:type="dxa" w:w="4513"/>
          </w:tcPr>
          <w:p>
            <w:pPr>
              <w:pStyle w:val="TableContents"/>
              <w:spacing w:before="0" w:after="0" w:line="240" w:lineRule="atLeast"/>
            </w:pPr>
            <w:r>
              <w:rPr>
                <w:rFonts w:ascii="Arial" w:hAnsi="Arial" w:cs="Arial" w:eastAsia="Arial"/>
                <w:sz w:val="16"/>
                <w:szCs w:val="16"/>
              </w:rPr>
              <w:t>Documentation that must be complete before sign-off is permitted</w:t>
            </w:r>
          </w:p>
        </w:tc>
        <w:tc>
          <w:tcPr>
            <w:tcW w:type="dxa" w:w="4513"/>
          </w:tcPr>
          <w:p>
            <w:pPr>
              <w:pStyle w:val="TableContents"/>
              <w:spacing w:before="0" w:after="0" w:line="240" w:lineRule="atLeast"/>
            </w:pPr>
            <w:r>
              <w:rPr>
                <w:rFonts w:ascii="Arial" w:hAnsi="Arial" w:cs="Arial" w:eastAsia="Arial"/>
                <w:b/>
                <w:bCs/>
                <w:color w:val="0059D1"/>
                <w:sz w:val="16"/>
                <w:szCs w:val="16"/>
              </w:rPr>
              <w:t>[INSERT: list of required documents — e.g., closed A-list, SIS proof test records, PTW in place, isolation boundary confirmed]</w:t>
            </w:r>
          </w:p>
        </w:tc>
      </w:tr>
      <w:tr>
        <w:tc>
          <w:tcPr>
            <w:tcW w:type="dxa" w:w="4513"/>
          </w:tcPr>
          <w:p>
            <w:pPr>
              <w:pStyle w:val="TableContents"/>
              <w:spacing w:before="0" w:after="0" w:line="240" w:lineRule="atLeast"/>
            </w:pPr>
            <w:r>
              <w:rPr>
                <w:rFonts w:ascii="Arial" w:hAnsi="Arial" w:cs="Arial" w:eastAsia="Arial"/>
                <w:sz w:val="16"/>
                <w:szCs w:val="16"/>
              </w:rPr>
              <w:t>Location for retention of signed authority-to-energise records</w:t>
            </w:r>
          </w:p>
        </w:tc>
        <w:tc>
          <w:tcPr>
            <w:tcW w:type="dxa" w:w="4513"/>
          </w:tcPr>
          <w:p>
            <w:pPr>
              <w:pStyle w:val="TableContents"/>
              <w:spacing w:before="0" w:after="0" w:line="240" w:lineRule="atLeast"/>
            </w:pPr>
            <w:r>
              <w:rPr>
                <w:rFonts w:ascii="Arial" w:hAnsi="Arial" w:cs="Arial" w:eastAsia="Arial"/>
                <w:b/>
                <w:bCs/>
                <w:color w:val="0059D1"/>
                <w:sz w:val="16"/>
                <w:szCs w:val="16"/>
              </w:rPr>
              <w:t>[INSERT: document management system location]</w:t>
            </w:r>
          </w:p>
        </w:tc>
      </w:tr>
      <w:tr>
        <w:tc>
          <w:tcPr>
            <w:tcW w:type="dxa" w:w="4513"/>
          </w:tcPr>
          <w:p>
            <w:pPr>
              <w:pStyle w:val="TableContents"/>
              <w:spacing w:before="0" w:after="0" w:line="240" w:lineRule="atLeast"/>
            </w:pPr>
            <w:r>
              <w:rPr>
                <w:rFonts w:ascii="Arial" w:hAnsi="Arial" w:cs="Arial" w:eastAsia="Arial"/>
                <w:sz w:val="16"/>
                <w:szCs w:val="16"/>
              </w:rPr>
              <w:t>Escalation if a signatory is unavailable at the time of energisation</w:t>
            </w:r>
          </w:p>
        </w:tc>
        <w:tc>
          <w:tcPr>
            <w:tcW w:type="dxa" w:w="4513"/>
          </w:tcPr>
          <w:p>
            <w:pPr>
              <w:pStyle w:val="TableContents"/>
              <w:spacing w:before="0" w:after="0" w:line="240" w:lineRule="atLeast"/>
            </w:pPr>
            <w:r>
              <w:rPr>
                <w:rFonts w:ascii="Arial" w:hAnsi="Arial" w:cs="Arial" w:eastAsia="Arial"/>
                <w:b/>
                <w:bCs/>
                <w:color w:val="0059D1"/>
                <w:sz w:val="16"/>
                <w:szCs w:val="16"/>
              </w:rPr>
              <w:t>[INSERT: escalation path and delegated authority process]</w:t>
            </w:r>
          </w:p>
        </w:tc>
      </w:tr>
    </w:tbl>
    <w:p>
      <w:pPr>
        <w:pStyle w:val="NormalNumberedtext"/>
      </w:pPr>
    </w:p>
    <w:p>
      <w:pPr>
        <w:pStyle w:val="Heading2Numbered"/>
        <w:numPr>
          <w:ilvl w:val="1"/>
          <w:numId w:val="1"/>
        </w:numPr>
      </w:pPr>
      <w:r>
        <w:rPr>
          <w:rFonts w:ascii="Arial" w:hAnsi="Arial" w:cs="Arial" w:eastAsia="Arial"/>
        </w:rPr>
        <w:t>Electrical Commissioning Plan</w:t>
      </w:r>
    </w:p>
    <w:p>
      <w:pPr>
        <w:pStyle w:val="NormalNumberedtext"/>
      </w:pPr>
      <w:r>
        <w:t>This section defines the content requirements for electrical commissioning plans and the competency requirements for personnel performing energisation activities.</w:t>
      </w:r>
    </w:p>
    <w:p>
      <w:pPr>
        <w:pStyle w:val="NormalNumberedtext"/>
      </w:pPr>
      <w:r>
        <w:t>A specific electrical commissioning plan is prepared for each new electrical system before that system is energised. Electrical commissioning activities are governed by [INSERT: Project Document Number].</w:t>
      </w:r>
    </w:p>
    <w:p>
      <w:pPr>
        <w:pStyle w:val="NormalNumberedtext"/>
      </w:pPr>
      <w:r>
        <w:t>Each electrical commissioning plan documents, at minimum:</w:t>
      </w:r>
    </w:p>
    <w:p>
      <w:pPr>
        <w:pStyle w:val="NumberedBulletL1"/>
      </w:pPr>
      <w:r>
        <w:t>The energisation sequence for the system, step by step.</w:t>
      </w:r>
    </w:p>
    <w:p>
      <w:pPr>
        <w:pStyle w:val="NumberedBulletL1"/>
      </w:pPr>
      <w:r>
        <w:t>The isolation boundary at each step of the energisation sequence.</w:t>
      </w:r>
    </w:p>
    <w:p>
      <w:pPr>
        <w:pStyle w:val="NumberedBulletL1"/>
      </w:pPr>
      <w:r>
        <w:t>Zero-energy verification requirements to be completed before each step.</w:t>
      </w:r>
    </w:p>
    <w:p>
      <w:pPr>
        <w:pStyle w:val="NumberedBulletL1"/>
      </w:pPr>
      <w:r>
        <w:t>Competency requirements for all personnel performing or supervising energisation activities, including arc flash risk awareness, high-voltage energisation supervision requirements, and emergency electrical isolation procedures specific to the equipment being commissioned.</w:t>
      </w:r>
    </w:p>
    <w:p>
      <w:pPr>
        <w:pStyle w:val="NormalNumberedtext"/>
      </w:pPr>
    </w:p>
    <w:p>
      <w:pPr>
        <w:pStyle w:val="Heading2Numbered"/>
        <w:numPr>
          <w:ilvl w:val="1"/>
          <w:numId w:val="1"/>
        </w:numPr>
      </w:pPr>
      <w:r>
        <w:rPr>
          <w:rFonts w:ascii="Arial" w:hAnsi="Arial" w:cs="Arial" w:eastAsia="Arial"/>
        </w:rPr>
        <w:t>Commissioning Boundary Demarcation System</w:t>
      </w:r>
    </w:p>
    <w:p>
      <w:pPr>
        <w:pStyle w:val="NormalNumberedtext"/>
      </w:pPr>
      <w:r>
        <w:t>This section defines the colour-coded demarcation system applied to commissioning boundaries and the communication requirements before commissioning begins.</w:t>
      </w:r>
    </w:p>
    <w:p>
      <w:pPr>
        <w:pStyle w:val="NormalNumberedtext"/>
      </w:pPr>
      <w:r>
        <w:t>A colour-coded demarcation system is applied to all commissioning boundaries before commissioning activities commence. The system is communicated to all project personnel before commissioning begins and is maintained throughout the commissioning phase.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commissioning boundary demarcation system before commissioning begins: the colour-coding scheme; how boundaries are physically marked on site; and how the system is communicated to all personnel. The categories below are a project default - retain, modify, or replace to suit the project.</w:t>
            </w:r>
          </w:p>
        </w:tc>
      </w:tr>
    </w:tbl>
    <w:p>
      <w:pPr>
        <w:pStyle w:val="NormalNumberedtext"/>
      </w:pPr>
    </w:p>
    <w:p>
      <w:pPr>
        <w:pStyle w:val="NormalNumberedtext"/>
      </w:pPr>
      <w:r>
        <w:t>Table: Commissioning Boundary Demarcation System</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Zone Designation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Colour</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Access Condition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Physical Marking Method</w:t>
            </w:r>
          </w:p>
        </w:tc>
      </w:tr>
      <w:tr>
        <w:tc>
          <w:tcPr>
            <w:tcW w:type="dxa" w:w="2256"/>
          </w:tcPr>
          <w:p>
            <w:pPr>
              <w:pStyle w:val="TableContents"/>
              <w:spacing w:before="0" w:after="0" w:line="240" w:lineRule="atLeast"/>
            </w:pPr>
            <w:r>
              <w:rPr>
                <w:rFonts w:ascii="Arial" w:hAnsi="Arial" w:cs="Arial" w:eastAsia="Arial"/>
                <w:sz w:val="16"/>
                <w:szCs w:val="16"/>
              </w:rPr>
              <w:t>Live - no access without operations authority</w:t>
            </w:r>
          </w:p>
        </w:tc>
        <w:tc>
          <w:tcPr>
            <w:tcW w:type="dxa" w:w="2256"/>
          </w:tcPr>
          <w:p>
            <w:pPr>
              <w:pStyle w:val="TableContents"/>
              <w:spacing w:before="0" w:after="0" w:line="240" w:lineRule="atLeast"/>
            </w:pPr>
            <w:r>
              <w:rPr>
                <w:rFonts w:ascii="Arial" w:hAnsi="Arial" w:cs="Arial" w:eastAsia="Arial"/>
                <w:sz w:val="16"/>
                <w:szCs w:val="16"/>
              </w:rPr>
              <w:t>Red</w:t>
            </w:r>
          </w:p>
        </w:tc>
        <w:tc>
          <w:tcPr>
            <w:tcW w:type="dxa" w:w="2256"/>
          </w:tcPr>
          <w:p>
            <w:pPr>
              <w:pStyle w:val="TableContents"/>
              <w:spacing w:before="0" w:after="0" w:line="240" w:lineRule="atLeast"/>
            </w:pPr>
            <w:r>
              <w:rPr>
                <w:rFonts w:ascii="Arial" w:hAnsi="Arial" w:cs="Arial" w:eastAsia="Arial"/>
                <w:sz w:val="16"/>
                <w:szCs w:val="16"/>
              </w:rPr>
              <w:t>Access requires operations PTW authority and commissioning-specific induction. No construction access permitted.</w:t>
            </w:r>
          </w:p>
        </w:tc>
        <w:tc>
          <w:tcPr>
            <w:tcW w:type="dxa" w:w="2258"/>
          </w:tcPr>
          <w:p>
            <w:pPr>
              <w:pStyle w:val="TableContents"/>
              <w:spacing w:before="0" w:after="0" w:line="240" w:lineRule="atLeast"/>
            </w:pPr>
            <w:r>
              <w:rPr>
                <w:rFonts w:ascii="Arial" w:hAnsi="Arial" w:cs="Arial" w:eastAsia="Arial"/>
                <w:b/>
                <w:bCs/>
                <w:color w:val="0059D1"/>
                <w:sz w:val="16"/>
                <w:szCs w:val="16"/>
              </w:rPr>
              <w:t>[INSERT: physical marking method — e.g., red barrier tape, rigid barrier, signage]</w:t>
            </w:r>
          </w:p>
        </w:tc>
      </w:tr>
      <w:tr>
        <w:tc>
          <w:tcPr>
            <w:tcW w:type="dxa" w:w="2256"/>
          </w:tcPr>
          <w:p>
            <w:pPr>
              <w:pStyle w:val="TableContents"/>
              <w:spacing w:before="0" w:after="0" w:line="240" w:lineRule="atLeast"/>
            </w:pPr>
            <w:r>
              <w:rPr>
                <w:rFonts w:ascii="Arial" w:hAnsi="Arial" w:cs="Arial" w:eastAsia="Arial"/>
                <w:sz w:val="16"/>
                <w:szCs w:val="16"/>
              </w:rPr>
              <w:t>Pre-commissioning in progress - controlled access</w:t>
            </w:r>
          </w:p>
        </w:tc>
        <w:tc>
          <w:tcPr>
            <w:tcW w:type="dxa" w:w="2256"/>
          </w:tcPr>
          <w:p>
            <w:pPr>
              <w:pStyle w:val="TableContents"/>
              <w:spacing w:before="0" w:after="0" w:line="240" w:lineRule="atLeast"/>
            </w:pPr>
            <w:r>
              <w:rPr>
                <w:rFonts w:ascii="Arial" w:hAnsi="Arial" w:cs="Arial" w:eastAsia="Arial"/>
                <w:sz w:val="16"/>
                <w:szCs w:val="16"/>
              </w:rPr>
              <w:t>Yellow</w:t>
            </w:r>
          </w:p>
        </w:tc>
        <w:tc>
          <w:tcPr>
            <w:tcW w:type="dxa" w:w="2256"/>
          </w:tcPr>
          <w:p>
            <w:pPr>
              <w:pStyle w:val="TableContents"/>
              <w:spacing w:before="0" w:after="0" w:line="240" w:lineRule="atLeast"/>
            </w:pPr>
            <w:r>
              <w:rPr>
                <w:rFonts w:ascii="Arial" w:hAnsi="Arial" w:cs="Arial" w:eastAsia="Arial"/>
                <w:sz w:val="16"/>
                <w:szCs w:val="16"/>
              </w:rPr>
              <w:t>Access requires commissioning-specific induction and PTW. SIMOPS assessment required before simultaneous construction activities.</w:t>
            </w:r>
          </w:p>
        </w:tc>
        <w:tc>
          <w:tcPr>
            <w:tcW w:type="dxa" w:w="2258"/>
          </w:tcPr>
          <w:p>
            <w:pPr>
              <w:pStyle w:val="TableContents"/>
              <w:spacing w:before="0" w:after="0" w:line="240" w:lineRule="atLeast"/>
            </w:pPr>
            <w:r>
              <w:rPr>
                <w:rFonts w:ascii="Arial" w:hAnsi="Arial" w:cs="Arial" w:eastAsia="Arial"/>
                <w:b/>
                <w:bCs/>
                <w:color w:val="0059D1"/>
                <w:sz w:val="16"/>
                <w:szCs w:val="16"/>
              </w:rPr>
              <w:t>[INSERT: physical marking method]</w:t>
            </w:r>
          </w:p>
        </w:tc>
      </w:tr>
      <w:tr>
        <w:tc>
          <w:tcPr>
            <w:tcW w:type="dxa" w:w="2256"/>
          </w:tcPr>
          <w:p>
            <w:pPr>
              <w:pStyle w:val="TableContents"/>
              <w:spacing w:before="0" w:after="0" w:line="240" w:lineRule="atLeast"/>
            </w:pPr>
            <w:r>
              <w:rPr>
                <w:rFonts w:ascii="Arial" w:hAnsi="Arial" w:cs="Arial" w:eastAsia="Arial"/>
                <w:sz w:val="16"/>
                <w:szCs w:val="16"/>
              </w:rPr>
              <w:t>Construction - standard controls apply</w:t>
            </w:r>
          </w:p>
        </w:tc>
        <w:tc>
          <w:tcPr>
            <w:tcW w:type="dxa" w:w="2256"/>
          </w:tcPr>
          <w:p>
            <w:pPr>
              <w:pStyle w:val="TableContents"/>
              <w:spacing w:before="0" w:after="0" w:line="240" w:lineRule="atLeast"/>
            </w:pPr>
            <w:r>
              <w:rPr>
                <w:rFonts w:ascii="Arial" w:hAnsi="Arial" w:cs="Arial" w:eastAsia="Arial"/>
                <w:sz w:val="16"/>
                <w:szCs w:val="16"/>
              </w:rPr>
              <w:t>Green</w:t>
            </w:r>
          </w:p>
        </w:tc>
        <w:tc>
          <w:tcPr>
            <w:tcW w:type="dxa" w:w="2256"/>
          </w:tcPr>
          <w:p>
            <w:pPr>
              <w:pStyle w:val="TableContents"/>
              <w:spacing w:before="0" w:after="0" w:line="240" w:lineRule="atLeast"/>
            </w:pPr>
            <w:r>
              <w:rPr>
                <w:rFonts w:ascii="Arial" w:hAnsi="Arial" w:cs="Arial" w:eastAsia="Arial"/>
                <w:sz w:val="16"/>
                <w:szCs w:val="16"/>
              </w:rPr>
              <w:t>Standard construction access controls apply. Construction PTW authority in effect.</w:t>
            </w:r>
          </w:p>
        </w:tc>
        <w:tc>
          <w:tcPr>
            <w:tcW w:type="dxa" w:w="2258"/>
          </w:tcPr>
          <w:p>
            <w:pPr>
              <w:pStyle w:val="TableContents"/>
              <w:spacing w:before="0" w:after="0" w:line="240" w:lineRule="atLeast"/>
            </w:pPr>
            <w:r>
              <w:rPr>
                <w:rFonts w:ascii="Arial" w:hAnsi="Arial" w:cs="Arial" w:eastAsia="Arial"/>
                <w:b/>
                <w:bCs/>
                <w:color w:val="0059D1"/>
                <w:sz w:val="16"/>
                <w:szCs w:val="16"/>
              </w:rPr>
              <w:t>[INSERT: physical marking method]</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zone if required]</w:t>
            </w:r>
          </w:p>
        </w:tc>
        <w:tc>
          <w:tcPr>
            <w:tcW w:type="dxa" w:w="2256"/>
          </w:tcPr>
          <w:p>
            <w:pPr>
              <w:pStyle w:val="TableContents"/>
              <w:spacing w:before="0" w:after="0" w:line="240" w:lineRule="atLeast"/>
            </w:pPr>
            <w:r>
              <w:rPr>
                <w:rFonts w:ascii="Arial" w:hAnsi="Arial" w:cs="Arial" w:eastAsia="Arial"/>
                <w:b/>
                <w:bCs/>
                <w:color w:val="0059D1"/>
                <w:sz w:val="16"/>
                <w:szCs w:val="16"/>
              </w:rPr>
              <w:t>[INSERT: colour]</w:t>
            </w:r>
          </w:p>
        </w:tc>
        <w:tc>
          <w:tcPr>
            <w:tcW w:type="dxa" w:w="2256"/>
          </w:tcPr>
          <w:p>
            <w:pPr>
              <w:pStyle w:val="TableContents"/>
              <w:spacing w:before="0" w:after="0" w:line="240" w:lineRule="atLeast"/>
            </w:pPr>
            <w:r>
              <w:rPr>
                <w:rFonts w:ascii="Arial" w:hAnsi="Arial" w:cs="Arial" w:eastAsia="Arial"/>
                <w:b/>
                <w:bCs/>
                <w:color w:val="0059D1"/>
                <w:sz w:val="16"/>
                <w:szCs w:val="16"/>
              </w:rPr>
              <w:t>[INSERT: access condition]</w:t>
            </w:r>
          </w:p>
        </w:tc>
        <w:tc>
          <w:tcPr>
            <w:tcW w:type="dxa" w:w="2258"/>
          </w:tcPr>
          <w:p>
            <w:pPr>
              <w:pStyle w:val="TableContents"/>
              <w:spacing w:before="0" w:after="0" w:line="240" w:lineRule="atLeast"/>
            </w:pPr>
            <w:r>
              <w:rPr>
                <w:rFonts w:ascii="Arial" w:hAnsi="Arial" w:cs="Arial" w:eastAsia="Arial"/>
                <w:b/>
                <w:bCs/>
                <w:color w:val="0059D1"/>
                <w:sz w:val="16"/>
                <w:szCs w:val="16"/>
              </w:rPr>
              <w:t>[INSERT: physical marking method]</w:t>
            </w:r>
          </w:p>
        </w:tc>
      </w:tr>
    </w:tbl>
    <w:p>
      <w:pPr>
        <w:pStyle w:val="NormalNumberedtext"/>
      </w:pPr>
    </w:p>
    <w:p>
      <w:pPr>
        <w:pStyle w:val="NormalNumberedtext"/>
      </w:pPr>
      <w:r>
        <w:t>Isolation boundaries are clearly demarcated using the zone system defined above and are communicated to all personnel at the commissioning-specific induction. The demarcation boundaries are updated whenever the extent of a commissioning zone changes and the update is communicated to all affected personnel before work resumes in the affected area.</w:t>
      </w:r>
    </w:p>
    <w:p>
      <w:pPr>
        <w:pStyle w:val="NormalNumberedtext"/>
      </w:pPr>
    </w:p>
    <w:p>
      <w:pPr>
        <w:pStyle w:val="Heading2Numbered"/>
        <w:numPr>
          <w:ilvl w:val="1"/>
          <w:numId w:val="1"/>
        </w:numPr>
      </w:pPr>
      <w:r>
        <w:rPr>
          <w:rFonts w:ascii="Arial" w:hAnsi="Arial" w:cs="Arial" w:eastAsia="Arial"/>
        </w:rPr>
        <w:t>Permit Authority Transition from Construction to Operations</w:t>
      </w:r>
    </w:p>
    <w:p>
      <w:pPr>
        <w:pStyle w:val="NormalNumberedtext"/>
      </w:pPr>
      <w:r>
        <w:t>This section defines the process for transitioning permit and isolation authority from the construction system to the operations system, including management of dual-authority zones.</w:t>
      </w:r>
    </w:p>
    <w:p>
      <w:pPr>
        <w:pStyle w:val="NormalNumberedtext"/>
      </w:pPr>
      <w:r>
        <w:t>The transition of permit and isolation authority from the construction PTW system to the operations PTW system is managed through a documented process approved by the Commissioning Manager and the Operations Representative before commissioning begins. Dual-authority zones - areas where both construction and operations work is occurring simultaneously - are subject to the requirements defined in this section and in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commissioning PTW authority transition process for this project: at what point does the operations team assume PTW authority for commissioned systems; how is the dual-authority zone managed in the interim. Insert the project-specific definition before this procedure is issued.</w:t>
            </w:r>
          </w:p>
        </w:tc>
      </w:tr>
    </w:tbl>
    <w:p>
      <w:pPr>
        <w:pStyle w:val="NormalNumberedtext"/>
      </w:pPr>
    </w:p>
    <w:p>
      <w:pPr>
        <w:pStyle w:val="NormalNumberedtext"/>
      </w:pPr>
      <w:r>
        <w:t>The permit authority transition process addresses, at minimum, the following elements:</w:t>
      </w:r>
    </w:p>
    <w:p>
      <w:pPr>
        <w:pStyle w:val="NumberedBulletL1"/>
      </w:pPr>
      <w:r>
        <w:t>The trigger conditions that initiate the transition of PTW authority for each system from the construction team to the operations team.</w:t>
      </w:r>
    </w:p>
    <w:p>
      <w:pPr>
        <w:pStyle w:val="NumberedBulletL1"/>
      </w:pPr>
      <w:r>
        <w:t>The process for cancelling or transferring open construction permits when a system transitions to operations authority.</w:t>
      </w:r>
    </w:p>
    <w:p>
      <w:pPr>
        <w:pStyle w:val="NumberedBulletL1"/>
      </w:pPr>
      <w:r>
        <w:t>The management of dual-authority zones, including the requirement for both the construction PTW authority and the operations PTW authority to approve work in those zones.</w:t>
      </w:r>
    </w:p>
    <w:p>
      <w:pPr>
        <w:pStyle w:val="NumberedBulletL1"/>
      </w:pPr>
      <w:r>
        <w:t>Communication to all affected personnel when a zone transitions from construction authority to operations authority.</w:t>
      </w:r>
    </w:p>
    <w:p>
      <w:pPr>
        <w:pStyle w:val="NumberedBulletL1"/>
      </w:pPr>
      <w:r>
        <w:t>[{'insert': True, 'field': 'ptw_transition_trigger_conditions', 'hint': 'Insert the specific trigger conditions for PTW authority transition for this project - e.g., signed authority-to-energise, completion of commissioning induction for the area, physical demarcation updated.'}]</w:t>
      </w:r>
    </w:p>
    <w:p>
      <w:pPr>
        <w:pStyle w:val="NormalNumberedtext"/>
      </w:pPr>
    </w:p>
    <w:p>
      <w:pPr>
        <w:pStyle w:val="Heading1Numbered"/>
        <w:numPr>
          <w:ilvl w:val="0"/>
          <w:numId w:val="1"/>
        </w:numPr>
      </w:pPr>
      <w:r>
        <w:rPr>
          <w:rFonts w:ascii="Arial" w:hAnsi="Arial" w:cs="Arial" w:eastAsia="Arial"/>
        </w:rPr>
        <w:t>SIMOPS During Commissioning</w:t>
      </w:r>
    </w:p>
    <w:p>
      <w:pPr>
        <w:pStyle w:val="NormalNumberedtext"/>
      </w:pPr>
      <w:r>
        <w:t>This section defines the SIMOPS assessment requirements, the interface between the commissioning team and remaining construction contractors, and access controls for live commissioning areas.</w:t>
      </w:r>
    </w:p>
    <w:p>
      <w:pPr>
        <w:pStyle w:val="NormalNumberedtext"/>
      </w:pPr>
    </w:p>
    <w:p>
      <w:pPr>
        <w:pStyle w:val="Heading2Numbered"/>
        <w:numPr>
          <w:ilvl w:val="1"/>
          <w:numId w:val="1"/>
        </w:numPr>
      </w:pPr>
      <w:r>
        <w:rPr>
          <w:rFonts w:ascii="Arial" w:hAnsi="Arial" w:cs="Arial" w:eastAsia="Arial"/>
        </w:rPr>
        <w:t>SIMOPS Assessment Requirements</w:t>
      </w:r>
    </w:p>
    <w:p>
      <w:pPr>
        <w:pStyle w:val="NormalNumberedtext"/>
      </w:pPr>
      <w:r>
        <w:t>This section defines when a SIMOPS assessment is required during commissioning and what the updated SIMOPS Matrix must reflect.</w:t>
      </w:r>
    </w:p>
    <w:p>
      <w:pPr>
        <w:pStyle w:val="NormalNumberedtext"/>
      </w:pPr>
      <w:r>
        <w:t>All simultaneous activities during commissioning - including construction work occurring adjacent to live systems - are assessed through the project SIMOPS process before the simultaneous activity commences. The SIMOPS process is governed by [INSERT: Project Document Number].</w:t>
      </w:r>
    </w:p>
    <w:p>
      <w:pPr>
        <w:pStyle w:val="NormalNumberedtext"/>
      </w:pPr>
      <w:r>
        <w:t>The project SIMOPS Matrix is updated before commissioning begins to reflect the changed hazard profile of the commissioning environment. The updated matrix specifically addresses the hazards introduced by the presence of:</w:t>
      </w:r>
    </w:p>
    <w:p>
      <w:pPr>
        <w:pStyle w:val="NormalNumberedtext"/>
      </w:pPr>
      <w:r>
        <w:t>The updated SIMOPS Matrix reflects, at minimum, the following commissioning hazard categories:</w:t>
      </w:r>
    </w:p>
    <w:p>
      <w:pPr>
        <w:pStyle w:val="NumberedBulletL1"/>
      </w:pPr>
      <w:r>
        <w:t>Energised electrical plant and live electrical systems.</w:t>
      </w:r>
    </w:p>
    <w:p>
      <w:pPr>
        <w:pStyle w:val="NumberedBulletL1"/>
      </w:pPr>
      <w:r>
        <w:t>Process fluids at operating temperature and pressure.</w:t>
      </w:r>
    </w:p>
    <w:p>
      <w:pPr>
        <w:pStyle w:val="NumberedBulletL1"/>
      </w:pPr>
      <w:r>
        <w:t>Rotating and reciprocating equipment in operation.</w:t>
      </w:r>
    </w:p>
    <w:p>
      <w:pPr>
        <w:pStyle w:val="NumberedBulletL1"/>
      </w:pPr>
      <w:r>
        <w:t>Control systems active and responding to process inputs.</w:t>
      </w:r>
    </w:p>
    <w:p>
      <w:pPr>
        <w:pStyle w:val="NumberedBulletL1"/>
      </w:pPr>
      <w:r>
        <w:t>Simultaneous construction and commissioning activities in adjacent or overlapping areas.</w:t>
      </w:r>
    </w:p>
    <w:p>
      <w:pPr>
        <w:pStyle w:val="NormalNumberedtext"/>
      </w:pPr>
    </w:p>
    <w:p>
      <w:pPr>
        <w:pStyle w:val="Heading2Numbered"/>
        <w:numPr>
          <w:ilvl w:val="1"/>
          <w:numId w:val="1"/>
        </w:numPr>
      </w:pPr>
      <w:r>
        <w:rPr>
          <w:rFonts w:ascii="Arial" w:hAnsi="Arial" w:cs="Arial" w:eastAsia="Arial"/>
        </w:rPr>
        <w:t>Interface Between Commissioning Team and Construction Contractors</w:t>
      </w:r>
    </w:p>
    <w:p>
      <w:pPr>
        <w:pStyle w:val="NormalNumberedtext"/>
      </w:pPr>
      <w:r>
        <w:t>This section defines the interface arrangements that govern permit authority, exclusion zones, communication, and escalation between the commissioning team and remaining construction contractors.</w:t>
      </w:r>
    </w:p>
    <w:p>
      <w:pPr>
        <w:pStyle w:val="NormalNumberedtext"/>
      </w:pPr>
      <w:r>
        <w:t>The interface between the commissioning team and remaining construction contractors is defined in writing before commissioning begins. The interface definition is approved by the Commissioning Manager and the Construction Manager and communicated to all affected personnel.</w:t>
      </w:r>
    </w:p>
    <w:p>
      <w:pPr>
        <w:pStyle w:val="NormalNumberedtext"/>
      </w:pPr>
      <w:r>
        <w:t>The interface definition addresses the following elements:</w:t>
      </w:r>
    </w:p>
    <w:p>
      <w:pPr>
        <w:pStyle w:val="NumberedBulletL1"/>
      </w:pPr>
      <w:r>
        <w:t>PTW authority - which authority holds the PTW for each zone and activity type, and how conflicting permit requests are resolved.</w:t>
      </w:r>
    </w:p>
    <w:p>
      <w:pPr>
        <w:pStyle w:val="NumberedBulletL1"/>
      </w:pPr>
      <w:r>
        <w:t>Exclusion zone management around live commissioning systems, including the physical demarcation method and the access control process.</w:t>
      </w:r>
    </w:p>
    <w:p>
      <w:pPr>
        <w:pStyle w:val="NumberedBulletL1"/>
      </w:pPr>
      <w:r>
        <w:t>Communication protocols between the commissioning team and construction contractors, including shift handover communications relevant to shared areas.</w:t>
      </w:r>
    </w:p>
    <w:p>
      <w:pPr>
        <w:pStyle w:val="NumberedBulletL1"/>
      </w:pPr>
      <w:r>
        <w:t>Escalation pathways for SIMOPS conflicts, including who holds the authority to suspend conflicting activities and the timeframe for resolution.</w:t>
      </w:r>
    </w:p>
    <w:p>
      <w:pPr>
        <w:pStyle w:val="NormalNumberedtext"/>
      </w:pPr>
      <w:r>
        <w:t>Construction workers who have not completed the commissioning-specific induction are prohibited from accessing live commissioning areas. Clear physical and administrative separation between construction and live commissioning areas is maintained at all times. Physical access controls are consistent with the boundary demarcation system defined in Section 3.3 of this procedure.</w:t>
      </w:r>
    </w:p>
    <w:p>
      <w:pPr>
        <w:pStyle w:val="NormalNumberedtext"/>
      </w:pPr>
    </w:p>
    <w:p>
      <w:pPr>
        <w:pStyle w:val="Heading1Numbered"/>
        <w:numPr>
          <w:ilvl w:val="0"/>
          <w:numId w:val="1"/>
        </w:numPr>
      </w:pPr>
      <w:r>
        <w:rPr>
          <w:rFonts w:ascii="Arial" w:hAnsi="Arial" w:cs="Arial" w:eastAsia="Arial"/>
        </w:rPr>
        <w:t>Personnel Transition and Commissioning-Specific Induction</w:t>
      </w:r>
    </w:p>
    <w:p>
      <w:pPr>
        <w:pStyle w:val="NormalNumberedtext"/>
      </w:pPr>
      <w:r>
        <w:t>This section defines the commissioning-specific induction requirements, additional competency requirements for electrical commissioning, and the minimum team composition and qualifications for commissioning roles.</w:t>
      </w:r>
    </w:p>
    <w:p>
      <w:pPr>
        <w:pStyle w:val="NormalNumberedtext"/>
      </w:pPr>
    </w:p>
    <w:p>
      <w:pPr>
        <w:pStyle w:val="Heading2Numbered"/>
        <w:numPr>
          <w:ilvl w:val="1"/>
          <w:numId w:val="1"/>
        </w:numPr>
      </w:pPr>
      <w:r>
        <w:rPr>
          <w:rFonts w:ascii="Arial" w:hAnsi="Arial" w:cs="Arial" w:eastAsia="Arial"/>
        </w:rPr>
        <w:t>Commissioning-Specific Induction</w:t>
      </w:r>
    </w:p>
    <w:p>
      <w:pPr>
        <w:pStyle w:val="NormalNumberedtext"/>
      </w:pPr>
      <w:r>
        <w:t>This section defines who must complete the commissioning induction, when it must be completed, and the minimum content it must cover.</w:t>
      </w:r>
    </w:p>
    <w:p>
      <w:pPr>
        <w:pStyle w:val="NormalNumberedtext"/>
      </w:pPr>
      <w:r>
        <w:t>All personnel transitioning from construction roles to commissioning roles, or working in areas where commissioning is occurring, complete a commissioning-specific induction before entering any commissioning area. The induction is completed before the person enters a commissioning zone for the first time. Induction record requirements are governed by [INSERT: Project Document Number].</w:t>
      </w:r>
    </w:p>
    <w:p>
      <w:pPr>
        <w:pStyle w:val="NormalNumberedtext"/>
      </w:pPr>
      <w:r>
        <w:t>The commissioning-specific induction covers, at minimum, the following content:</w:t>
      </w:r>
    </w:p>
    <w:p>
      <w:pPr>
        <w:pStyle w:val="NumberedBulletL1"/>
      </w:pPr>
      <w:r>
        <w:t>The changed risk profile of the commissioning environment compared with the construction environment, including the introduction of new fatality scenarios.</w:t>
      </w:r>
    </w:p>
    <w:p>
      <w:pPr>
        <w:pStyle w:val="NumberedBulletL1"/>
      </w:pPr>
      <w:r>
        <w:t>Identification of live systems on site and the boundary demarcation system used to distinguish live, pre-commissioning, and construction zones.</w:t>
      </w:r>
    </w:p>
    <w:p>
      <w:pPr>
        <w:pStyle w:val="NumberedBulletL1"/>
      </w:pPr>
      <w:r>
        <w:t>Commissioning PTW requirements and the process for raising a permit via the site PTW system before commencing work, refer [INSERT: Project Document Number].</w:t>
      </w:r>
    </w:p>
    <w:p>
      <w:pPr>
        <w:pStyle w:val="NumberedBulletL1"/>
      </w:pPr>
      <w:r>
        <w:t>SIMOPS requirements applicable to the commissioning environment and the process for raising a SIMOPS conflict.</w:t>
      </w:r>
    </w:p>
    <w:p>
      <w:pPr>
        <w:pStyle w:val="NumberedBulletL1"/>
      </w:pPr>
      <w:r>
        <w:t>Emergency response in a commissioning context, including updated muster points, emergency contacts, and the location of commissioning-specific emergency equipment.</w:t>
      </w:r>
    </w:p>
    <w:p>
      <w:pPr>
        <w:pStyle w:val="NumberedBulletL1"/>
      </w:pPr>
      <w:r>
        <w:t>The specific hazards associated with first energisation of the system types involved in the commissioning scope.</w:t>
      </w:r>
    </w:p>
    <w:p>
      <w:pPr>
        <w:pStyle w:val="NormalNumberedtext"/>
      </w:pPr>
    </w:p>
    <w:p>
      <w:pPr>
        <w:pStyle w:val="Heading2Numbered"/>
        <w:numPr>
          <w:ilvl w:val="1"/>
          <w:numId w:val="1"/>
        </w:numPr>
      </w:pPr>
      <w:r>
        <w:rPr>
          <w:rFonts w:ascii="Arial" w:hAnsi="Arial" w:cs="Arial" w:eastAsia="Arial"/>
        </w:rPr>
        <w:t>Additional Competency Requirements for Electrical Commissioning</w:t>
      </w:r>
    </w:p>
    <w:p>
      <w:pPr>
        <w:pStyle w:val="NormalNumberedtext"/>
      </w:pPr>
      <w:r>
        <w:t>This section defines the competency requirements above the standard induction that apply to personnel involved in electrical commissioning activities.</w:t>
      </w:r>
    </w:p>
    <w:p>
      <w:pPr>
        <w:pStyle w:val="NormalNumberedtext"/>
      </w:pPr>
      <w:r>
        <w:t>Personnel involved in electrical commissioning activities satisfy the additional competency requirements defined in this section before participating in electrical commissioning work. Electrical commissioning is governed by [INSERT: Project Document Number].</w:t>
      </w:r>
    </w:p>
    <w:p>
      <w:pPr>
        <w:pStyle w:val="NormalNumberedtext"/>
      </w:pPr>
      <w:r>
        <w:t>Additional competency requirements for electrical commissioning personnel include:</w:t>
      </w:r>
    </w:p>
    <w:p>
      <w:pPr>
        <w:pStyle w:val="NumberedBulletL1"/>
      </w:pPr>
      <w:r>
        <w:t>Arc flash risk awareness - demonstrated understanding of arc flash hazards, incident energy levels applicable to the equipment being commissioned, and the PPE requirements for each level.</w:t>
      </w:r>
    </w:p>
    <w:p>
      <w:pPr>
        <w:pStyle w:val="NumberedBulletL1"/>
      </w:pPr>
      <w:r>
        <w:t>High-voltage energisation supervision requirements - competency to supervise or perform energisation of HV equipment in accordance with the electrical commissioning plan.</w:t>
      </w:r>
    </w:p>
    <w:p>
      <w:pPr>
        <w:pStyle w:val="NumberedBulletL1"/>
      </w:pPr>
      <w:r>
        <w:t>Emergency electrical isolation procedures specific to the equipment being commissioned - demonstrated ability to locate and operate the relevant isolation points under emergency conditions.</w:t>
      </w:r>
    </w:p>
    <w:p>
      <w:pPr>
        <w:pStyle w:val="NormalNumberedtext"/>
      </w:pPr>
    </w:p>
    <w:p>
      <w:pPr>
        <w:pStyle w:val="Heading2Numbered"/>
        <w:numPr>
          <w:ilvl w:val="1"/>
          <w:numId w:val="1"/>
        </w:numPr>
      </w:pPr>
      <w:r>
        <w:rPr>
          <w:rFonts w:ascii="Arial" w:hAnsi="Arial" w:cs="Arial" w:eastAsia="Arial"/>
        </w:rPr>
        <w:t>Minimum Commissioning Team Composition and Qualifications</w:t>
      </w:r>
    </w:p>
    <w:p>
      <w:pPr>
        <w:pStyle w:val="NormalNumberedtext"/>
      </w:pPr>
      <w:r>
        <w:t>This section defines the roles, minimum qualifications, and approval process for the commissioning team composition before commissioning begins.</w:t>
      </w:r>
    </w:p>
    <w:p>
      <w:pPr>
        <w:pStyle w:val="NormalNumberedtext"/>
      </w:pPr>
      <w:r>
        <w:t>The minimum commissioning team composition and competency requirements are defined and documented before commissioning activities begin. This definition is approved by both the project owner and the operations team before commissioning commences.</w:t>
      </w:r>
    </w:p>
    <w:p>
      <w:pPr>
        <w:pStyle w:val="NormalNumberedtext"/>
      </w:pPr>
      <w:r>
        <w:t>Table: Minimum Commissioning Team Composition and Qualification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Minimum Qualifications and Experience Required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Name of Person Appointed</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Date Approved</w:t>
            </w:r>
          </w:p>
        </w:tc>
      </w:tr>
      <w:tr>
        <w:tc>
          <w:tcPr>
            <w:tcW w:type="dxa" w:w="2256"/>
          </w:tcPr>
          <w:p>
            <w:pPr>
              <w:pStyle w:val="TableContents"/>
              <w:spacing w:before="0" w:after="0" w:line="240" w:lineRule="atLeast"/>
            </w:pPr>
            <w:r>
              <w:rPr>
                <w:rFonts w:ascii="Arial" w:hAnsi="Arial" w:cs="Arial" w:eastAsia="Arial"/>
                <w:sz w:val="16"/>
                <w:szCs w:val="16"/>
              </w:rPr>
              <w:t>Commissioning Manager</w:t>
            </w:r>
          </w:p>
        </w:tc>
        <w:tc>
          <w:tcPr>
            <w:tcW w:type="dxa" w:w="2256"/>
          </w:tcPr>
          <w:p>
            <w:pPr>
              <w:pStyle w:val="TableContents"/>
              <w:spacing w:before="0" w:after="0" w:line="240" w:lineRule="atLeast"/>
            </w:pPr>
            <w:r>
              <w:rPr>
                <w:rFonts w:ascii="Arial" w:hAnsi="Arial" w:cs="Arial" w:eastAsia="Arial"/>
                <w:b/>
                <w:bCs/>
                <w:color w:val="0059D1"/>
                <w:sz w:val="16"/>
                <w:szCs w:val="16"/>
              </w:rPr>
              <w:t>[INSERT: minimum qualifications and experience — e.g., registered engineer, minimum 10 years commissioning experience in relevant process type]</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Responsible Commissioning Engineer</w:t>
            </w:r>
          </w:p>
        </w:tc>
        <w:tc>
          <w:tcPr>
            <w:tcW w:type="dxa" w:w="2256"/>
          </w:tcPr>
          <w:p>
            <w:pPr>
              <w:pStyle w:val="TableContents"/>
              <w:spacing w:before="0" w:after="0" w:line="240" w:lineRule="atLeast"/>
            </w:pPr>
            <w:r>
              <w:rPr>
                <w:rFonts w:ascii="Arial" w:hAnsi="Arial" w:cs="Arial" w:eastAsia="Arial"/>
                <w:b/>
                <w:bCs/>
                <w:color w:val="0059D1"/>
                <w:sz w:val="16"/>
                <w:szCs w:val="16"/>
              </w:rPr>
              <w:t>[INSERT: minimum qualifications and experience — e.g., degree-qualified engineer, minimum 5 years commissioning experience]</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sz w:val="16"/>
                <w:szCs w:val="16"/>
              </w:rPr>
              <w:t>Operations Representative</w:t>
            </w:r>
          </w:p>
        </w:tc>
        <w:tc>
          <w:tcPr>
            <w:tcW w:type="dxa" w:w="2256"/>
          </w:tcPr>
          <w:p>
            <w:pPr>
              <w:pStyle w:val="TableContents"/>
              <w:spacing w:before="0" w:after="0" w:line="240" w:lineRule="atLeast"/>
            </w:pPr>
            <w:r>
              <w:rPr>
                <w:rFonts w:ascii="Arial" w:hAnsi="Arial" w:cs="Arial" w:eastAsia="Arial"/>
                <w:b/>
                <w:bCs/>
                <w:color w:val="0059D1"/>
                <w:sz w:val="16"/>
                <w:szCs w:val="16"/>
              </w:rPr>
              <w:t>[INSERT: minimum qualifications and experience — e.g., nominated by the asset operations manager, operational experience with the relevant plant type]</w:t>
            </w:r>
          </w:p>
        </w:tc>
        <w:tc>
          <w:tcPr>
            <w:tcW w:type="dxa" w:w="2256"/>
          </w:tcPr>
          <w:p>
            <w:pPr>
              <w:pStyle w:val="TableContents"/>
              <w:spacing w:before="0" w:after="0" w:line="240" w:lineRule="atLeast"/>
            </w:pPr>
            <w:r>
              <w:rPr>
                <w:rFonts w:ascii="Arial" w:hAnsi="Arial" w:cs="Arial" w:eastAsia="Arial"/>
                <w:b/>
                <w:bCs/>
                <w:color w:val="0059D1"/>
                <w:sz w:val="16"/>
                <w:szCs w:val="16"/>
              </w:rPr>
              <w:t>[INSERT: name and position]</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commissioning role]</w:t>
            </w:r>
          </w:p>
        </w:tc>
        <w:tc>
          <w:tcPr>
            <w:tcW w:type="dxa" w:w="2256"/>
          </w:tcPr>
          <w:p>
            <w:pPr>
              <w:pStyle w:val="TableContents"/>
              <w:spacing w:before="0" w:after="0" w:line="240" w:lineRule="atLeast"/>
            </w:pPr>
            <w:r>
              <w:rPr>
                <w:rFonts w:ascii="Arial" w:hAnsi="Arial" w:cs="Arial" w:eastAsia="Arial"/>
                <w:b/>
                <w:bCs/>
                <w:color w:val="0059D1"/>
                <w:sz w:val="16"/>
                <w:szCs w:val="16"/>
              </w:rPr>
              <w:t>[INSERT: minimum qualifications]</w:t>
            </w:r>
          </w:p>
        </w:tc>
        <w:tc>
          <w:tcPr>
            <w:tcW w:type="dxa" w:w="2256"/>
          </w:tcPr>
          <w:p>
            <w:pPr>
              <w:pStyle w:val="TableContents"/>
              <w:spacing w:before="0" w:after="0" w:line="240" w:lineRule="atLeast"/>
            </w:pPr>
            <w:r>
              <w:rPr>
                <w:rFonts w:ascii="Arial" w:hAnsi="Arial" w:cs="Arial" w:eastAsia="Arial"/>
                <w:b/>
                <w:bCs/>
                <w:color w:val="0059D1"/>
                <w:sz w:val="16"/>
                <w:szCs w:val="16"/>
              </w:rPr>
              <w:t>[INSERT: name]</w:t>
            </w:r>
          </w:p>
        </w:tc>
        <w:tc>
          <w:tcPr>
            <w:tcW w:type="dxa" w:w="2258"/>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1Numbered"/>
        <w:numPr>
          <w:ilvl w:val="0"/>
          <w:numId w:val="1"/>
        </w:numPr>
      </w:pPr>
      <w:r>
        <w:rPr>
          <w:rFonts w:ascii="Arial" w:hAnsi="Arial" w:cs="Arial" w:eastAsia="Arial"/>
        </w:rPr>
        <w:t>Safety System Pre-Commissioning and Proof Testing</w:t>
      </w:r>
    </w:p>
    <w:p>
      <w:pPr>
        <w:pStyle w:val="NormalNumberedtext"/>
      </w:pPr>
      <w:r>
        <w:t>This section defines the pre-commissioning and proof testing requirements for all safety-critical systems, test record requirements, and the authority-to-energise sign-off process for safety-critical systems.</w:t>
      </w:r>
    </w:p>
    <w:p>
      <w:pPr>
        <w:pStyle w:val="NormalNumberedtext"/>
      </w:pPr>
    </w:p>
    <w:p>
      <w:pPr>
        <w:pStyle w:val="Heading2Numbered"/>
        <w:numPr>
          <w:ilvl w:val="1"/>
          <w:numId w:val="1"/>
        </w:numPr>
      </w:pPr>
      <w:r>
        <w:rPr>
          <w:rFonts w:ascii="Arial" w:hAnsi="Arial" w:cs="Arial" w:eastAsia="Arial"/>
        </w:rPr>
        <w:t>Safety System Pre-Commissioning Requirements</w:t>
      </w:r>
    </w:p>
    <w:p>
      <w:pPr>
        <w:pStyle w:val="NormalNumberedtext"/>
      </w:pPr>
      <w:r>
        <w:t>This section defines which safety systems must be pre-commissioned before process systems are energised and what test records must be produced.</w:t>
      </w:r>
    </w:p>
    <w:p>
      <w:pPr>
        <w:pStyle w:val="NormalNumberedtext"/>
      </w:pPr>
      <w:r>
        <w:t>All Safety Instrumented Systems, emergency shutdown systems, pressure relief devices, fire and gas detection systems, and other safety-critical systems are pre-commissioned and proof-tested before the process systems they protect are energised or brought into service. The sequence of commissioning activities reflects this dependency for every system. Safety-critical system pre-commissioning requirements are governed by [INSERT: Project Document Number]. SIS proof testing requirements are governed by [INSERT: Project Document Number].</w:t>
      </w:r>
    </w:p>
    <w:p>
      <w:pPr>
        <w:pStyle w:val="NormalNumberedtext"/>
      </w:pPr>
      <w:r>
        <w:t>A documented test record is produced for each safety-critical system at the completion of proof testing. The test record is retained as a permanent project record and forms part of the handover documentation package for the system.</w:t>
      </w:r>
    </w:p>
    <w:p>
      <w:pPr>
        <w:pStyle w:val="NormalNumberedtext"/>
      </w:pPr>
      <w:r>
        <w:t>Each safety-critical system test record confirms, at minimum, the following:</w:t>
      </w:r>
    </w:p>
    <w:p>
      <w:pPr>
        <w:pStyle w:val="NumberedBulletL1"/>
      </w:pPr>
      <w:r>
        <w:t>The design intent of the safety system - the function it performs and the demand scenario it is designed to address.</w:t>
      </w:r>
    </w:p>
    <w:p>
      <w:pPr>
        <w:pStyle w:val="NumberedBulletL1"/>
      </w:pPr>
      <w:r>
        <w:t>The test methodology applied, including the test inputs used and the acceptance criteria against which the result was assessed.</w:t>
      </w:r>
    </w:p>
    <w:p>
      <w:pPr>
        <w:pStyle w:val="NumberedBulletL1"/>
      </w:pPr>
      <w:r>
        <w:t>The pass or fail result of each test function.</w:t>
      </w:r>
    </w:p>
    <w:p>
      <w:pPr>
        <w:pStyle w:val="NumberedBulletL1"/>
      </w:pPr>
      <w:r>
        <w:t>Any defects found during testing, the corrective action taken, and confirmation that the defect was resolved before the system was accepted.</w:t>
      </w:r>
    </w:p>
    <w:p>
      <w:pPr>
        <w:pStyle w:val="NumberedBulletL1"/>
      </w:pPr>
      <w:r>
        <w:t>The name, qualifications, and signature of the person who conducted the test and the person who independently verified the test result.</w:t>
      </w:r>
    </w:p>
    <w:p>
      <w:pPr>
        <w:pStyle w:val="NormalNumberedtext"/>
      </w:pPr>
    </w:p>
    <w:p>
      <w:pPr>
        <w:pStyle w:val="Heading2Numbered"/>
        <w:numPr>
          <w:ilvl w:val="1"/>
          <w:numId w:val="1"/>
        </w:numPr>
      </w:pPr>
      <w:r>
        <w:rPr>
          <w:rFonts w:ascii="Arial" w:hAnsi="Arial" w:cs="Arial" w:eastAsia="Arial"/>
        </w:rPr>
        <w:t>Authority to Energise - Safety-Critical Systems</w:t>
      </w:r>
    </w:p>
    <w:p>
      <w:pPr>
        <w:pStyle w:val="NormalNumberedtext"/>
      </w:pPr>
      <w:r>
        <w:t>This section defines the named sign-off requirement and record retention obligations before any safety-critical system is energised for the first time.</w:t>
      </w:r>
    </w:p>
    <w:p>
      <w:pPr>
        <w:pStyle w:val="NormalNumberedtext"/>
      </w:pPr>
      <w:r>
        <w:t>A named authority-to-energise is required before any safety-critical system is energised for the first time. This sign-off is completed by both the Commissioning Manager and the plant Operations Representative and is recorded on the authority-to-energise form for the system. The signed record is retained as a permanent project record.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authority-to-energise process for this project before commissioning begins. Confirm who must sign the authority-to-energise for each system type, what documentation must be confirmed complete before sign-off is permitted, and where the signed records are stored.</w:t>
            </w:r>
          </w:p>
        </w:tc>
      </w:tr>
    </w:tbl>
    <w:p>
      <w:pPr>
        <w:pStyle w:val="NormalNumberedtext"/>
      </w:pPr>
    </w:p>
    <w:p>
      <w:pPr>
        <w:pStyle w:val="NormalNumberedtext"/>
      </w:pPr>
      <w:r>
        <w:rPr>
          <w:b/>
          <w:bCs/>
          <w:color w:val="0059D1"/>
        </w:rPr>
        <w:t>[INSERT: authority_to_energise_record_location] — Insert the document management system location where signed authority-to-energise records are retained as permanent project records.</w:t>
      </w:r>
    </w:p>
    <w:p>
      <w:pPr>
        <w:pStyle w:val="NormalNumberedtext"/>
      </w:pPr>
    </w:p>
    <w:p>
      <w:pPr>
        <w:pStyle w:val="Heading1Numbered"/>
        <w:numPr>
          <w:ilvl w:val="0"/>
          <w:numId w:val="1"/>
        </w:numPr>
      </w:pPr>
      <w:r>
        <w:rPr>
          <w:rFonts w:ascii="Arial" w:hAnsi="Arial" w:cs="Arial" w:eastAsia="Arial"/>
        </w:rPr>
        <w:t>Commissioning Emergency Preparedness</w:t>
      </w:r>
    </w:p>
    <w:p>
      <w:pPr>
        <w:pStyle w:val="NormalNumberedtext"/>
      </w:pPr>
      <w:r>
        <w:t>This section defines the Emergency Response Plan update requirements, commissioning-specific emergency drill obligations, and the Medical Emergency Plan review requirements before commissioning commences.</w:t>
      </w:r>
    </w:p>
    <w:p>
      <w:pPr>
        <w:pStyle w:val="NormalNumberedtext"/>
      </w:pPr>
    </w:p>
    <w:p>
      <w:pPr>
        <w:pStyle w:val="Heading2Numbered"/>
        <w:numPr>
          <w:ilvl w:val="1"/>
          <w:numId w:val="1"/>
        </w:numPr>
      </w:pPr>
      <w:r>
        <w:rPr>
          <w:rFonts w:ascii="Arial" w:hAnsi="Arial" w:cs="Arial" w:eastAsia="Arial"/>
        </w:rPr>
        <w:t>Emergency Response Plan Update for Commissioning</w:t>
      </w:r>
    </w:p>
    <w:p>
      <w:pPr>
        <w:pStyle w:val="NormalNumberedtext"/>
      </w:pPr>
      <w:r>
        <w:t>This section defines the commissioning-specific scenarios that must be addressed in the updated Emergency Response Plan before commissioning begins.</w:t>
      </w:r>
    </w:p>
    <w:p>
      <w:pPr>
        <w:pStyle w:val="NormalNumberedtext"/>
      </w:pPr>
      <w:r>
        <w:t>The Emergency Response Plan is updated before commissioning begins to address the changed emergency scenarios of the commissioning environment. The updated plan is approved and communicated to all commissioning personnel before commissioning activities commence. Business resilience and emergency response planning are governed by [INSERT: Project Document Number].</w:t>
      </w:r>
    </w:p>
    <w:p>
      <w:pPr>
        <w:pStyle w:val="NormalNumberedtext"/>
      </w:pPr>
      <w:r>
        <w:t>The updated Emergency Response Plan addresses, at minimum, the following commissioning-specific scenarios:</w:t>
      </w:r>
    </w:p>
    <w:p>
      <w:pPr>
        <w:pStyle w:val="NumberedBulletL1"/>
      </w:pPr>
      <w:r>
        <w:t>Process fluid releases - including the identity of the process fluids, their properties, the containment and response procedures, and the notification obligations.</w:t>
      </w:r>
    </w:p>
    <w:p>
      <w:pPr>
        <w:pStyle w:val="NumberedBulletL1"/>
      </w:pPr>
      <w:r>
        <w:t>First-fire incidents - including the fire detection and suppression systems available at the commissioning stage and the response procedures applicable before all fire systems are fully commissioned.</w:t>
      </w:r>
    </w:p>
    <w:p>
      <w:pPr>
        <w:pStyle w:val="NumberedBulletL1"/>
      </w:pPr>
      <w:r>
        <w:t>Loss of control system function - including the manual override and safe state procedures for each system.</w:t>
      </w:r>
    </w:p>
    <w:p>
      <w:pPr>
        <w:pStyle w:val="NumberedBulletL1"/>
      </w:pPr>
      <w:r>
        <w:t>Inadvertent energisation of isolated systems - including the emergency isolation procedures and the notification requirements.</w:t>
      </w:r>
    </w:p>
    <w:p>
      <w:pPr>
        <w:pStyle w:val="NumberedBulletL1"/>
      </w:pPr>
      <w:r>
        <w:t>Availability of operations-trained personnel for specific emergency response roles, updated chemical inventory, updated emergency contact details for operations staff, and verified emergency access routes within the commissioning area.</w:t>
      </w:r>
    </w:p>
    <w:p>
      <w:pPr>
        <w:pStyle w:val="NormalNumberedtext"/>
      </w:pPr>
      <w:r>
        <w:t>Commissioning-specific emergency drills are conducted before full-scale commissioning commences. Drill scenarios are drawn from the commissioning-specific scenarios identified in the updated Emergency Response Plan. Drill outcomes are reviewed and any identified improvements to the plan are incorporated before the relevant commissioning activity proceeds.</w:t>
      </w:r>
    </w:p>
    <w:p>
      <w:pPr>
        <w:pStyle w:val="NormalNumberedtext"/>
      </w:pPr>
    </w:p>
    <w:p>
      <w:pPr>
        <w:pStyle w:val="Heading2Numbered"/>
        <w:numPr>
          <w:ilvl w:val="1"/>
          <w:numId w:val="1"/>
        </w:numPr>
      </w:pPr>
      <w:r>
        <w:rPr>
          <w:rFonts w:ascii="Arial" w:hAnsi="Arial" w:cs="Arial" w:eastAsia="Arial"/>
        </w:rPr>
        <w:t>Medical Emergency Plan Review</w:t>
      </w:r>
    </w:p>
    <w:p>
      <w:pPr>
        <w:pStyle w:val="NormalNumberedtext"/>
      </w:pPr>
      <w:r>
        <w:t>This section defines the review requirements for the Medical Emergency Plan to account for commissioning hazard scenarios.</w:t>
      </w:r>
    </w:p>
    <w:p>
      <w:pPr>
        <w:pStyle w:val="NormalNumberedtext"/>
      </w:pPr>
      <w:r>
        <w:t>The Medical Emergency Plan is reviewed and updated before commissioning begins to account for the new hazard scenarios introduced by commissioning. The review is completed by the site medical or first aid authority in consultation with the Commissioning Manager.</w:t>
      </w:r>
    </w:p>
    <w:p>
      <w:pPr>
        <w:pStyle w:val="NormalNumberedtext"/>
      </w:pPr>
      <w:r>
        <w:t>The Medical Emergency Plan review addresses, at minimum, the following commissioning-specific considerations:</w:t>
      </w:r>
    </w:p>
    <w:p>
      <w:pPr>
        <w:pStyle w:val="NumberedBulletL1"/>
      </w:pPr>
      <w:r>
        <w:t>Process-specific first aid requirements for the chemical and process hazards introduced during commissioning, including antidotes, decontamination requirements, and relevant Safety Data Sheet information.</w:t>
      </w:r>
    </w:p>
    <w:p>
      <w:pPr>
        <w:pStyle w:val="NumberedBulletL1"/>
      </w:pPr>
      <w:r>
        <w:t>Medical response requirements specific to electrical injury scenarios, including arc flash and high-voltage contact.</w:t>
      </w:r>
    </w:p>
    <w:p>
      <w:pPr>
        <w:pStyle w:val="NumberedBulletL1"/>
      </w:pPr>
      <w:r>
        <w:t>Updated emergency medical transport routes and times accounting for changes to site access during the commissioning phase.</w:t>
      </w:r>
    </w:p>
    <w:p>
      <w:pPr>
        <w:pStyle w:val="NumberedBulletL1"/>
      </w:pPr>
      <w:r>
        <w:t>[Confirmation that first aid resources on site are adequate for the commissioning workforce, including the required number of trained first aid personnel and the location of first aid stations relative to commissioning areas.]</w:t>
      </w:r>
    </w:p>
    <w:p>
      <w:pPr>
        <w:pStyle w:val="NormalNumberedtext"/>
      </w:pPr>
    </w:p>
    <w:p>
      <w:pPr>
        <w:pStyle w:val="Heading1Numbered"/>
        <w:numPr>
          <w:ilvl w:val="0"/>
          <w:numId w:val="1"/>
        </w:numPr>
      </w:pPr>
      <w:r>
        <w:rPr>
          <w:rFonts w:ascii="Arial" w:hAnsi="Arial" w:cs="Arial" w:eastAsia="Arial"/>
        </w:rPr>
        <w:t>Handover to Operations</w:t>
      </w:r>
    </w:p>
    <w:p>
      <w:pPr>
        <w:pStyle w:val="NormalNumberedtext"/>
      </w:pPr>
      <w:r>
        <w:t>This section defines the formal handover process, the minimum content of the handover package for each system, and the authority level required to accept and sign off the handover of each system.</w:t>
      </w:r>
    </w:p>
    <w:p>
      <w:pPr>
        <w:pStyle w:val="NormalNumberedtext"/>
      </w:pPr>
    </w:p>
    <w:p>
      <w:pPr>
        <w:pStyle w:val="Heading2Numbered"/>
        <w:numPr>
          <w:ilvl w:val="1"/>
          <w:numId w:val="1"/>
        </w:numPr>
      </w:pPr>
      <w:r>
        <w:rPr>
          <w:rFonts w:ascii="Arial" w:hAnsi="Arial" w:cs="Arial" w:eastAsia="Arial"/>
        </w:rPr>
        <w:t>Formal Handover Process</w:t>
      </w:r>
    </w:p>
    <w:p>
      <w:pPr>
        <w:pStyle w:val="NormalNumberedtext"/>
      </w:pPr>
      <w:r>
        <w:t>This section defines the elements of the formal handover process and the sequential steps from pre-commissioning through to operations team acceptance.</w:t>
      </w:r>
    </w:p>
    <w:p>
      <w:pPr>
        <w:pStyle w:val="NormalNumberedtext"/>
      </w:pPr>
      <w:r>
        <w:t>A formal handover process is applied for each system transferred from the project team to the operations team. The handover process is initiated when the system has completed commissioning and performance testing and all A-list defects are confirmed closed. The handover covers all elements required for safe and legally compliant operation of the system by the operations team.</w:t>
      </w:r>
    </w:p>
    <w:p>
      <w:pPr>
        <w:pStyle w:val="NormalNumberedtext"/>
      </w:pPr>
      <w:r>
        <w:t>The formal handover process for each system covers, at minimum, the following elements:</w:t>
      </w:r>
    </w:p>
    <w:p>
      <w:pPr>
        <w:pStyle w:val="NumberedBulletL1"/>
      </w:pPr>
      <w:r>
        <w:t>Transfer of permits and isolation authority from the commissioning PTW system to the operations PTW system.</w:t>
      </w:r>
    </w:p>
    <w:p>
      <w:pPr>
        <w:pStyle w:val="NumberedBulletL1"/>
      </w:pPr>
      <w:r>
        <w:t>Transfer of as-built documentation, including P&amp;IDs reflecting the as-built configuration of the system.</w:t>
      </w:r>
    </w:p>
    <w:p>
      <w:pPr>
        <w:pStyle w:val="NumberedBulletL1"/>
      </w:pPr>
      <w:r>
        <w:t>Transfer of safety system test records, including SIS proof test records and all safety-critical system commissioning records.</w:t>
      </w:r>
    </w:p>
    <w:p>
      <w:pPr>
        <w:pStyle w:val="NumberedBulletL1"/>
      </w:pPr>
      <w:r>
        <w:t>Confirmation of outstanding defect register status - A-list items confirmed closed; B-list items documented with agreed resolution timeframes and responsible parties.</w:t>
      </w:r>
    </w:p>
    <w:p>
      <w:pPr>
        <w:pStyle w:val="NumberedBulletL1"/>
      </w:pPr>
      <w:r>
        <w:t>Transition of emergency response authority for the system from the commissioning team to the operations team.</w:t>
      </w:r>
    </w:p>
    <w:p>
      <w:pPr>
        <w:pStyle w:val="NumberedBulletL1"/>
      </w:pPr>
      <w:r>
        <w:t>Process for resolving any defects discovered during the handover period, including the authority responsible for directing rectification works.</w:t>
      </w:r>
    </w:p>
    <w:p>
      <w:pPr>
        <w:pStyle w:val="NormalNumberedtext"/>
      </w:pPr>
    </w:p>
    <w:p>
      <w:pPr>
        <w:pStyle w:val="Heading2Numbered"/>
        <w:numPr>
          <w:ilvl w:val="1"/>
          <w:numId w:val="1"/>
        </w:numPr>
      </w:pPr>
      <w:r>
        <w:rPr>
          <w:rFonts w:ascii="Arial" w:hAnsi="Arial" w:cs="Arial" w:eastAsia="Arial"/>
        </w:rPr>
        <w:t>Handover Package Requirements</w:t>
      </w:r>
    </w:p>
    <w:p>
      <w:pPr>
        <w:pStyle w:val="NormalNumberedtext"/>
      </w:pPr>
      <w:r>
        <w:t>This section defines the minimum documents that must form part of the handover package before a system is formally transferred to operations.</w:t>
      </w:r>
    </w:p>
    <w:p>
      <w:pPr>
        <w:pStyle w:val="NormalNumberedtext"/>
      </w:pPr>
      <w:r>
        <w:t>The handover package for each system is assembled before the formal handover meeting and reviewed by both the Commissioning Manager and the Operations Representative before handover is accepted. Handover is not completed until the package is confirmed complete.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Define the project handover package minimum requirements before this procedure is issued. The categories below define the minimum required by this procedure - the project confirms the specific document titles and references for each category.</w:t>
            </w:r>
          </w:p>
        </w:tc>
      </w:tr>
    </w:tbl>
    <w:p>
      <w:pPr>
        <w:pStyle w:val="NormalNumberedtext"/>
      </w:pPr>
    </w:p>
    <w:p>
      <w:pPr>
        <w:pStyle w:val="NormalNumberedtext"/>
      </w:pPr>
      <w:r>
        <w:t>Table: Minimum Handover Package - Content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Document Category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Specific Document Required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Confirmed Complete (Y/N)</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Date Confirmed</w:t>
            </w:r>
          </w:p>
        </w:tc>
      </w:tr>
      <w:tr>
        <w:tc>
          <w:tcPr>
            <w:tcW w:type="dxa" w:w="2256"/>
          </w:tcPr>
          <w:p>
            <w:pPr>
              <w:pStyle w:val="TableContents"/>
              <w:spacing w:before="0" w:after="0" w:line="240" w:lineRule="atLeast"/>
            </w:pPr>
            <w:r>
              <w:rPr>
                <w:rFonts w:ascii="Arial" w:hAnsi="Arial" w:cs="Arial" w:eastAsia="Arial"/>
                <w:sz w:val="16"/>
                <w:szCs w:val="16"/>
              </w:rPr>
              <w:t>A-list defect closure confirmation</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SIS proof test records</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 — refer RTPR-HSE-PRO-0020]</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Updated P&amp;IDs reflecting as-built configuration</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Updated Pressure Equipment Register</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 xml:space="preserve">Updated Confined Space Register reflecting commissioned plant - refer </w:t>
            </w:r>
            <w:r>
              <w:rPr>
                <w:rFonts w:ascii="Arial" w:hAnsi="Arial" w:cs="Arial" w:eastAsia="Arial"/>
                <w:b/>
                <w:bCs/>
                <w:color w:val="0059D1"/>
                <w:sz w:val="16"/>
                <w:szCs w:val="16"/>
              </w:rPr>
              <w:t>[INSERT: Project Document Number]</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As-built drawings</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Regulatory inspection certificates</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Emergency Response Plan - updated for commissioned system</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 — refer RTPR-HSE-PRO-0041]</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sz w:val="16"/>
                <w:szCs w:val="16"/>
              </w:rPr>
              <w:t>B-list defect register with agreed resolution timeframes</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handover document]</w:t>
            </w:r>
          </w:p>
        </w:tc>
        <w:tc>
          <w:tcPr>
            <w:tcW w:type="dxa" w:w="2256"/>
          </w:tcPr>
          <w:p>
            <w:pPr>
              <w:pStyle w:val="TableContents"/>
              <w:spacing w:before="0" w:after="0" w:line="240" w:lineRule="atLeast"/>
            </w:pPr>
            <w:r>
              <w:rPr>
                <w:rFonts w:ascii="Arial" w:hAnsi="Arial" w:cs="Arial" w:eastAsia="Arial"/>
                <w:b/>
                <w:bCs/>
                <w:color w:val="0059D1"/>
                <w:sz w:val="16"/>
                <w:szCs w:val="16"/>
              </w:rPr>
              <w:t>[INSERT: document title and reference]</w:t>
            </w: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bl>
    <w:p>
      <w:pPr>
        <w:pStyle w:val="NormalNumberedtext"/>
      </w:pPr>
    </w:p>
    <w:p>
      <w:pPr>
        <w:pStyle w:val="Heading2Numbered"/>
        <w:numPr>
          <w:ilvl w:val="1"/>
          <w:numId w:val="1"/>
        </w:numPr>
      </w:pPr>
      <w:r>
        <w:rPr>
          <w:rFonts w:ascii="Arial" w:hAnsi="Arial" w:cs="Arial" w:eastAsia="Arial"/>
        </w:rPr>
        <w:t>Handover Sign-Off Authority and Disputed Handover Items</w:t>
      </w:r>
    </w:p>
    <w:p>
      <w:pPr>
        <w:pStyle w:val="NormalNumberedtext"/>
      </w:pPr>
      <w:r>
        <w:t>This section defines who holds the authority to formally accept the handover of each system and the process for resolving disputed handover items.</w:t>
      </w:r>
    </w:p>
    <w:p>
      <w:pPr>
        <w:pStyle w:val="NormalNumberedtext"/>
      </w:pPr>
      <w:r>
        <w:t>The authority level required to formally accept and sign off the handover of each system is defined by the project before commissioning begins. The project also defines the process for resolving disputed handover items, including who holds the final authority to accept a system with outstanding defects and the conditions under which such acceptance is permissible.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Insert the project-specific definition of handover sign-off authority and the disputed items resolution process before this procedure is issued. The table below captures the minimum elements that must be defined.</w:t>
            </w:r>
          </w:p>
        </w:tc>
      </w:tr>
    </w:tbl>
    <w:p>
      <w:pPr>
        <w:pStyle w:val="NormalNumberedtext"/>
      </w:pPr>
    </w:p>
    <w:p>
      <w:pPr>
        <w:pStyle w:val="NormalNumberedtext"/>
      </w:pPr>
      <w:r>
        <w:t>Table: Handover Sign-Off Authority - Project Definition</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Element</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Project Definition</w:t>
            </w:r>
          </w:p>
        </w:tc>
      </w:tr>
      <w:tr>
        <w:tc>
          <w:tcPr>
            <w:tcW w:type="dxa" w:w="4513"/>
          </w:tcPr>
          <w:p>
            <w:pPr>
              <w:pStyle w:val="TableContents"/>
              <w:spacing w:before="0" w:after="0" w:line="240" w:lineRule="atLeast"/>
            </w:pPr>
            <w:r>
              <w:rPr>
                <w:rFonts w:ascii="Arial" w:hAnsi="Arial" w:cs="Arial" w:eastAsia="Arial"/>
                <w:sz w:val="16"/>
                <w:szCs w:val="16"/>
              </w:rPr>
              <w:t>Authority required to formally accept and sign off handover of each system</w:t>
            </w:r>
          </w:p>
        </w:tc>
        <w:tc>
          <w:tcPr>
            <w:tcW w:type="dxa" w:w="4513"/>
          </w:tcPr>
          <w:p>
            <w:pPr>
              <w:pStyle w:val="TableContents"/>
              <w:spacing w:before="0" w:after="0" w:line="240" w:lineRule="atLeast"/>
            </w:pPr>
            <w:r>
              <w:rPr>
                <w:rFonts w:ascii="Arial" w:hAnsi="Arial" w:cs="Arial" w:eastAsia="Arial"/>
                <w:b/>
                <w:bCs/>
                <w:color w:val="0059D1"/>
                <w:sz w:val="16"/>
                <w:szCs w:val="16"/>
              </w:rPr>
              <w:t>[INSERT: name of role or roles — e.g., Operations Manager and Project Director]</w:t>
            </w:r>
          </w:p>
        </w:tc>
      </w:tr>
      <w:tr>
        <w:tc>
          <w:tcPr>
            <w:tcW w:type="dxa" w:w="4513"/>
          </w:tcPr>
          <w:p>
            <w:pPr>
              <w:pStyle w:val="TableContents"/>
              <w:spacing w:before="0" w:after="0" w:line="240" w:lineRule="atLeast"/>
            </w:pPr>
            <w:r>
              <w:rPr>
                <w:rFonts w:ascii="Arial" w:hAnsi="Arial" w:cs="Arial" w:eastAsia="Arial"/>
                <w:sz w:val="16"/>
                <w:szCs w:val="16"/>
              </w:rPr>
              <w:t>Authority required to accept a system with outstanding B-list defects</w:t>
            </w:r>
          </w:p>
        </w:tc>
        <w:tc>
          <w:tcPr>
            <w:tcW w:type="dxa" w:w="4513"/>
          </w:tcPr>
          <w:p>
            <w:pPr>
              <w:pStyle w:val="TableContents"/>
              <w:spacing w:before="0" w:after="0" w:line="240" w:lineRule="atLeast"/>
            </w:pPr>
            <w:r>
              <w:rPr>
                <w:rFonts w:ascii="Arial" w:hAnsi="Arial" w:cs="Arial" w:eastAsia="Arial"/>
                <w:b/>
                <w:bCs/>
                <w:color w:val="0059D1"/>
                <w:sz w:val="16"/>
                <w:szCs w:val="16"/>
              </w:rPr>
              <w:t>[INSERT: name of role and conditions under which acceptance is permissible]</w:t>
            </w:r>
          </w:p>
        </w:tc>
      </w:tr>
      <w:tr>
        <w:tc>
          <w:tcPr>
            <w:tcW w:type="dxa" w:w="4513"/>
          </w:tcPr>
          <w:p>
            <w:pPr>
              <w:pStyle w:val="TableContents"/>
              <w:spacing w:before="0" w:after="0" w:line="240" w:lineRule="atLeast"/>
            </w:pPr>
            <w:r>
              <w:rPr>
                <w:rFonts w:ascii="Arial" w:hAnsi="Arial" w:cs="Arial" w:eastAsia="Arial"/>
                <w:sz w:val="16"/>
                <w:szCs w:val="16"/>
              </w:rPr>
              <w:t>Authority required to accept a system with any unresolved disputed item</w:t>
            </w:r>
          </w:p>
        </w:tc>
        <w:tc>
          <w:tcPr>
            <w:tcW w:type="dxa" w:w="4513"/>
          </w:tcPr>
          <w:p>
            <w:pPr>
              <w:pStyle w:val="TableContents"/>
              <w:spacing w:before="0" w:after="0" w:line="240" w:lineRule="atLeast"/>
            </w:pPr>
            <w:r>
              <w:rPr>
                <w:rFonts w:ascii="Arial" w:hAnsi="Arial" w:cs="Arial" w:eastAsia="Arial"/>
                <w:b/>
                <w:bCs/>
                <w:color w:val="0059D1"/>
                <w:sz w:val="16"/>
                <w:szCs w:val="16"/>
              </w:rPr>
              <w:t>[INSERT: name of role — e.g., Asset General Manager or equivalent]</w:t>
            </w:r>
          </w:p>
        </w:tc>
      </w:tr>
      <w:tr>
        <w:tc>
          <w:tcPr>
            <w:tcW w:type="dxa" w:w="4513"/>
          </w:tcPr>
          <w:p>
            <w:pPr>
              <w:pStyle w:val="TableContents"/>
              <w:spacing w:before="0" w:after="0" w:line="240" w:lineRule="atLeast"/>
            </w:pPr>
            <w:r>
              <w:rPr>
                <w:rFonts w:ascii="Arial" w:hAnsi="Arial" w:cs="Arial" w:eastAsia="Arial"/>
                <w:sz w:val="16"/>
                <w:szCs w:val="16"/>
              </w:rPr>
              <w:t>Process for resolving disputed handover items - steps and timeframes</w:t>
            </w:r>
          </w:p>
        </w:tc>
        <w:tc>
          <w:tcPr>
            <w:tcW w:type="dxa" w:w="4513"/>
          </w:tcPr>
          <w:p>
            <w:pPr>
              <w:pStyle w:val="TableContents"/>
              <w:spacing w:before="0" w:after="0" w:line="240" w:lineRule="atLeast"/>
            </w:pPr>
            <w:r>
              <w:rPr>
                <w:rFonts w:ascii="Arial" w:hAnsi="Arial" w:cs="Arial" w:eastAsia="Arial"/>
                <w:b/>
                <w:bCs/>
                <w:color w:val="0059D1"/>
                <w:sz w:val="16"/>
                <w:szCs w:val="16"/>
              </w:rPr>
              <w:t>[INSERT: description of the resolution process and escalation path]</w:t>
            </w:r>
          </w:p>
        </w:tc>
      </w:tr>
      <w:tr>
        <w:tc>
          <w:tcPr>
            <w:tcW w:type="dxa" w:w="4513"/>
          </w:tcPr>
          <w:p>
            <w:pPr>
              <w:pStyle w:val="TableContents"/>
              <w:spacing w:before="0" w:after="0" w:line="240" w:lineRule="atLeast"/>
            </w:pPr>
            <w:r>
              <w:rPr>
                <w:rFonts w:ascii="Arial" w:hAnsi="Arial" w:cs="Arial" w:eastAsia="Arial"/>
                <w:sz w:val="16"/>
                <w:szCs w:val="16"/>
              </w:rPr>
              <w:t>Conditions under which acceptance of a system with outstanding defects is permissible</w:t>
            </w:r>
          </w:p>
        </w:tc>
        <w:tc>
          <w:tcPr>
            <w:tcW w:type="dxa" w:w="4513"/>
          </w:tcPr>
          <w:p>
            <w:pPr>
              <w:pStyle w:val="TableContents"/>
              <w:spacing w:before="0" w:after="0" w:line="240" w:lineRule="atLeast"/>
            </w:pPr>
            <w:r>
              <w:rPr>
                <w:rFonts w:ascii="Arial" w:hAnsi="Arial" w:cs="Arial" w:eastAsia="Arial"/>
                <w:b/>
                <w:bCs/>
                <w:color w:val="0059D1"/>
                <w:sz w:val="16"/>
                <w:szCs w:val="16"/>
              </w:rPr>
              <w:t>[INSERT: conditions — e.g., only B-list items outstanding; written risk acceptance by Operations Manager; B-list resolution plan in place with agreed dates]</w:t>
            </w:r>
          </w:p>
        </w:tc>
      </w:tr>
      <w:tr>
        <w:tc>
          <w:tcPr>
            <w:tcW w:type="dxa" w:w="4513"/>
          </w:tcPr>
          <w:p>
            <w:pPr>
              <w:pStyle w:val="TableContents"/>
              <w:spacing w:before="0" w:after="0" w:line="240" w:lineRule="atLeast"/>
            </w:pPr>
            <w:r>
              <w:rPr>
                <w:rFonts w:ascii="Arial" w:hAnsi="Arial" w:cs="Arial" w:eastAsia="Arial"/>
                <w:sz w:val="16"/>
                <w:szCs w:val="16"/>
              </w:rPr>
              <w:t>Location for retention of signed handover acceptance records</w:t>
            </w:r>
          </w:p>
        </w:tc>
        <w:tc>
          <w:tcPr>
            <w:tcW w:type="dxa" w:w="4513"/>
          </w:tcPr>
          <w:p>
            <w:pPr>
              <w:pStyle w:val="TableContents"/>
              <w:spacing w:before="0" w:after="0" w:line="240" w:lineRule="atLeast"/>
            </w:pPr>
            <w:r>
              <w:rPr>
                <w:rFonts w:ascii="Arial" w:hAnsi="Arial" w:cs="Arial" w:eastAsia="Arial"/>
                <w:b/>
                <w:bCs/>
                <w:color w:val="0059D1"/>
                <w:sz w:val="16"/>
                <w:szCs w:val="16"/>
              </w:rPr>
              <w:t>[INSERT: document management system location]</w:t>
            </w:r>
          </w:p>
        </w:tc>
      </w:tr>
    </w:tbl>
    <w:p>
      <w:pPr>
        <w:pStyle w:val="NormalNumberedtext"/>
      </w:pPr>
    </w:p>
    <w:p>
      <w:pPr>
        <w:pStyle w:val="NormalNumberedtext"/>
      </w:pPr>
      <w:r>
        <w:t>No system with any open A-list safety defect is accepted into operations. The Operations Representative confirms in writing that all A-list items are closed before signing the handover acceptance for any system. Work at height during handover activities is governed by [INSERT: Project Document Number].</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the principle that risks must be reduced to a level where the cost of further reduction is grossly disproportionate to the benefit gained.</w:t>
            </w:r>
          </w:p>
        </w:tc>
      </w:tr>
      <w:tr>
        <w:tc>
          <w:tcPr>
            <w:tcW w:type="dxa" w:w="4888"/>
          </w:tcPr>
          <w:p>
            <w:pPr>
              <w:pStyle w:val="TableContents"/>
              <w:spacing w:before="0" w:after="0" w:line="240" w:lineRule="atLeast"/>
            </w:pPr>
            <w:r>
              <w:rPr>
                <w:rFonts w:ascii="Arial" w:hAnsi="Arial" w:cs="Arial" w:eastAsia="Arial"/>
                <w:sz w:val="16"/>
                <w:szCs w:val="16"/>
              </w:rPr>
              <w:t>BOD</w:t>
            </w:r>
          </w:p>
        </w:tc>
        <w:tc>
          <w:tcPr>
            <w:tcW w:type="dxa" w:w="4889"/>
          </w:tcPr>
          <w:p>
            <w:pPr>
              <w:pStyle w:val="TableContents"/>
              <w:spacing w:before="0" w:after="0" w:line="240" w:lineRule="atLeast"/>
            </w:pPr>
            <w:r>
              <w:rPr>
                <w:rFonts w:ascii="Arial" w:hAnsi="Arial" w:cs="Arial" w:eastAsia="Arial"/>
                <w:sz w:val="16"/>
                <w:szCs w:val="16"/>
              </w:rPr>
              <w:t>Basis of Design - the document that captures the fundamental design intent, criteria, and assumptions underpinning the project engineering and safety design.</w:t>
            </w:r>
          </w:p>
        </w:tc>
      </w:tr>
      <w:tr>
        <w:tc>
          <w:tcPr>
            <w:tcW w:type="dxa" w:w="4888"/>
          </w:tcPr>
          <w:p>
            <w:pPr>
              <w:pStyle w:val="TableContents"/>
              <w:spacing w:before="0" w:after="0" w:line="240" w:lineRule="atLeast"/>
            </w:pPr>
            <w:r>
              <w:rPr>
                <w:rFonts w:ascii="Arial" w:hAnsi="Arial" w:cs="Arial" w:eastAsia="Arial"/>
                <w:sz w:val="16"/>
                <w:szCs w:val="16"/>
              </w:rPr>
              <w:t>C&amp;SU</w:t>
            </w:r>
          </w:p>
        </w:tc>
        <w:tc>
          <w:tcPr>
            <w:tcW w:type="dxa" w:w="4889"/>
          </w:tcPr>
          <w:p>
            <w:pPr>
              <w:pStyle w:val="TableContents"/>
              <w:spacing w:before="0" w:after="0" w:line="240" w:lineRule="atLeast"/>
            </w:pPr>
            <w:r>
              <w:rPr>
                <w:rFonts w:ascii="Arial" w:hAnsi="Arial" w:cs="Arial" w:eastAsia="Arial"/>
                <w:sz w:val="16"/>
                <w:szCs w:val="16"/>
              </w:rPr>
              <w:t>Commissioning and Start-Up - the structured process of transitioning plant and equipment from a constructed state through pre-commissioning, commissioning, and into operational readiness.</w:t>
            </w:r>
          </w:p>
        </w:tc>
      </w:tr>
      <w:tr>
        <w:tc>
          <w:tcPr>
            <w:tcW w:type="dxa" w:w="4888"/>
          </w:tcPr>
          <w:p>
            <w:pPr>
              <w:pStyle w:val="TableContents"/>
              <w:spacing w:before="0" w:after="0" w:line="240" w:lineRule="atLeast"/>
            </w:pPr>
            <w:r>
              <w:rPr>
                <w:rFonts w:ascii="Arial" w:hAnsi="Arial" w:cs="Arial" w:eastAsia="Arial"/>
                <w:sz w:val="16"/>
                <w:szCs w:val="16"/>
              </w:rPr>
              <w:t>CRA</w:t>
            </w:r>
          </w:p>
        </w:tc>
        <w:tc>
          <w:tcPr>
            <w:tcW w:type="dxa" w:w="4889"/>
          </w:tcPr>
          <w:p>
            <w:pPr>
              <w:pStyle w:val="TableContents"/>
              <w:spacing w:before="0" w:after="0" w:line="240" w:lineRule="atLeast"/>
            </w:pPr>
            <w:r>
              <w:rPr>
                <w:rFonts w:ascii="Arial" w:hAnsi="Arial" w:cs="Arial" w:eastAsia="Arial"/>
                <w:sz w:val="16"/>
                <w:szCs w:val="16"/>
              </w:rPr>
              <w:t>Commissioning Risk Assessment - a formal risk assessment specific to commissioning activities that identifies hazards arising from energisation, first-fill, and functional testing of plant and systems.</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the documented plan defining emergency scenarios, roles, responsibilities, and response actions applicable to the commissioning phase of the project.</w:t>
            </w:r>
          </w:p>
        </w:tc>
      </w:tr>
      <w:tr>
        <w:tc>
          <w:tcPr>
            <w:tcW w:type="dxa" w:w="4888"/>
          </w:tcPr>
          <w:p>
            <w:pPr>
              <w:pStyle w:val="TableContents"/>
              <w:spacing w:before="0" w:after="0" w:line="240" w:lineRule="atLeast"/>
            </w:pPr>
            <w:r>
              <w:rPr>
                <w:rFonts w:ascii="Arial" w:hAnsi="Arial" w:cs="Arial" w:eastAsia="Arial"/>
                <w:sz w:val="16"/>
                <w:szCs w:val="16"/>
              </w:rPr>
              <w:t>FAT</w:t>
            </w:r>
          </w:p>
        </w:tc>
        <w:tc>
          <w:tcPr>
            <w:tcW w:type="dxa" w:w="4889"/>
          </w:tcPr>
          <w:p>
            <w:pPr>
              <w:pStyle w:val="TableContents"/>
              <w:spacing w:before="0" w:after="0" w:line="240" w:lineRule="atLeast"/>
            </w:pPr>
            <w:r>
              <w:rPr>
                <w:rFonts w:ascii="Arial" w:hAnsi="Arial" w:cs="Arial" w:eastAsia="Arial"/>
                <w:sz w:val="16"/>
                <w:szCs w:val="16"/>
              </w:rPr>
              <w:t>Factory Acceptance Test - a test conducted at the manufacturer's facility to verify that equipment and systems meet specified design and functional requirements prior to delivery to site.</w:t>
            </w:r>
          </w:p>
        </w:tc>
      </w:tr>
      <w:tr>
        <w:tc>
          <w:tcPr>
            <w:tcW w:type="dxa" w:w="4888"/>
          </w:tcPr>
          <w:p>
            <w:pPr>
              <w:pStyle w:val="TableContents"/>
              <w:spacing w:before="0" w:after="0" w:line="240" w:lineRule="atLeast"/>
            </w:pPr>
            <w:r>
              <w:rPr>
                <w:rFonts w:ascii="Arial" w:hAnsi="Arial" w:cs="Arial" w:eastAsia="Arial"/>
                <w:sz w:val="16"/>
                <w:szCs w:val="16"/>
              </w:rPr>
              <w:t>HAZID</w:t>
            </w:r>
          </w:p>
        </w:tc>
        <w:tc>
          <w:tcPr>
            <w:tcW w:type="dxa" w:w="4889"/>
          </w:tcPr>
          <w:p>
            <w:pPr>
              <w:pStyle w:val="TableContents"/>
              <w:spacing w:before="0" w:after="0" w:line="240" w:lineRule="atLeast"/>
            </w:pPr>
            <w:r>
              <w:rPr>
                <w:rFonts w:ascii="Arial" w:hAnsi="Arial" w:cs="Arial" w:eastAsia="Arial"/>
                <w:sz w:val="16"/>
                <w:szCs w:val="16"/>
              </w:rPr>
              <w:t>Hazard Identification - a structured technique used to identify potential hazards associated with a project, process, or activity at a high level.</w:t>
            </w:r>
          </w:p>
        </w:tc>
      </w:tr>
      <w:tr>
        <w:tc>
          <w:tcPr>
            <w:tcW w:type="dxa" w:w="4888"/>
          </w:tcPr>
          <w:p>
            <w:pPr>
              <w:pStyle w:val="TableContents"/>
              <w:spacing w:before="0" w:after="0" w:line="240" w:lineRule="atLeast"/>
            </w:pPr>
            <w:r>
              <w:rPr>
                <w:rFonts w:ascii="Arial" w:hAnsi="Arial" w:cs="Arial" w:eastAsia="Arial"/>
                <w:sz w:val="16"/>
                <w:szCs w:val="16"/>
              </w:rPr>
              <w:t>HAZOP</w:t>
            </w:r>
          </w:p>
        </w:tc>
        <w:tc>
          <w:tcPr>
            <w:tcW w:type="dxa" w:w="4889"/>
          </w:tcPr>
          <w:p>
            <w:pPr>
              <w:pStyle w:val="TableContents"/>
              <w:spacing w:before="0" w:after="0" w:line="240" w:lineRule="atLeast"/>
            </w:pPr>
            <w:r>
              <w:rPr>
                <w:rFonts w:ascii="Arial" w:hAnsi="Arial" w:cs="Arial" w:eastAsia="Arial"/>
                <w:sz w:val="16"/>
                <w:szCs w:val="16"/>
              </w:rPr>
              <w:t>Hazard and Operability Study - a systematic and structured examination of a process or system to identify potential hazards and operability problems that may arise during commissioning or operation.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Communities - the integrated management framework governing all aspects of HSESC performance on Rio Tinto owner-led projects.</w:t>
            </w:r>
          </w:p>
        </w:tc>
      </w:tr>
      <w:tr>
        <w:tc>
          <w:tcPr>
            <w:tcW w:type="dxa" w:w="4888"/>
          </w:tcPr>
          <w:p>
            <w:pPr>
              <w:pStyle w:val="TableContents"/>
              <w:spacing w:before="0" w:after="0" w:line="240" w:lineRule="atLeast"/>
            </w:pPr>
            <w:r>
              <w:rPr>
                <w:rFonts w:ascii="Arial" w:hAnsi="Arial" w:cs="Arial" w:eastAsia="Arial"/>
                <w:sz w:val="16"/>
                <w:szCs w:val="16"/>
              </w:rPr>
              <w:t>ICS</w:t>
            </w:r>
          </w:p>
        </w:tc>
        <w:tc>
          <w:tcPr>
            <w:tcW w:type="dxa" w:w="4889"/>
          </w:tcPr>
          <w:p>
            <w:pPr>
              <w:pStyle w:val="TableContents"/>
              <w:spacing w:before="0" w:after="0" w:line="240" w:lineRule="atLeast"/>
            </w:pPr>
            <w:r>
              <w:rPr>
                <w:rFonts w:ascii="Arial" w:hAnsi="Arial" w:cs="Arial" w:eastAsia="Arial"/>
                <w:sz w:val="16"/>
                <w:szCs w:val="16"/>
              </w:rPr>
              <w:t>Integrated Commissioning Schedule - the consolidated schedule that sequences commissioning activities, system handovers, and energisation milestones to manage interfaces and SIMOPS risks.</w:t>
            </w:r>
          </w:p>
        </w:tc>
      </w:tr>
      <w:tr>
        <w:tc>
          <w:tcPr>
            <w:tcW w:type="dxa" w:w="4888"/>
          </w:tcPr>
          <w:p>
            <w:pPr>
              <w:pStyle w:val="TableContents"/>
              <w:spacing w:before="0" w:after="0" w:line="240" w:lineRule="atLeast"/>
            </w:pPr>
            <w:r>
              <w:rPr>
                <w:rFonts w:ascii="Arial" w:hAnsi="Arial" w:cs="Arial" w:eastAsia="Arial"/>
                <w:sz w:val="16"/>
                <w:szCs w:val="16"/>
              </w:rPr>
              <w:t>ITP</w:t>
            </w:r>
          </w:p>
        </w:tc>
        <w:tc>
          <w:tcPr>
            <w:tcW w:type="dxa" w:w="4889"/>
          </w:tcPr>
          <w:p>
            <w:pPr>
              <w:pStyle w:val="TableContents"/>
              <w:spacing w:before="0" w:after="0" w:line="240" w:lineRule="atLeast"/>
            </w:pPr>
            <w:r>
              <w:rPr>
                <w:rFonts w:ascii="Arial" w:hAnsi="Arial" w:cs="Arial" w:eastAsia="Arial"/>
                <w:sz w:val="16"/>
                <w:szCs w:val="16"/>
              </w:rPr>
              <w:t>Inspection and Test Plan - a document that defines the quality hold points, inspection requirements, and acceptance criteria for commissioning activities and system handovers.</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isolation procedure using physical locks and tags to prevent the inadvertent energisation of plant, equipment, or systems during commissioning, maintenance, or testing activities.</w:t>
            </w:r>
          </w:p>
        </w:tc>
      </w:tr>
      <w:tr>
        <w:tc>
          <w:tcPr>
            <w:tcW w:type="dxa" w:w="4888"/>
          </w:tcPr>
          <w:p>
            <w:pPr>
              <w:pStyle w:val="TableContents"/>
              <w:spacing w:before="0" w:after="0" w:line="240" w:lineRule="atLeast"/>
            </w:pPr>
            <w:r>
              <w:rPr>
                <w:rFonts w:ascii="Arial" w:hAnsi="Arial" w:cs="Arial" w:eastAsia="Arial"/>
                <w:sz w:val="16"/>
                <w:szCs w:val="16"/>
              </w:rPr>
              <w:t>MC</w:t>
            </w:r>
          </w:p>
        </w:tc>
        <w:tc>
          <w:tcPr>
            <w:tcW w:type="dxa" w:w="4889"/>
          </w:tcPr>
          <w:p>
            <w:pPr>
              <w:pStyle w:val="TableContents"/>
              <w:spacing w:before="0" w:after="0" w:line="240" w:lineRule="atLeast"/>
            </w:pPr>
            <w:r>
              <w:rPr>
                <w:rFonts w:ascii="Arial" w:hAnsi="Arial" w:cs="Arial" w:eastAsia="Arial"/>
                <w:sz w:val="16"/>
                <w:szCs w:val="16"/>
              </w:rPr>
              <w:t>Mechanical Completion - the stage at which construction of a system or sub-system is finished in accordance with the design documents, and the system is ready for pre-commissioning activities.</w:t>
            </w:r>
          </w:p>
        </w:tc>
      </w:tr>
      <w:tr>
        <w:tc>
          <w:tcPr>
            <w:tcW w:type="dxa" w:w="4888"/>
          </w:tcPr>
          <w:p>
            <w:pPr>
              <w:pStyle w:val="TableContents"/>
              <w:spacing w:before="0" w:after="0" w:line="240" w:lineRule="atLeast"/>
            </w:pPr>
            <w:r>
              <w:rPr>
                <w:rFonts w:ascii="Arial" w:hAnsi="Arial" w:cs="Arial" w:eastAsia="Arial"/>
                <w:sz w:val="16"/>
                <w:szCs w:val="16"/>
              </w:rPr>
              <w:t>MCC</w:t>
            </w:r>
          </w:p>
        </w:tc>
        <w:tc>
          <w:tcPr>
            <w:tcW w:type="dxa" w:w="4889"/>
          </w:tcPr>
          <w:p>
            <w:pPr>
              <w:pStyle w:val="TableContents"/>
              <w:spacing w:before="0" w:after="0" w:line="240" w:lineRule="atLeast"/>
            </w:pPr>
            <w:r>
              <w:rPr>
                <w:rFonts w:ascii="Arial" w:hAnsi="Arial" w:cs="Arial" w:eastAsia="Arial"/>
                <w:sz w:val="16"/>
                <w:szCs w:val="16"/>
              </w:rPr>
              <w:t>Motor Control Centre - an electrical assembly used to control and protect electric motors and associated equipment, subject to electrical commissioning and isolation management requirements.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the formal process for identifying, reviewing, approving, and implementing changes to design, process, procedures, or organisation during the commissioning phase.</w:t>
            </w:r>
          </w:p>
        </w:tc>
      </w:tr>
      <w:tr>
        <w:tc>
          <w:tcPr>
            <w:tcW w:type="dxa" w:w="4888"/>
          </w:tcPr>
          <w:p>
            <w:pPr>
              <w:pStyle w:val="TableContents"/>
              <w:spacing w:before="0" w:after="0" w:line="240" w:lineRule="atLeast"/>
            </w:pPr>
            <w:r>
              <w:rPr>
                <w:rFonts w:ascii="Arial" w:hAnsi="Arial" w:cs="Arial" w:eastAsia="Arial"/>
                <w:sz w:val="16"/>
                <w:szCs w:val="16"/>
              </w:rPr>
              <w:t>P&amp;ID</w:t>
            </w:r>
          </w:p>
        </w:tc>
        <w:tc>
          <w:tcPr>
            <w:tcW w:type="dxa" w:w="4889"/>
          </w:tcPr>
          <w:p>
            <w:pPr>
              <w:pStyle w:val="TableContents"/>
              <w:spacing w:before="0" w:after="0" w:line="240" w:lineRule="atLeast"/>
            </w:pPr>
            <w:r>
              <w:rPr>
                <w:rFonts w:ascii="Arial" w:hAnsi="Arial" w:cs="Arial" w:eastAsia="Arial"/>
                <w:sz w:val="16"/>
                <w:szCs w:val="16"/>
              </w:rPr>
              <w:t>Piping and Instrumentation Diagram - an engineering drawing showing the physical sequence of piping, instrumentation, equipment, and control elements used as a reference for commissioning walkdowns and punch listing.</w:t>
            </w:r>
          </w:p>
        </w:tc>
      </w:tr>
      <w:tr>
        <w:tc>
          <w:tcPr>
            <w:tcW w:type="dxa" w:w="4888"/>
          </w:tcPr>
          <w:p>
            <w:pPr>
              <w:pStyle w:val="TableContents"/>
              <w:spacing w:before="0" w:after="0" w:line="240" w:lineRule="atLeast"/>
            </w:pPr>
            <w:r>
              <w:rPr>
                <w:rFonts w:ascii="Arial" w:hAnsi="Arial" w:cs="Arial" w:eastAsia="Arial"/>
                <w:sz w:val="16"/>
                <w:szCs w:val="16"/>
              </w:rPr>
              <w:t>PHA</w:t>
            </w:r>
          </w:p>
        </w:tc>
        <w:tc>
          <w:tcPr>
            <w:tcW w:type="dxa" w:w="4889"/>
          </w:tcPr>
          <w:p>
            <w:pPr>
              <w:pStyle w:val="TableContents"/>
              <w:spacing w:before="0" w:after="0" w:line="240" w:lineRule="atLeast"/>
            </w:pPr>
            <w:r>
              <w:rPr>
                <w:rFonts w:ascii="Arial" w:hAnsi="Arial" w:cs="Arial" w:eastAsia="Arial"/>
                <w:sz w:val="16"/>
                <w:szCs w:val="16"/>
              </w:rPr>
              <w:t>Process Hazard Analysis - a systematic review of process hazards including HAZOP and HAZID, used to inform commissioning risk assessments and safety system pre-commissioning requirements.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the formal authorisation system that controls hazardous commissioning work by specifying isolation, precautions, and accountabilities before work commences.</w:t>
            </w:r>
          </w:p>
        </w:tc>
      </w:tr>
      <w:tr>
        <w:tc>
          <w:tcPr>
            <w:tcW w:type="dxa" w:w="4888"/>
          </w:tcPr>
          <w:p>
            <w:pPr>
              <w:pStyle w:val="TableContents"/>
              <w:spacing w:before="0" w:after="0" w:line="240" w:lineRule="atLeast"/>
            </w:pPr>
            <w:r>
              <w:rPr>
                <w:rFonts w:ascii="Arial" w:hAnsi="Arial" w:cs="Arial" w:eastAsia="Arial"/>
                <w:sz w:val="16"/>
                <w:szCs w:val="16"/>
              </w:rPr>
              <w:t>RF</w:t>
            </w:r>
          </w:p>
        </w:tc>
        <w:tc>
          <w:tcPr>
            <w:tcW w:type="dxa" w:w="4889"/>
          </w:tcPr>
          <w:p>
            <w:pPr>
              <w:pStyle w:val="TableContents"/>
              <w:spacing w:before="0" w:after="0" w:line="240" w:lineRule="atLeast"/>
            </w:pPr>
            <w:r>
              <w:rPr>
                <w:rFonts w:ascii="Arial" w:hAnsi="Arial" w:cs="Arial" w:eastAsia="Arial"/>
                <w:sz w:val="16"/>
                <w:szCs w:val="16"/>
              </w:rPr>
              <w:t>Ready for Commissioning - the formal status assigned to a system or sub-system confirming that mechanical completion, punch list clearance, and pre-commissioning prerequisites have been satisfied.</w:t>
            </w:r>
          </w:p>
        </w:tc>
      </w:tr>
      <w:tr>
        <w:tc>
          <w:tcPr>
            <w:tcW w:type="dxa" w:w="4888"/>
          </w:tcPr>
          <w:p>
            <w:pPr>
              <w:pStyle w:val="TableContents"/>
              <w:spacing w:before="0" w:after="0" w:line="240" w:lineRule="atLeast"/>
            </w:pPr>
            <w:r>
              <w:rPr>
                <w:rFonts w:ascii="Arial" w:hAnsi="Arial" w:cs="Arial" w:eastAsia="Arial"/>
                <w:sz w:val="16"/>
                <w:szCs w:val="16"/>
              </w:rPr>
              <w:t>RFO</w:t>
            </w:r>
          </w:p>
        </w:tc>
        <w:tc>
          <w:tcPr>
            <w:tcW w:type="dxa" w:w="4889"/>
          </w:tcPr>
          <w:p>
            <w:pPr>
              <w:pStyle w:val="TableContents"/>
              <w:spacing w:before="0" w:after="0" w:line="240" w:lineRule="atLeast"/>
            </w:pPr>
            <w:r>
              <w:rPr>
                <w:rFonts w:ascii="Arial" w:hAnsi="Arial" w:cs="Arial" w:eastAsia="Arial"/>
                <w:sz w:val="16"/>
                <w:szCs w:val="16"/>
              </w:rPr>
              <w:t>Ready for Operations - the formal status assigned to a system or sub-system confirming that commissioning is complete, safety systems are proven, and handover to operations can proceed.</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frameworks, and requirements govern the management system applicable to owner-led projects.</w:t>
            </w:r>
          </w:p>
        </w:tc>
      </w:tr>
      <w:tr>
        <w:tc>
          <w:tcPr>
            <w:tcW w:type="dxa" w:w="4888"/>
          </w:tcPr>
          <w:p>
            <w:pPr>
              <w:pStyle w:val="TableContents"/>
              <w:spacing w:before="0" w:after="0" w:line="240" w:lineRule="atLeast"/>
            </w:pPr>
            <w:r>
              <w:rPr>
                <w:rFonts w:ascii="Arial" w:hAnsi="Arial" w:cs="Arial" w:eastAsia="Arial"/>
                <w:sz w:val="16"/>
                <w:szCs w:val="16"/>
              </w:rPr>
              <w:t>SAT</w:t>
            </w:r>
          </w:p>
        </w:tc>
        <w:tc>
          <w:tcPr>
            <w:tcW w:type="dxa" w:w="4889"/>
          </w:tcPr>
          <w:p>
            <w:pPr>
              <w:pStyle w:val="TableContents"/>
              <w:spacing w:before="0" w:after="0" w:line="240" w:lineRule="atLeast"/>
            </w:pPr>
            <w:r>
              <w:rPr>
                <w:rFonts w:ascii="Arial" w:hAnsi="Arial" w:cs="Arial" w:eastAsia="Arial"/>
                <w:sz w:val="16"/>
                <w:szCs w:val="16"/>
              </w:rPr>
              <w:t>Site Acceptance Test - a test conducted on site to verify that equipment and systems perform in accordance with design specifications and functional safety requirements under installed conditions.</w:t>
            </w:r>
          </w:p>
        </w:tc>
      </w:tr>
      <w:tr>
        <w:tc>
          <w:tcPr>
            <w:tcW w:type="dxa" w:w="4888"/>
          </w:tcPr>
          <w:p>
            <w:pPr>
              <w:pStyle w:val="TableContents"/>
              <w:spacing w:before="0" w:after="0" w:line="240" w:lineRule="atLeast"/>
            </w:pPr>
            <w:r>
              <w:rPr>
                <w:rFonts w:ascii="Arial" w:hAnsi="Arial" w:cs="Arial" w:eastAsia="Arial"/>
                <w:sz w:val="16"/>
                <w:szCs w:val="16"/>
              </w:rPr>
              <w:t>SCE</w:t>
            </w:r>
          </w:p>
        </w:tc>
        <w:tc>
          <w:tcPr>
            <w:tcW w:type="dxa" w:w="4889"/>
          </w:tcPr>
          <w:p>
            <w:pPr>
              <w:pStyle w:val="TableContents"/>
              <w:spacing w:before="0" w:after="0" w:line="240" w:lineRule="atLeast"/>
            </w:pPr>
            <w:r>
              <w:rPr>
                <w:rFonts w:ascii="Arial" w:hAnsi="Arial" w:cs="Arial" w:eastAsia="Arial"/>
                <w:sz w:val="16"/>
                <w:szCs w:val="16"/>
              </w:rPr>
              <w:t>Safety-Critical Element - any structure, plant, equipment, or system whose failure could cause or contribute to a major accident event, and which must be pre-commissioned and proof-tested before operational handover.</w:t>
            </w:r>
          </w:p>
        </w:tc>
      </w:tr>
      <w:tr>
        <w:tc>
          <w:tcPr>
            <w:tcW w:type="dxa" w:w="4888"/>
          </w:tcPr>
          <w:p>
            <w:pPr>
              <w:pStyle w:val="TableContents"/>
              <w:spacing w:before="0" w:after="0" w:line="240" w:lineRule="atLeast"/>
            </w:pPr>
            <w:r>
              <w:rPr>
                <w:rFonts w:ascii="Arial" w:hAnsi="Arial" w:cs="Arial" w:eastAsia="Arial"/>
                <w:sz w:val="16"/>
                <w:szCs w:val="16"/>
              </w:rPr>
              <w:t>SIL</w:t>
            </w:r>
          </w:p>
        </w:tc>
        <w:tc>
          <w:tcPr>
            <w:tcW w:type="dxa" w:w="4889"/>
          </w:tcPr>
          <w:p>
            <w:pPr>
              <w:pStyle w:val="TableContents"/>
              <w:spacing w:before="0" w:after="0" w:line="240" w:lineRule="atLeast"/>
            </w:pPr>
            <w:r>
              <w:rPr>
                <w:rFonts w:ascii="Arial" w:hAnsi="Arial" w:cs="Arial" w:eastAsia="Arial"/>
                <w:sz w:val="16"/>
                <w:szCs w:val="16"/>
              </w:rPr>
              <w:t>Safety Integrity Level - a discrete level (SIL 1 to SIL 4) specifying the required risk-reduction performance of a safety instrumented function as defined under IEC 61508 and IEC 61511.</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the concurrent execution of construction, commissioning, and operational activities within the same or adjacent areas, requiring coordinated hazard management and interface controls.</w:t>
            </w:r>
          </w:p>
        </w:tc>
      </w:tr>
      <w:tr>
        <w:tc>
          <w:tcPr>
            <w:tcW w:type="dxa" w:w="4888"/>
          </w:tcPr>
          <w:p>
            <w:pPr>
              <w:pStyle w:val="TableContents"/>
              <w:spacing w:before="0" w:after="0" w:line="240" w:lineRule="atLeast"/>
            </w:pPr>
            <w:r>
              <w:rPr>
                <w:rFonts w:ascii="Arial" w:hAnsi="Arial" w:cs="Arial" w:eastAsia="Arial"/>
                <w:sz w:val="16"/>
                <w:szCs w:val="16"/>
              </w:rPr>
              <w:t>SIS</w:t>
            </w:r>
          </w:p>
        </w:tc>
        <w:tc>
          <w:tcPr>
            <w:tcW w:type="dxa" w:w="4889"/>
          </w:tcPr>
          <w:p>
            <w:pPr>
              <w:pStyle w:val="TableContents"/>
              <w:spacing w:before="0" w:after="0" w:line="240" w:lineRule="atLeast"/>
            </w:pPr>
            <w:r>
              <w:rPr>
                <w:rFonts w:ascii="Arial" w:hAnsi="Arial" w:cs="Arial" w:eastAsia="Arial"/>
                <w:sz w:val="16"/>
                <w:szCs w:val="16"/>
              </w:rPr>
              <w:t>Safety Instrumented System - an instrumented system designed to bring a process to a safe state when predetermined conditions are violated, subject to functional safety proof testing before commissioning.</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procedure defining the steps, responsibilities, and controls for performing a specific commissioning or operational task safely and consistently.</w:t>
            </w:r>
          </w:p>
        </w:tc>
      </w:tr>
      <w:tr>
        <w:tc>
          <w:tcPr>
            <w:tcW w:type="dxa" w:w="4888"/>
          </w:tcPr>
          <w:p>
            <w:pPr>
              <w:pStyle w:val="TableContents"/>
              <w:spacing w:before="0" w:after="0" w:line="240" w:lineRule="atLeast"/>
            </w:pPr>
            <w:r>
              <w:rPr>
                <w:rFonts w:ascii="Arial" w:hAnsi="Arial" w:cs="Arial" w:eastAsia="Arial"/>
                <w:sz w:val="16"/>
                <w:szCs w:val="16"/>
              </w:rPr>
              <w:t>SSOW</w:t>
            </w:r>
          </w:p>
        </w:tc>
        <w:tc>
          <w:tcPr>
            <w:tcW w:type="dxa" w:w="4889"/>
          </w:tcPr>
          <w:p>
            <w:pPr>
              <w:pStyle w:val="TableContents"/>
              <w:spacing w:before="0" w:after="0" w:line="240" w:lineRule="atLeast"/>
            </w:pPr>
            <w:r>
              <w:rPr>
                <w:rFonts w:ascii="Arial" w:hAnsi="Arial" w:cs="Arial" w:eastAsia="Arial"/>
                <w:sz w:val="16"/>
                <w:szCs w:val="16"/>
              </w:rPr>
              <w:t>Safe System of Work - the combination of documented procedures, risk assessments, permits, isolations, and controls that collectively ensure work is performed safely during commissioning.</w:t>
            </w:r>
          </w:p>
        </w:tc>
      </w:tr>
      <w:tr>
        <w:tc>
          <w:tcPr>
            <w:tcW w:type="dxa" w:w="4888"/>
          </w:tcPr>
          <w:p>
            <w:pPr>
              <w:pStyle w:val="TableContents"/>
              <w:spacing w:before="0" w:after="0" w:line="240" w:lineRule="atLeast"/>
            </w:pPr>
            <w:r>
              <w:rPr>
                <w:rFonts w:ascii="Arial" w:hAnsi="Arial" w:cs="Arial" w:eastAsia="Arial"/>
                <w:sz w:val="16"/>
                <w:szCs w:val="16"/>
              </w:rPr>
              <w:t>TQ</w:t>
            </w:r>
          </w:p>
        </w:tc>
        <w:tc>
          <w:tcPr>
            <w:tcW w:type="dxa" w:w="4889"/>
          </w:tcPr>
          <w:p>
            <w:pPr>
              <w:pStyle w:val="TableContents"/>
              <w:spacing w:before="0" w:after="0" w:line="240" w:lineRule="atLeast"/>
            </w:pPr>
            <w:r>
              <w:rPr>
                <w:rFonts w:ascii="Arial" w:hAnsi="Arial" w:cs="Arial" w:eastAsia="Arial"/>
                <w:sz w:val="16"/>
                <w:szCs w:val="16"/>
              </w:rPr>
              <w:t>Technical Query - a formal request raised during commissioning to seek clarification or resolution of a technical issue that may affect design intent, safety, or system readiness.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Confined Space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Process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Functional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SIMOPS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Electrical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Functional Safety of Electrical/Electronic/Programmable Electronic Safety-Related Systems</w:t>
            </w:r>
          </w:p>
        </w:tc>
        <w:tc>
          <w:tcPr>
            <w:tcW w:type="dxa" w:w="3259"/>
          </w:tcPr>
          <w:p>
            <w:pPr>
              <w:pStyle w:val="TableContents"/>
              <w:spacing w:before="0" w:after="0" w:line="240" w:lineRule="atLeast"/>
            </w:pPr>
            <w:r>
              <w:rPr>
                <w:rFonts w:ascii="Arial" w:hAnsi="Arial" w:cs="Arial" w:eastAsia="Arial"/>
                <w:sz w:val="16"/>
                <w:szCs w:val="16"/>
              </w:rPr>
              <w:t>IEC 61508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Functional Safety - Safety Instrumented Systems for the Process Industry Sector</w:t>
            </w:r>
          </w:p>
        </w:tc>
        <w:tc>
          <w:tcPr>
            <w:tcW w:type="dxa" w:w="3259"/>
          </w:tcPr>
          <w:p>
            <w:pPr>
              <w:pStyle w:val="TableContents"/>
              <w:spacing w:before="0" w:after="0" w:line="240" w:lineRule="atLeast"/>
            </w:pPr>
            <w:r>
              <w:rPr>
                <w:rFonts w:ascii="Arial" w:hAnsi="Arial" w:cs="Arial" w:eastAsia="Arial"/>
                <w:sz w:val="16"/>
                <w:szCs w:val="16"/>
              </w:rPr>
              <w:t>IEC 61511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Process Safety Management of Highly Hazardous Chemicals</w:t>
            </w:r>
          </w:p>
        </w:tc>
        <w:tc>
          <w:tcPr>
            <w:tcW w:type="dxa" w:w="3259"/>
          </w:tcPr>
          <w:p>
            <w:pPr>
              <w:pStyle w:val="TableContents"/>
              <w:spacing w:before="0" w:after="0" w:line="240" w:lineRule="atLeast"/>
            </w:pPr>
            <w:r>
              <w:rPr>
                <w:rFonts w:ascii="Arial" w:hAnsi="Arial" w:cs="Arial" w:eastAsia="Arial"/>
                <w:sz w:val="16"/>
                <w:szCs w:val="16"/>
              </w:rPr>
              <w:t>OSHA 29 CFR 1910.119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Safety of Machinery - General Principles for Design</w:t>
            </w:r>
          </w:p>
        </w:tc>
        <w:tc>
          <w:tcPr>
            <w:tcW w:type="dxa" w:w="3259"/>
          </w:tcPr>
          <w:p>
            <w:pPr>
              <w:pStyle w:val="TableContents"/>
              <w:spacing w:before="0" w:after="0" w:line="240" w:lineRule="atLeast"/>
            </w:pPr>
            <w:r>
              <w:rPr>
                <w:rFonts w:ascii="Arial" w:hAnsi="Arial" w:cs="Arial" w:eastAsia="Arial"/>
                <w:sz w:val="16"/>
                <w:szCs w:val="16"/>
              </w:rPr>
              <w:t>ISO 12100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Petroleum and Natural Gas Industries - Functional Safety</w:t>
            </w:r>
          </w:p>
        </w:tc>
        <w:tc>
          <w:tcPr>
            <w:tcW w:type="dxa" w:w="3259"/>
          </w:tcPr>
          <w:p>
            <w:pPr>
              <w:pStyle w:val="TableContents"/>
              <w:spacing w:before="0" w:after="0" w:line="240" w:lineRule="atLeast"/>
            </w:pPr>
            <w:r>
              <w:rPr>
                <w:rFonts w:ascii="Arial" w:hAnsi="Arial" w:cs="Arial" w:eastAsia="Arial"/>
                <w:sz w:val="16"/>
                <w:szCs w:val="16"/>
              </w:rPr>
              <w:t>ISO 10418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§44.1 and §44.2</w:t>
            </w:r>
          </w:p>
        </w:tc>
        <w:tc>
          <w:tcPr>
            <w:tcW w:type="dxa" w:w="2256"/>
          </w:tcPr>
          <w:p>
            <w:pPr>
              <w:pStyle w:val="TableContents"/>
              <w:spacing w:before="0" w:after="0" w:line="240" w:lineRule="atLeast"/>
            </w:pPr>
            <w:r>
              <w:rPr>
                <w:rFonts w:ascii="Arial" w:hAnsi="Arial" w:cs="Arial" w:eastAsia="Arial"/>
                <w:sz w:val="16"/>
                <w:szCs w:val="16"/>
              </w:rPr>
              <w:t>Defines commissioning phases, requires all HSESC management system requirements to remain in force during commissioning, and mandates a joint commissioning risk assessment workshop before commissioning activities begin.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§44.1</w:t>
            </w:r>
          </w:p>
        </w:tc>
        <w:tc>
          <w:tcPr>
            <w:tcW w:type="dxa" w:w="2256"/>
          </w:tcPr>
          <w:p>
            <w:pPr>
              <w:pStyle w:val="TableContents"/>
              <w:spacing w:before="0" w:after="0" w:line="240" w:lineRule="atLeast"/>
            </w:pPr>
            <w:r>
              <w:rPr>
                <w:rFonts w:ascii="Arial" w:hAnsi="Arial" w:cs="Arial" w:eastAsia="Arial"/>
                <w:sz w:val="16"/>
                <w:szCs w:val="16"/>
              </w:rPr>
              <w:t>Requires pre-commissioning plans covering tie-in points, isolation and energisation sequences, system completeness criteria, and joint construction and operations sign-off before any system proceeds to commissioning.</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§44.2</w:t>
            </w:r>
          </w:p>
        </w:tc>
        <w:tc>
          <w:tcPr>
            <w:tcW w:type="dxa" w:w="2256"/>
          </w:tcPr>
          <w:p>
            <w:pPr>
              <w:pStyle w:val="TableContents"/>
              <w:spacing w:before="0" w:after="0" w:line="240" w:lineRule="atLeast"/>
            </w:pPr>
            <w:r>
              <w:rPr>
                <w:rFonts w:ascii="Arial" w:hAnsi="Arial" w:cs="Arial" w:eastAsia="Arial"/>
                <w:sz w:val="16"/>
                <w:szCs w:val="16"/>
              </w:rPr>
              <w:t>Requires management of the transition of permit and PTW authority from the construction system to the operations system, including the management of dual-authority zones during simultaneous construction and commissioning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§63</w:t>
            </w:r>
          </w:p>
        </w:tc>
        <w:tc>
          <w:tcPr>
            <w:tcW w:type="dxa" w:w="2256"/>
          </w:tcPr>
          <w:p>
            <w:pPr>
              <w:pStyle w:val="TableContents"/>
              <w:spacing w:before="0" w:after="0" w:line="240" w:lineRule="atLeast"/>
            </w:pPr>
            <w:r>
              <w:rPr>
                <w:rFonts w:ascii="Arial" w:hAnsi="Arial" w:cs="Arial" w:eastAsia="Arial"/>
                <w:sz w:val="16"/>
                <w:szCs w:val="16"/>
              </w:rPr>
              <w:t>Requires all simultaneous activities during commissioning to be assessed through the project SIMOPS process using a SIMOPS Matrix updated to reflect the changed hazard profile of a commissioning environment.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§29.6</w:t>
            </w:r>
          </w:p>
        </w:tc>
        <w:tc>
          <w:tcPr>
            <w:tcW w:type="dxa" w:w="2256"/>
          </w:tcPr>
          <w:p>
            <w:pPr>
              <w:pStyle w:val="TableContents"/>
              <w:spacing w:before="0" w:after="0" w:line="240" w:lineRule="atLeast"/>
            </w:pPr>
            <w:r>
              <w:rPr>
                <w:rFonts w:ascii="Arial" w:hAnsi="Arial" w:cs="Arial" w:eastAsia="Arial"/>
                <w:sz w:val="16"/>
                <w:szCs w:val="16"/>
              </w:rPr>
              <w:t>Requires a commissioning-specific induction for all personnel transitioning from construction roles to commissioning roles or working in areas where commissioning is occurring, covering the changed risk profile and commissioning-specific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§31.4</w:t>
            </w:r>
          </w:p>
        </w:tc>
        <w:tc>
          <w:tcPr>
            <w:tcW w:type="dxa" w:w="2256"/>
          </w:tcPr>
          <w:p>
            <w:pPr>
              <w:pStyle w:val="TableContents"/>
              <w:spacing w:before="0" w:after="0" w:line="240" w:lineRule="atLeast"/>
            </w:pPr>
            <w:r>
              <w:rPr>
                <w:rFonts w:ascii="Arial" w:hAnsi="Arial" w:cs="Arial" w:eastAsia="Arial"/>
                <w:sz w:val="16"/>
                <w:szCs w:val="16"/>
              </w:rPr>
              <w:t>Requires the Emergency Response Plan to be updated before commissioning begins to address commissioning-specific emergency scenarios, and commissioning-specific emergency drills to be conducted before full-scale commissioning commences.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§4.2</w:t>
            </w:r>
          </w:p>
        </w:tc>
        <w:tc>
          <w:tcPr>
            <w:tcW w:type="dxa" w:w="2256"/>
          </w:tcPr>
          <w:p>
            <w:pPr>
              <w:pStyle w:val="TableContents"/>
              <w:spacing w:before="0" w:after="0" w:line="240" w:lineRule="atLeast"/>
            </w:pPr>
            <w:r>
              <w:rPr>
                <w:rFonts w:ascii="Arial" w:hAnsi="Arial" w:cs="Arial" w:eastAsia="Arial"/>
                <w:sz w:val="16"/>
                <w:szCs w:val="16"/>
              </w:rPr>
              <w:t>Requires identification and assessment of all significant OHS risks associated with commissioning activities and ensures construction workers not inducted into the commissioning environment are prohibited from accessing live commissioning areas.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§3.7</w:t>
            </w:r>
          </w:p>
        </w:tc>
        <w:tc>
          <w:tcPr>
            <w:tcW w:type="dxa" w:w="2256"/>
          </w:tcPr>
          <w:p>
            <w:pPr>
              <w:pStyle w:val="TableContents"/>
              <w:spacing w:before="0" w:after="0" w:line="240" w:lineRule="atLeast"/>
            </w:pPr>
            <w:r>
              <w:rPr>
                <w:rFonts w:ascii="Arial" w:hAnsi="Arial" w:cs="Arial" w:eastAsia="Arial"/>
                <w:sz w:val="16"/>
                <w:szCs w:val="16"/>
              </w:rPr>
              <w:t>Requires the Medical Emergency Plan to be reviewed and updated to account for new hazard scenarios introduced by commissioning, including process-specific first aid and medical response requirements.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Principle 5, Performance Expectation 5.1</w:t>
            </w:r>
          </w:p>
        </w:tc>
        <w:tc>
          <w:tcPr>
            <w:tcW w:type="dxa" w:w="2256"/>
          </w:tcPr>
          <w:p>
            <w:pPr>
              <w:pStyle w:val="TableContents"/>
              <w:spacing w:before="0" w:after="0" w:line="240" w:lineRule="atLeast"/>
            </w:pPr>
            <w:r>
              <w:rPr>
                <w:rFonts w:ascii="Arial" w:hAnsi="Arial" w:cs="Arial" w:eastAsia="Arial"/>
                <w:sz w:val="16"/>
                <w:szCs w:val="16"/>
              </w:rPr>
              <w:t>Requires that fatality risk management through critical control identification and verification is applied with the same rigour during commissioning as during construction, recognising that commissioning introduces new fatality scenarios.</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