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Explosives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Explosives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the safe storage, transport, handling, use, and management of explosives and explosive-related materials on or for the owner-led project. All explosives-related work requires prior authorisation. The Contractor must comply with all local rules and regulations governing explosives, and all explosives activities must be conducted by competent and authorised personnel holding current statutory licences.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explosives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Regulatory Compliance and Authorisation</w:t>
      </w:r>
    </w:p>
    <w:p>
      <w:pPr>
        <w:pStyle w:val="NormalNumberedtext"/>
      </w:pPr>
      <w:r>
        <w:t>This section defines the regulatory authorisation requirements that must be satisfied before any explosives activity commences on the project, covering licences, approvals, and storage area assessments.</w:t>
      </w:r>
    </w:p>
    <w:p>
      <w:pPr>
        <w:pStyle w:val="NormalNumberedtext"/>
      </w:pPr>
      <w:r>
        <w:t>All explosives licences and regulatory approvals required by Applicable Laws must be obtained before any explosives are transported to, stored on, or used at the project site. Copies of all licences must be held on site and provided to the Company upon request. Compliance with all local rules and regulations governing explosives is required throughout the life of the project - refer [INSERT: Project Document Number].</w:t>
      </w:r>
    </w:p>
    <w:p>
      <w:pPr>
        <w:pStyle w:val="NormalNumberedtext"/>
      </w:pPr>
      <w:r>
        <w:t>The table below records the licences and approvals required for this project. All entries must be completed and confirmed before any explosives are transported to site:</w:t>
      </w:r>
    </w:p>
    <w:p>
      <w:pPr>
        <w:pStyle w:val="NormalNumberedtext"/>
      </w:pPr>
      <w:r>
        <w:t>Table 1: Explosives Licences and Regulatory Approvals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Licence / Approval Type</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Issuing Authority</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Licence Number</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Issue Date</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Expiry Date</w:t>
            </w:r>
          </w:p>
        </w:tc>
        <w:tc>
          <w:tcPr>
            <w:shd w:val="clear" w:color="auto" w:fill="1F3864"/>
            <w:tcW w:type="dxa" w:w="1632"/>
          </w:tcPr>
          <w:p>
            <w:pPr>
              <w:pStyle w:val="TableContents"/>
              <w:spacing w:before="0" w:after="0" w:line="240" w:lineRule="atLeast"/>
            </w:pPr>
            <w:r>
              <w:rPr>
                <w:rFonts w:ascii="Arial" w:hAnsi="Arial" w:cs="Arial" w:eastAsia="Arial"/>
                <w:b/>
                <w:bCs/>
                <w:color w:val="FFFFFF"/>
                <w:sz w:val="16"/>
                <w:szCs w:val="16"/>
              </w:rPr>
              <w:t>Held On Site (Y/N)</w:t>
            </w:r>
          </w:p>
        </w:tc>
      </w:tr>
      <w:tr>
        <w:tc>
          <w:tcPr>
            <w:tcW w:type="dxa" w:w="1629"/>
          </w:tcPr>
          <w:p>
            <w:pPr>
              <w:pStyle w:val="TableContents"/>
              <w:spacing w:before="0" w:after="0" w:line="240" w:lineRule="atLeast"/>
            </w:pPr>
            <w:r>
              <w:rPr>
                <w:rFonts w:ascii="Arial" w:hAnsi="Arial" w:cs="Arial" w:eastAsia="Arial"/>
                <w:sz w:val="16"/>
                <w:szCs w:val="16"/>
              </w:rPr>
              <w:t>Explosives storage licence</w:t>
            </w:r>
          </w:p>
        </w:tc>
        <w:tc>
          <w:tcPr>
            <w:tcW w:type="dxa" w:w="1629"/>
          </w:tcPr>
          <w:p>
            <w:pPr>
              <w:pStyle w:val="TableContents"/>
              <w:spacing w:before="0" w:after="0" w:line="240" w:lineRule="atLeast"/>
            </w:pPr>
            <w:r>
              <w:rPr>
                <w:rFonts w:ascii="Arial" w:hAnsi="Arial" w:cs="Arial" w:eastAsia="Arial"/>
                <w:b/>
                <w:bCs/>
                <w:color w:val="0059D1"/>
                <w:sz w:val="16"/>
                <w:szCs w:val="16"/>
              </w:rPr>
              <w:t>[INSERT: issuing authority]</w:t>
            </w:r>
          </w:p>
        </w:tc>
        <w:tc>
          <w:tcPr>
            <w:tcW w:type="dxa" w:w="1629"/>
          </w:tcPr>
          <w:p>
            <w:pPr>
              <w:pStyle w:val="TableContents"/>
              <w:spacing w:before="0" w:after="0" w:line="240" w:lineRule="atLeast"/>
            </w:pPr>
            <w:r>
              <w:rPr>
                <w:rFonts w:ascii="Arial" w:hAnsi="Arial" w:cs="Arial" w:eastAsia="Arial"/>
                <w:b/>
                <w:bCs/>
                <w:color w:val="0059D1"/>
                <w:sz w:val="16"/>
                <w:szCs w:val="16"/>
              </w:rPr>
              <w:t>[INSERT: licence number]</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32"/>
          </w:tcPr>
          <w:p>
            <w:pPr>
              <w:pStyle w:val="TableContents"/>
              <w:spacing w:before="0" w:after="0" w:line="240" w:lineRule="atLeast"/>
            </w:pPr>
            <w:r>
              <w:rPr>
                <w:rFonts w:ascii="Arial" w:hAnsi="Arial" w:cs="Arial" w:eastAsia="Arial"/>
                <w:b/>
                <w:bCs/>
                <w:color w:val="0059D1"/>
                <w:sz w:val="16"/>
                <w:szCs w:val="16"/>
              </w:rPr>
              <w:t>[INSERT: Y/N]</w:t>
            </w:r>
          </w:p>
        </w:tc>
      </w:tr>
      <w:tr>
        <w:tc>
          <w:tcPr>
            <w:tcW w:type="dxa" w:w="1629"/>
          </w:tcPr>
          <w:p>
            <w:pPr>
              <w:pStyle w:val="TableContents"/>
              <w:spacing w:before="0" w:after="0" w:line="240" w:lineRule="atLeast"/>
            </w:pPr>
            <w:r>
              <w:rPr>
                <w:rFonts w:ascii="Arial" w:hAnsi="Arial" w:cs="Arial" w:eastAsia="Arial"/>
                <w:sz w:val="16"/>
                <w:szCs w:val="16"/>
              </w:rPr>
              <w:t>Explosives use / blasting licence</w:t>
            </w:r>
          </w:p>
        </w:tc>
        <w:tc>
          <w:tcPr>
            <w:tcW w:type="dxa" w:w="1629"/>
          </w:tcPr>
          <w:p>
            <w:pPr>
              <w:pStyle w:val="TableContents"/>
              <w:spacing w:before="0" w:after="0" w:line="240" w:lineRule="atLeast"/>
            </w:pPr>
            <w:r>
              <w:rPr>
                <w:rFonts w:ascii="Arial" w:hAnsi="Arial" w:cs="Arial" w:eastAsia="Arial"/>
                <w:b/>
                <w:bCs/>
                <w:color w:val="0059D1"/>
                <w:sz w:val="16"/>
                <w:szCs w:val="16"/>
              </w:rPr>
              <w:t>[INSERT: issuing authority]</w:t>
            </w:r>
          </w:p>
        </w:tc>
        <w:tc>
          <w:tcPr>
            <w:tcW w:type="dxa" w:w="1629"/>
          </w:tcPr>
          <w:p>
            <w:pPr>
              <w:pStyle w:val="TableContents"/>
              <w:spacing w:before="0" w:after="0" w:line="240" w:lineRule="atLeast"/>
            </w:pPr>
            <w:r>
              <w:rPr>
                <w:rFonts w:ascii="Arial" w:hAnsi="Arial" w:cs="Arial" w:eastAsia="Arial"/>
                <w:b/>
                <w:bCs/>
                <w:color w:val="0059D1"/>
                <w:sz w:val="16"/>
                <w:szCs w:val="16"/>
              </w:rPr>
              <w:t>[INSERT: licence number]</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32"/>
          </w:tcPr>
          <w:p>
            <w:pPr>
              <w:pStyle w:val="TableContents"/>
              <w:spacing w:before="0" w:after="0" w:line="240" w:lineRule="atLeast"/>
            </w:pPr>
            <w:r>
              <w:rPr>
                <w:rFonts w:ascii="Arial" w:hAnsi="Arial" w:cs="Arial" w:eastAsia="Arial"/>
                <w:b/>
                <w:bCs/>
                <w:color w:val="0059D1"/>
                <w:sz w:val="16"/>
                <w:szCs w:val="16"/>
              </w:rPr>
              <w:t>[INSERT: Y/N]</w:t>
            </w:r>
          </w:p>
        </w:tc>
      </w:tr>
      <w:tr>
        <w:tc>
          <w:tcPr>
            <w:tcW w:type="dxa" w:w="1629"/>
          </w:tcPr>
          <w:p>
            <w:pPr>
              <w:pStyle w:val="TableContents"/>
              <w:spacing w:before="0" w:after="0" w:line="240" w:lineRule="atLeast"/>
            </w:pPr>
            <w:r>
              <w:rPr>
                <w:rFonts w:ascii="Arial" w:hAnsi="Arial" w:cs="Arial" w:eastAsia="Arial"/>
                <w:sz w:val="16"/>
                <w:szCs w:val="16"/>
              </w:rPr>
              <w:t>Dangerous goods transport approval</w:t>
            </w:r>
          </w:p>
        </w:tc>
        <w:tc>
          <w:tcPr>
            <w:tcW w:type="dxa" w:w="1629"/>
          </w:tcPr>
          <w:p>
            <w:pPr>
              <w:pStyle w:val="TableContents"/>
              <w:spacing w:before="0" w:after="0" w:line="240" w:lineRule="atLeast"/>
            </w:pPr>
            <w:r>
              <w:rPr>
                <w:rFonts w:ascii="Arial" w:hAnsi="Arial" w:cs="Arial" w:eastAsia="Arial"/>
                <w:b/>
                <w:bCs/>
                <w:color w:val="0059D1"/>
                <w:sz w:val="16"/>
                <w:szCs w:val="16"/>
              </w:rPr>
              <w:t>[INSERT: issuing authority]</w:t>
            </w:r>
          </w:p>
        </w:tc>
        <w:tc>
          <w:tcPr>
            <w:tcW w:type="dxa" w:w="1629"/>
          </w:tcPr>
          <w:p>
            <w:pPr>
              <w:pStyle w:val="TableContents"/>
              <w:spacing w:before="0" w:after="0" w:line="240" w:lineRule="atLeast"/>
            </w:pPr>
            <w:r>
              <w:rPr>
                <w:rFonts w:ascii="Arial" w:hAnsi="Arial" w:cs="Arial" w:eastAsia="Arial"/>
                <w:b/>
                <w:bCs/>
                <w:color w:val="0059D1"/>
                <w:sz w:val="16"/>
                <w:szCs w:val="16"/>
              </w:rPr>
              <w:t>[INSERT: licence number]</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32"/>
          </w:tcPr>
          <w:p>
            <w:pPr>
              <w:pStyle w:val="TableContents"/>
              <w:spacing w:before="0" w:after="0" w:line="240" w:lineRule="atLeast"/>
            </w:pPr>
            <w:r>
              <w:rPr>
                <w:rFonts w:ascii="Arial" w:hAnsi="Arial" w:cs="Arial" w:eastAsia="Arial"/>
                <w:b/>
                <w:bCs/>
                <w:color w:val="0059D1"/>
                <w:sz w:val="16"/>
                <w:szCs w:val="16"/>
              </w:rPr>
              <w:t>[INSERT: Y/N]</w:t>
            </w:r>
          </w:p>
        </w:tc>
      </w:tr>
      <w:tr>
        <w:tc>
          <w:tcPr>
            <w:tcW w:type="dxa" w:w="1629"/>
          </w:tcPr>
          <w:p>
            <w:pPr>
              <w:pStyle w:val="TableContents"/>
              <w:spacing w:before="0" w:after="0" w:line="240" w:lineRule="atLeast"/>
            </w:pPr>
            <w:r>
              <w:rPr>
                <w:rFonts w:ascii="Arial" w:hAnsi="Arial" w:cs="Arial" w:eastAsia="Arial"/>
                <w:sz w:val="16"/>
                <w:szCs w:val="16"/>
              </w:rPr>
              <w:t>Ammonium nitrate storage approval</w:t>
            </w:r>
          </w:p>
        </w:tc>
        <w:tc>
          <w:tcPr>
            <w:tcW w:type="dxa" w:w="1629"/>
          </w:tcPr>
          <w:p>
            <w:pPr>
              <w:pStyle w:val="TableContents"/>
              <w:spacing w:before="0" w:after="0" w:line="240" w:lineRule="atLeast"/>
            </w:pPr>
            <w:r>
              <w:rPr>
                <w:rFonts w:ascii="Arial" w:hAnsi="Arial" w:cs="Arial" w:eastAsia="Arial"/>
                <w:b/>
                <w:bCs/>
                <w:color w:val="0059D1"/>
                <w:sz w:val="16"/>
                <w:szCs w:val="16"/>
              </w:rPr>
              <w:t>[INSERT: issuing authority]</w:t>
            </w:r>
          </w:p>
        </w:tc>
        <w:tc>
          <w:tcPr>
            <w:tcW w:type="dxa" w:w="1629"/>
          </w:tcPr>
          <w:p>
            <w:pPr>
              <w:pStyle w:val="TableContents"/>
              <w:spacing w:before="0" w:after="0" w:line="240" w:lineRule="atLeast"/>
            </w:pPr>
            <w:r>
              <w:rPr>
                <w:rFonts w:ascii="Arial" w:hAnsi="Arial" w:cs="Arial" w:eastAsia="Arial"/>
                <w:b/>
                <w:bCs/>
                <w:color w:val="0059D1"/>
                <w:sz w:val="16"/>
                <w:szCs w:val="16"/>
              </w:rPr>
              <w:t>[INSERT: licence number]</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32"/>
          </w:tcPr>
          <w:p>
            <w:pPr>
              <w:pStyle w:val="TableContents"/>
              <w:spacing w:before="0" w:after="0" w:line="240" w:lineRule="atLeast"/>
            </w:pPr>
            <w:r>
              <w:rPr>
                <w:rFonts w:ascii="Arial" w:hAnsi="Arial" w:cs="Arial" w:eastAsia="Arial"/>
                <w:b/>
                <w:bCs/>
                <w:color w:val="0059D1"/>
                <w:sz w:val="16"/>
                <w:szCs w:val="16"/>
              </w:rPr>
              <w:t>[INSERT: Y/N]</w:t>
            </w:r>
          </w:p>
        </w:tc>
      </w:tr>
      <w:tr>
        <w:tc>
          <w:tcPr>
            <w:tcW w:type="dxa" w:w="1629"/>
          </w:tcPr>
          <w:p>
            <w:pPr>
              <w:pStyle w:val="TableContents"/>
              <w:spacing w:before="0" w:after="0" w:line="240" w:lineRule="atLeast"/>
            </w:pPr>
            <w:r>
              <w:rPr>
                <w:rFonts w:ascii="Arial" w:hAnsi="Arial" w:cs="Arial" w:eastAsia="Arial"/>
                <w:sz w:val="16"/>
                <w:szCs w:val="16"/>
              </w:rPr>
              <w:t>Detonator storage licence</w:t>
            </w:r>
          </w:p>
        </w:tc>
        <w:tc>
          <w:tcPr>
            <w:tcW w:type="dxa" w:w="1629"/>
          </w:tcPr>
          <w:p>
            <w:pPr>
              <w:pStyle w:val="TableContents"/>
              <w:spacing w:before="0" w:after="0" w:line="240" w:lineRule="atLeast"/>
            </w:pPr>
            <w:r>
              <w:rPr>
                <w:rFonts w:ascii="Arial" w:hAnsi="Arial" w:cs="Arial" w:eastAsia="Arial"/>
                <w:b/>
                <w:bCs/>
                <w:color w:val="0059D1"/>
                <w:sz w:val="16"/>
                <w:szCs w:val="16"/>
              </w:rPr>
              <w:t>[INSERT: issuing authority]</w:t>
            </w:r>
          </w:p>
        </w:tc>
        <w:tc>
          <w:tcPr>
            <w:tcW w:type="dxa" w:w="1629"/>
          </w:tcPr>
          <w:p>
            <w:pPr>
              <w:pStyle w:val="TableContents"/>
              <w:spacing w:before="0" w:after="0" w:line="240" w:lineRule="atLeast"/>
            </w:pPr>
            <w:r>
              <w:rPr>
                <w:rFonts w:ascii="Arial" w:hAnsi="Arial" w:cs="Arial" w:eastAsia="Arial"/>
                <w:b/>
                <w:bCs/>
                <w:color w:val="0059D1"/>
                <w:sz w:val="16"/>
                <w:szCs w:val="16"/>
              </w:rPr>
              <w:t>[INSERT: licence number]</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32"/>
          </w:tcPr>
          <w:p>
            <w:pPr>
              <w:pStyle w:val="TableContents"/>
              <w:spacing w:before="0" w:after="0" w:line="240" w:lineRule="atLeast"/>
            </w:pPr>
            <w:r>
              <w:rPr>
                <w:rFonts w:ascii="Arial" w:hAnsi="Arial" w:cs="Arial" w:eastAsia="Arial"/>
                <w:b/>
                <w:bCs/>
                <w:color w:val="0059D1"/>
                <w:sz w:val="16"/>
                <w:szCs w:val="16"/>
              </w:rPr>
              <w:t>[INSERT: Y/N]</w:t>
            </w:r>
          </w:p>
        </w:tc>
      </w:tr>
      <w:tr>
        <w:tc>
          <w:tcPr>
            <w:tcW w:type="dxa" w:w="1629"/>
          </w:tcPr>
          <w:p>
            <w:pPr>
              <w:pStyle w:val="TableContents"/>
              <w:spacing w:before="0" w:after="0" w:line="240" w:lineRule="atLeast"/>
            </w:pPr>
            <w:r>
              <w:rPr>
                <w:rFonts w:ascii="Arial" w:hAnsi="Arial" w:cs="Arial" w:eastAsia="Arial"/>
                <w:b/>
                <w:bCs/>
                <w:color w:val="0059D1"/>
                <w:sz w:val="16"/>
                <w:szCs w:val="16"/>
              </w:rPr>
              <w:t>[INSERT: additional licence type]</w:t>
            </w:r>
          </w:p>
        </w:tc>
        <w:tc>
          <w:tcPr>
            <w:tcW w:type="dxa" w:w="1629"/>
          </w:tcPr>
          <w:p>
            <w:pPr>
              <w:pStyle w:val="TableContents"/>
              <w:spacing w:before="0" w:after="0" w:line="240" w:lineRule="atLeast"/>
            </w:pPr>
            <w:r>
              <w:rPr>
                <w:rFonts w:ascii="Arial" w:hAnsi="Arial" w:cs="Arial" w:eastAsia="Arial"/>
                <w:b/>
                <w:bCs/>
                <w:color w:val="0059D1"/>
                <w:sz w:val="16"/>
                <w:szCs w:val="16"/>
              </w:rPr>
              <w:t>[INSERT: issuing authority]</w:t>
            </w:r>
          </w:p>
        </w:tc>
        <w:tc>
          <w:tcPr>
            <w:tcW w:type="dxa" w:w="1629"/>
          </w:tcPr>
          <w:p>
            <w:pPr>
              <w:pStyle w:val="TableContents"/>
              <w:spacing w:before="0" w:after="0" w:line="240" w:lineRule="atLeast"/>
            </w:pPr>
            <w:r>
              <w:rPr>
                <w:rFonts w:ascii="Arial" w:hAnsi="Arial" w:cs="Arial" w:eastAsia="Arial"/>
                <w:b/>
                <w:bCs/>
                <w:color w:val="0059D1"/>
                <w:sz w:val="16"/>
                <w:szCs w:val="16"/>
              </w:rPr>
              <w:t>[INSERT: licence number]</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32"/>
          </w:tcPr>
          <w:p>
            <w:pPr>
              <w:pStyle w:val="TableContents"/>
              <w:spacing w:before="0" w:after="0" w:line="240" w:lineRule="atLeast"/>
            </w:pPr>
            <w:r>
              <w:rPr>
                <w:rFonts w:ascii="Arial" w:hAnsi="Arial" w:cs="Arial" w:eastAsia="Arial"/>
                <w:b/>
                <w:bCs/>
                <w:color w:val="0059D1"/>
                <w:sz w:val="16"/>
                <w:szCs w:val="16"/>
              </w:rPr>
              <w:t>[INSERT: Y/N]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 ITEM 2: Identify and document all regulatory licences and approvals required for explosives activities in the project jurisdiction. Confirm that all licences are in place before any explosives are transported to site. Insert licence numbers and expiry dates into Table 1 above.</w:t>
            </w:r>
          </w:p>
        </w:tc>
      </w:tr>
    </w:tbl>
    <w:p>
      <w:pPr>
        <w:pStyle w:val="NormalNumberedtext"/>
      </w:pPr>
    </w:p>
    <w:p>
      <w:pPr>
        <w:pStyle w:val="NormalNumberedtext"/>
      </w:pPr>
      <w:r>
        <w:t>All dangerous goods storage areas including explosives, ammonium nitrate, and detonators must be assessed, approved, and appropriately licensed in accordance with Applicable Laws before use. No storage area may receive or hold explosive materials until the relevant approval is confirmed and recorded in Table 1.</w:t>
      </w:r>
    </w:p>
    <w:p>
      <w:pPr>
        <w:pStyle w:val="NormalNumberedtext"/>
      </w:pPr>
    </w:p>
    <w:p>
      <w:pPr>
        <w:pStyle w:val="Heading1Numbered"/>
        <w:numPr>
          <w:ilvl w:val="0"/>
          <w:numId w:val="1"/>
        </w:numPr>
      </w:pPr>
      <w:r>
        <w:rPr>
          <w:rFonts w:ascii="Arial" w:hAnsi="Arial" w:cs="Arial" w:eastAsia="Arial"/>
        </w:rPr>
        <w:t>Explosives Management Plan</w:t>
      </w:r>
    </w:p>
    <w:p>
      <w:pPr>
        <w:pStyle w:val="NormalNumberedtext"/>
      </w:pPr>
      <w:r>
        <w:t>This section defines the requirement for a site-specific Explosives Management Plan and prescribes the minimum content that plan must address for this project.</w:t>
      </w:r>
    </w:p>
    <w:p>
      <w:pPr>
        <w:pStyle w:val="NormalNumberedtext"/>
      </w:pPr>
      <w:r>
        <w:t>An Explosives Management Plan must be developed and maintained for this project, covering all phases of explosives activity from first receipt to final reconciliation and demobilisation. The plan must be submitted to the Company for review and approval before any explosives are brought to site.</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 ITEM 1: Confirm whether explosives are within scope for this project. If yes, identify all explosives activities planned, the types of explosives and detonators to be used, and the quantities. Insert this information into the Explosives Management Plan.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 ITEM 3: Develop the site-specific Explosives Management Plan for this project covering all sections required by this procedure. Submit to the Company for review before any explosives are brought to site.</w:t>
            </w:r>
          </w:p>
        </w:tc>
      </w:tr>
    </w:tbl>
    <w:p>
      <w:pPr>
        <w:pStyle w:val="NormalNumberedtext"/>
      </w:pPr>
    </w:p>
    <w:p>
      <w:pPr>
        <w:pStyle w:val="NormalNumberedtext"/>
      </w:pPr>
      <w:r>
        <w:t>The Explosives Management Plan must address, as a minimum, the following elements:</w:t>
      </w:r>
    </w:p>
    <w:p>
      <w:pPr>
        <w:pStyle w:val="NumberedBulletL1"/>
      </w:pPr>
      <w:r>
        <w:t>Transport of explosives to site and on-site movement, including vehicle requirements, routes, and separation of explosives from detonators</w:t>
      </w:r>
    </w:p>
    <w:p>
      <w:pPr>
        <w:pStyle w:val="NumberedBulletL1"/>
      </w:pPr>
      <w:r>
        <w:t>Storage of explosives and detonators, including magazine construction, positioning, and access controls</w:t>
      </w:r>
    </w:p>
    <w:p>
      <w:pPr>
        <w:pStyle w:val="NumberedBulletL1"/>
      </w:pPr>
      <w:r>
        <w:t>Controlled access to explosive storage areas, including personnel authorisation and key management</w:t>
      </w:r>
    </w:p>
    <w:p>
      <w:pPr>
        <w:pStyle w:val="NumberedBulletL1"/>
      </w:pPr>
      <w:r>
        <w:t>On-site manufacture and mixing where applicable, including risk assessment and documented procedure requirements</w:t>
      </w:r>
    </w:p>
    <w:p>
      <w:pPr>
        <w:pStyle w:val="NumberedBulletL1"/>
      </w:pPr>
      <w:r>
        <w:t>Handling and preparation for use, including competency requirements for shot firers and explosives handlers - refer [INSERT: Project Document Number]</w:t>
      </w:r>
    </w:p>
    <w:p>
      <w:pPr>
        <w:pStyle w:val="NumberedBulletL1"/>
      </w:pPr>
      <w:r>
        <w:t>Blast design and initiation, including blast exclusion zone risk assessment - refer [INSERT: Project Document Number]</w:t>
      </w:r>
    </w:p>
    <w:p>
      <w:pPr>
        <w:pStyle w:val="NumberedBulletL1"/>
      </w:pPr>
      <w:r>
        <w:t>Management of misfires, including immediate response, waiting times, and reporting obligations</w:t>
      </w:r>
    </w:p>
    <w:p>
      <w:pPr>
        <w:pStyle w:val="NumberedBulletL1"/>
      </w:pPr>
      <w:r>
        <w:t>Reconciliation, transfer of ownership, and quality control, including daily stock records and signed transfer documentation</w:t>
      </w:r>
    </w:p>
    <w:p>
      <w:pPr>
        <w:pStyle w:val="NumberedBulletL1"/>
      </w:pPr>
      <w:r>
        <w:t>Record-keeping, including retention periods for all explosives records</w:t>
      </w:r>
    </w:p>
    <w:p>
      <w:pPr>
        <w:pStyle w:val="NumberedBulletL1"/>
      </w:pPr>
      <w:r>
        <w:t>Emergency response for explosive incident scenarios - refer [INSERT: Project Document Number]</w:t>
      </w:r>
    </w:p>
    <w:p>
      <w:pPr>
        <w:pStyle w:val="Normal"/>
      </w:pPr>
      <w:r>
        <w:rPr>
          <w:b/>
          <w:bCs/>
          <w:color w:val="0059D1"/>
        </w:rPr>
        <w:t>[INSERT: additional_emp_elements]</w:t>
      </w:r>
    </w:p>
    <w:p>
      <w:pPr>
        <w:pStyle w:val="NormalNumberedtext"/>
      </w:pPr>
      <w:r>
        <w:t>Table 2: Explosives Activities and Materials Planned for This Project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Explosives Activity</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Explosive Type / Product</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Detonator Type</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Estimated Quantity</w:t>
            </w:r>
          </w:p>
        </w:tc>
        <w:tc>
          <w:tcPr>
            <w:shd w:val="clear" w:color="auto" w:fill="1F3864"/>
            <w:tcW w:type="dxa" w:w="1957"/>
          </w:tcPr>
          <w:p>
            <w:pPr>
              <w:pStyle w:val="TableContents"/>
              <w:spacing w:before="0" w:after="0" w:line="240" w:lineRule="atLeast"/>
            </w:pPr>
            <w:r>
              <w:rPr>
                <w:rFonts w:ascii="Arial" w:hAnsi="Arial" w:cs="Arial" w:eastAsia="Arial"/>
                <w:b/>
                <w:bCs/>
                <w:color w:val="FFFFFF"/>
                <w:sz w:val="16"/>
                <w:szCs w:val="16"/>
              </w:rPr>
              <w:t>Activity Phase</w:t>
            </w:r>
          </w:p>
        </w:tc>
      </w:tr>
      <w:tr>
        <w:tc>
          <w:tcPr>
            <w:tcW w:type="dxa" w:w="1955"/>
          </w:tcPr>
          <w:p>
            <w:pPr>
              <w:pStyle w:val="TableContents"/>
              <w:spacing w:before="0" w:after="0" w:line="240" w:lineRule="atLeast"/>
            </w:pPr>
            <w:r>
              <w:rPr>
                <w:rFonts w:ascii="Arial" w:hAnsi="Arial" w:cs="Arial" w:eastAsia="Arial"/>
                <w:b/>
                <w:bCs/>
                <w:color w:val="0059D1"/>
                <w:sz w:val="16"/>
                <w:szCs w:val="16"/>
              </w:rPr>
              <w:t>[INSERT: activity, e.g. bulk excavation blasting]</w:t>
            </w:r>
          </w:p>
        </w:tc>
        <w:tc>
          <w:tcPr>
            <w:tcW w:type="dxa" w:w="1955"/>
          </w:tcPr>
          <w:p>
            <w:pPr>
              <w:pStyle w:val="TableContents"/>
              <w:spacing w:before="0" w:after="0" w:line="240" w:lineRule="atLeast"/>
            </w:pPr>
            <w:r>
              <w:rPr>
                <w:rFonts w:ascii="Arial" w:hAnsi="Arial" w:cs="Arial" w:eastAsia="Arial"/>
                <w:b/>
                <w:bCs/>
                <w:color w:val="0059D1"/>
                <w:sz w:val="16"/>
                <w:szCs w:val="16"/>
              </w:rPr>
              <w:t>[INSERT: product name]</w:t>
            </w:r>
          </w:p>
        </w:tc>
        <w:tc>
          <w:tcPr>
            <w:tcW w:type="dxa" w:w="1955"/>
          </w:tcPr>
          <w:p>
            <w:pPr>
              <w:pStyle w:val="TableContents"/>
              <w:spacing w:before="0" w:after="0" w:line="240" w:lineRule="atLeast"/>
            </w:pPr>
            <w:r>
              <w:rPr>
                <w:rFonts w:ascii="Arial" w:hAnsi="Arial" w:cs="Arial" w:eastAsia="Arial"/>
                <w:b/>
                <w:bCs/>
                <w:color w:val="0059D1"/>
                <w:sz w:val="16"/>
                <w:szCs w:val="16"/>
              </w:rPr>
              <w:t>[INSERT: detonator type]</w:t>
            </w:r>
          </w:p>
        </w:tc>
        <w:tc>
          <w:tcPr>
            <w:tcW w:type="dxa" w:w="1955"/>
          </w:tcPr>
          <w:p>
            <w:pPr>
              <w:pStyle w:val="TableContents"/>
              <w:spacing w:before="0" w:after="0" w:line="240" w:lineRule="atLeast"/>
            </w:pPr>
            <w:r>
              <w:rPr>
                <w:rFonts w:ascii="Arial" w:hAnsi="Arial" w:cs="Arial" w:eastAsia="Arial"/>
                <w:b/>
                <w:bCs/>
                <w:color w:val="0059D1"/>
                <w:sz w:val="16"/>
                <w:szCs w:val="16"/>
              </w:rPr>
              <w:t>[INSERT: quantity and unit]</w:t>
            </w:r>
          </w:p>
        </w:tc>
        <w:tc>
          <w:tcPr>
            <w:tcW w:type="dxa" w:w="1957"/>
          </w:tcPr>
          <w:p>
            <w:pPr>
              <w:pStyle w:val="TableContents"/>
              <w:spacing w:before="0" w:after="0" w:line="240" w:lineRule="atLeast"/>
            </w:pPr>
            <w:r>
              <w:rPr>
                <w:rFonts w:ascii="Arial" w:hAnsi="Arial" w:cs="Arial" w:eastAsia="Arial"/>
                <w:b/>
                <w:bCs/>
                <w:color w:val="0059D1"/>
                <w:sz w:val="16"/>
                <w:szCs w:val="16"/>
              </w:rPr>
              <w:t>[INSERT: project phase]</w:t>
            </w:r>
          </w:p>
        </w:tc>
      </w:tr>
      <w:tr>
        <w:tc>
          <w:tcPr>
            <w:tcW w:type="dxa" w:w="1955"/>
          </w:tcPr>
          <w:p>
            <w:pPr>
              <w:pStyle w:val="TableContents"/>
              <w:spacing w:before="0" w:after="0" w:line="240" w:lineRule="atLeast"/>
            </w:pPr>
            <w:r>
              <w:rPr>
                <w:rFonts w:ascii="Arial" w:hAnsi="Arial" w:cs="Arial" w:eastAsia="Arial"/>
                <w:b/>
                <w:bCs/>
                <w:color w:val="0059D1"/>
                <w:sz w:val="16"/>
                <w:szCs w:val="16"/>
              </w:rPr>
              <w:t>[INSERT: activity]</w:t>
            </w:r>
          </w:p>
        </w:tc>
        <w:tc>
          <w:tcPr>
            <w:tcW w:type="dxa" w:w="1955"/>
          </w:tcPr>
          <w:p>
            <w:pPr>
              <w:pStyle w:val="TableContents"/>
              <w:spacing w:before="0" w:after="0" w:line="240" w:lineRule="atLeast"/>
            </w:pPr>
            <w:r>
              <w:rPr>
                <w:rFonts w:ascii="Arial" w:hAnsi="Arial" w:cs="Arial" w:eastAsia="Arial"/>
                <w:b/>
                <w:bCs/>
                <w:color w:val="0059D1"/>
                <w:sz w:val="16"/>
                <w:szCs w:val="16"/>
              </w:rPr>
              <w:t>[INSERT: product name]</w:t>
            </w:r>
          </w:p>
        </w:tc>
        <w:tc>
          <w:tcPr>
            <w:tcW w:type="dxa" w:w="1955"/>
          </w:tcPr>
          <w:p>
            <w:pPr>
              <w:pStyle w:val="TableContents"/>
              <w:spacing w:before="0" w:after="0" w:line="240" w:lineRule="atLeast"/>
            </w:pPr>
            <w:r>
              <w:rPr>
                <w:rFonts w:ascii="Arial" w:hAnsi="Arial" w:cs="Arial" w:eastAsia="Arial"/>
                <w:b/>
                <w:bCs/>
                <w:color w:val="0059D1"/>
                <w:sz w:val="16"/>
                <w:szCs w:val="16"/>
              </w:rPr>
              <w:t>[INSERT: detonator type]</w:t>
            </w:r>
          </w:p>
        </w:tc>
        <w:tc>
          <w:tcPr>
            <w:tcW w:type="dxa" w:w="1955"/>
          </w:tcPr>
          <w:p>
            <w:pPr>
              <w:pStyle w:val="TableContents"/>
              <w:spacing w:before="0" w:after="0" w:line="240" w:lineRule="atLeast"/>
            </w:pPr>
            <w:r>
              <w:rPr>
                <w:rFonts w:ascii="Arial" w:hAnsi="Arial" w:cs="Arial" w:eastAsia="Arial"/>
                <w:b/>
                <w:bCs/>
                <w:color w:val="0059D1"/>
                <w:sz w:val="16"/>
                <w:szCs w:val="16"/>
              </w:rPr>
              <w:t>[INSERT: quantity and unit]</w:t>
            </w:r>
          </w:p>
        </w:tc>
        <w:tc>
          <w:tcPr>
            <w:tcW w:type="dxa" w:w="1957"/>
          </w:tcPr>
          <w:p>
            <w:pPr>
              <w:pStyle w:val="TableContents"/>
              <w:spacing w:before="0" w:after="0" w:line="240" w:lineRule="atLeast"/>
            </w:pPr>
            <w:r>
              <w:rPr>
                <w:rFonts w:ascii="Arial" w:hAnsi="Arial" w:cs="Arial" w:eastAsia="Arial"/>
                <w:b/>
                <w:bCs/>
                <w:color w:val="0059D1"/>
                <w:sz w:val="16"/>
                <w:szCs w:val="16"/>
              </w:rPr>
              <w:t>[INSERT: project phase]</w:t>
            </w:r>
          </w:p>
        </w:tc>
      </w:tr>
    </w:tbl>
    <w:p>
      <w:pPr>
        <w:pStyle w:val="NormalNumberedtext"/>
      </w:pPr>
    </w:p>
    <w:p>
      <w:pPr>
        <w:pStyle w:val="Heading1Numbered"/>
        <w:numPr>
          <w:ilvl w:val="0"/>
          <w:numId w:val="1"/>
        </w:numPr>
      </w:pPr>
      <w:r>
        <w:rPr>
          <w:rFonts w:ascii="Arial" w:hAnsi="Arial" w:cs="Arial" w:eastAsia="Arial"/>
        </w:rPr>
        <w:t>Transport</w:t>
      </w:r>
    </w:p>
    <w:p>
      <w:pPr>
        <w:pStyle w:val="NormalNumberedtext"/>
      </w:pPr>
      <w:r>
        <w:t>This section defines the transport requirements for all movements of explosives to site and within the site, including vehicle, personnel, and documentation requirements.</w:t>
      </w:r>
    </w:p>
    <w:p>
      <w:pPr>
        <w:pStyle w:val="NormalNumberedtext"/>
      </w:pPr>
      <w:r>
        <w:t>All transport of explosives to site and all on-site movement of explosives must comply with applicable dangerous goods transport regulations. A documented transport risk assessment must be completed and approved before any explosives movement commences - refer [INSERT: Project Document Number].</w:t>
      </w:r>
    </w:p>
    <w:p>
      <w:pPr>
        <w:pStyle w:val="NormalNumberedtext"/>
      </w:pPr>
      <w:r>
        <w:t>All vehicles transporting explosives must meet the following requirements:</w:t>
      </w:r>
    </w:p>
    <w:p>
      <w:pPr>
        <w:pStyle w:val="NumberedBulletL1"/>
      </w:pPr>
      <w:r>
        <w:t>The vehicle must be appropriate for the type and quantity of explosive load being carried</w:t>
      </w:r>
    </w:p>
    <w:p>
      <w:pPr>
        <w:pStyle w:val="NumberedBulletL1"/>
      </w:pPr>
      <w:r>
        <w:t>The vehicle must be fitted with all safety equipment required by applicable dangerous goods transport regulations</w:t>
      </w:r>
    </w:p>
    <w:p>
      <w:pPr>
        <w:pStyle w:val="NumberedBulletL1"/>
      </w:pPr>
      <w:r>
        <w:rPr>
          <w:color w:val="C55A11"/>
        </w:rPr>
        <w:t>Required safety equipment includes, as a minimum: fire extinguisher, first aid kit, approved hazardous materials placards, and emergency response guide</w:t>
      </w:r>
    </w:p>
    <w:p>
      <w:pPr>
        <w:pStyle w:val="NumberedBulletL1"/>
      </w:pPr>
      <w:r>
        <w:t>The vehicle must be operated by personnel who hold the relevant dangerous goods transport licence or certification required in the project jurisdiction - refer [INSERT: Project Document Number]</w:t>
      </w:r>
    </w:p>
    <w:p>
      <w:pPr>
        <w:pStyle w:val="NumberedBulletL1"/>
      </w:pPr>
      <w:r>
        <w:t>Explosives and detonators must be transported separately in compliance with regulatory separation requirements and must never be carried in the same compartment or on the same vehicle unless permitted by Applicable Laws and approved in the transport risk assessment</w:t>
      </w:r>
    </w:p>
    <w:p>
      <w:pPr>
        <w:pStyle w:val="NormalNumberedtext"/>
      </w:pPr>
      <w:r>
        <w:t>On-site movement of explosives must follow approved routes documented in the Explosives Management Plan. The shot firer or authorised explosives handler supervises all on-site movements and confirms delivery quantities against the daily stock reconciliation record before explosives are placed in storage or taken to the blast area.</w:t>
      </w:r>
    </w:p>
    <w:p>
      <w:pPr>
        <w:pStyle w:val="NormalNumberedtext"/>
      </w:pPr>
      <w:r>
        <w:t>Personnel involved in the transport of explosives must raise a permit via the site PTW system before commencing work, refer [INSERT: Project Document Number].</w:t>
      </w:r>
    </w:p>
    <w:p>
      <w:pPr>
        <w:pStyle w:val="NormalNumberedtext"/>
      </w:pPr>
    </w:p>
    <w:p>
      <w:pPr>
        <w:pStyle w:val="Heading1Numbered"/>
        <w:numPr>
          <w:ilvl w:val="0"/>
          <w:numId w:val="1"/>
        </w:numPr>
      </w:pPr>
      <w:r>
        <w:rPr>
          <w:rFonts w:ascii="Arial" w:hAnsi="Arial" w:cs="Arial" w:eastAsia="Arial"/>
        </w:rPr>
        <w:t>Storage</w:t>
      </w:r>
    </w:p>
    <w:p>
      <w:pPr>
        <w:pStyle w:val="NormalNumberedtext"/>
      </w:pPr>
      <w:r>
        <w:t>This section defines the construction, positioning, access control, and daily reconciliation requirements for all explosive magazines and storage areas on this project.</w:t>
      </w:r>
    </w:p>
    <w:p>
      <w:pPr>
        <w:pStyle w:val="NormalNumberedtext"/>
      </w:pPr>
      <w:r>
        <w:t>All explosive magazines and storage areas must be constructed, positioned, and operated in compliance with Applicable Laws and the conditions of the storage licence issued for this project. No magazine or storage area may be used until it has been inspected and approved in accordance with the relevant regulatory requirements.</w:t>
      </w:r>
    </w:p>
    <w:p>
      <w:pPr>
        <w:pStyle w:val="NormalNumberedtext"/>
      </w:pPr>
      <w:r>
        <w:t>The following access and storage controls apply to all explosive storage areas on this project:</w:t>
      </w:r>
    </w:p>
    <w:p>
      <w:pPr>
        <w:pStyle w:val="NumberedBulletL1"/>
      </w:pPr>
      <w:r>
        <w:t>Access is restricted to authorised personnel only, as listed in the current authorised access register held at the magazine</w:t>
      </w:r>
    </w:p>
    <w:p>
      <w:pPr>
        <w:pStyle w:val="NumberedBulletL1"/>
      </w:pPr>
      <w:r>
        <w:rPr>
          <w:color w:val="C55A11"/>
        </w:rPr>
        <w:t>The authorised access register is reviewed and updated by the Shot Firer in Charge at the start of each project phase and whenever personnel authorisations change</w:t>
      </w:r>
    </w:p>
    <w:p>
      <w:pPr>
        <w:pStyle w:val="NumberedBulletL1"/>
      </w:pPr>
      <w:r>
        <w:t>Magazine keys are controlled by the Shot Firer in Charge and are not left unattended or transferred to unauthorised personnel</w:t>
      </w:r>
    </w:p>
    <w:p>
      <w:pPr>
        <w:pStyle w:val="NumberedBulletL1"/>
      </w:pPr>
      <w:r>
        <w:t>Explosives and detonators are stored in separate magazines in accordance with regulatory separation requirements</w:t>
      </w:r>
    </w:p>
    <w:p>
      <w:pPr>
        <w:pStyle w:val="NumberedBulletL1"/>
      </w:pPr>
      <w:r>
        <w:t>Barricading and exclusion zones around storage areas are established and maintained in accordance with [INSERT: Project Document Number]</w:t>
      </w:r>
    </w:p>
    <w:p>
      <w:pPr>
        <w:pStyle w:val="NormalNumberedtext"/>
      </w:pPr>
      <w:r>
        <w:t>A daily stock reconciliation must be conducted for all explosives and detonators held in storage. Any discrepancy identified during reconciliation must be reported immediately to the Company and to the relevant regulatory authority. The reconciliation process is defined in Section 8 of this procedure.</w:t>
      </w:r>
    </w:p>
    <w:p>
      <w:pPr>
        <w:pStyle w:val="NormalNumberedtext"/>
      </w:pPr>
      <w:r>
        <w:t>Table 3: Explosive Storage Areas for This Project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Storage Area ID</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Location on Site</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Contents (Explosive Type)</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Approved Capacity</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Licence / Approval Reference</w:t>
            </w:r>
          </w:p>
        </w:tc>
        <w:tc>
          <w:tcPr>
            <w:shd w:val="clear" w:color="auto" w:fill="1F3864"/>
            <w:tcW w:type="dxa" w:w="1632"/>
          </w:tcPr>
          <w:p>
            <w:pPr>
              <w:pStyle w:val="TableContents"/>
              <w:spacing w:before="0" w:after="0" w:line="240" w:lineRule="atLeast"/>
            </w:pPr>
            <w:r>
              <w:rPr>
                <w:rFonts w:ascii="Arial" w:hAnsi="Arial" w:cs="Arial" w:eastAsia="Arial"/>
                <w:b/>
                <w:bCs/>
                <w:color w:val="FFFFFF"/>
                <w:sz w:val="16"/>
                <w:szCs w:val="16"/>
              </w:rPr>
              <w:t>Responsible Person</w:t>
            </w:r>
          </w:p>
        </w:tc>
      </w:tr>
      <w:tr>
        <w:tc>
          <w:tcPr>
            <w:tcW w:type="dxa" w:w="1629"/>
          </w:tcPr>
          <w:p>
            <w:pPr>
              <w:pStyle w:val="TableContents"/>
              <w:spacing w:before="0" w:after="0" w:line="240" w:lineRule="atLeast"/>
            </w:pPr>
            <w:r>
              <w:rPr>
                <w:rFonts w:ascii="Arial" w:hAnsi="Arial" w:cs="Arial" w:eastAsia="Arial"/>
                <w:b/>
                <w:bCs/>
                <w:color w:val="0059D1"/>
                <w:sz w:val="16"/>
                <w:szCs w:val="16"/>
              </w:rPr>
              <w:t>[INSERT: magazine ID]</w:t>
            </w:r>
          </w:p>
        </w:tc>
        <w:tc>
          <w:tcPr>
            <w:tcW w:type="dxa" w:w="1629"/>
          </w:tcPr>
          <w:p>
            <w:pPr>
              <w:pStyle w:val="TableContents"/>
              <w:spacing w:before="0" w:after="0" w:line="240" w:lineRule="atLeast"/>
            </w:pPr>
            <w:r>
              <w:rPr>
                <w:rFonts w:ascii="Arial" w:hAnsi="Arial" w:cs="Arial" w:eastAsia="Arial"/>
                <w:b/>
                <w:bCs/>
                <w:color w:val="0059D1"/>
                <w:sz w:val="16"/>
                <w:szCs w:val="16"/>
              </w:rPr>
              <w:t>[INSERT: grid reference or description]</w:t>
            </w:r>
          </w:p>
        </w:tc>
        <w:tc>
          <w:tcPr>
            <w:tcW w:type="dxa" w:w="1629"/>
          </w:tcPr>
          <w:p>
            <w:pPr>
              <w:pStyle w:val="TableContents"/>
              <w:spacing w:before="0" w:after="0" w:line="240" w:lineRule="atLeast"/>
            </w:pPr>
            <w:r>
              <w:rPr>
                <w:rFonts w:ascii="Arial" w:hAnsi="Arial" w:cs="Arial" w:eastAsia="Arial"/>
                <w:b/>
                <w:bCs/>
                <w:color w:val="0059D1"/>
                <w:sz w:val="16"/>
                <w:szCs w:val="16"/>
              </w:rPr>
              <w:t>[INSERT: explosive type]</w:t>
            </w:r>
          </w:p>
        </w:tc>
        <w:tc>
          <w:tcPr>
            <w:tcW w:type="dxa" w:w="1629"/>
          </w:tcPr>
          <w:p>
            <w:pPr>
              <w:pStyle w:val="TableContents"/>
              <w:spacing w:before="0" w:after="0" w:line="240" w:lineRule="atLeast"/>
            </w:pPr>
            <w:r>
              <w:rPr>
                <w:rFonts w:ascii="Arial" w:hAnsi="Arial" w:cs="Arial" w:eastAsia="Arial"/>
                <w:b/>
                <w:bCs/>
                <w:color w:val="0059D1"/>
                <w:sz w:val="16"/>
                <w:szCs w:val="16"/>
              </w:rPr>
              <w:t>[INSERT: max quantity and unit]</w:t>
            </w:r>
          </w:p>
        </w:tc>
        <w:tc>
          <w:tcPr>
            <w:tcW w:type="dxa" w:w="1629"/>
          </w:tcPr>
          <w:p>
            <w:pPr>
              <w:pStyle w:val="TableContents"/>
              <w:spacing w:before="0" w:after="0" w:line="240" w:lineRule="atLeast"/>
            </w:pPr>
            <w:r>
              <w:rPr>
                <w:rFonts w:ascii="Arial" w:hAnsi="Arial" w:cs="Arial" w:eastAsia="Arial"/>
                <w:b/>
                <w:bCs/>
                <w:color w:val="0059D1"/>
                <w:sz w:val="16"/>
                <w:szCs w:val="16"/>
              </w:rPr>
              <w:t>[INSERT: licence reference]</w:t>
            </w:r>
          </w:p>
        </w:tc>
        <w:tc>
          <w:tcPr>
            <w:tcW w:type="dxa" w:w="1632"/>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1629"/>
          </w:tcPr>
          <w:p>
            <w:pPr>
              <w:pStyle w:val="TableContents"/>
              <w:spacing w:before="0" w:after="0" w:line="240" w:lineRule="atLeast"/>
            </w:pPr>
            <w:r>
              <w:rPr>
                <w:rFonts w:ascii="Arial" w:hAnsi="Arial" w:cs="Arial" w:eastAsia="Arial"/>
                <w:b/>
                <w:bCs/>
                <w:color w:val="0059D1"/>
                <w:sz w:val="16"/>
                <w:szCs w:val="16"/>
              </w:rPr>
              <w:t>[INSERT: detonator store ID]</w:t>
            </w:r>
          </w:p>
        </w:tc>
        <w:tc>
          <w:tcPr>
            <w:tcW w:type="dxa" w:w="1629"/>
          </w:tcPr>
          <w:p>
            <w:pPr>
              <w:pStyle w:val="TableContents"/>
              <w:spacing w:before="0" w:after="0" w:line="240" w:lineRule="atLeast"/>
            </w:pPr>
            <w:r>
              <w:rPr>
                <w:rFonts w:ascii="Arial" w:hAnsi="Arial" w:cs="Arial" w:eastAsia="Arial"/>
                <w:b/>
                <w:bCs/>
                <w:color w:val="0059D1"/>
                <w:sz w:val="16"/>
                <w:szCs w:val="16"/>
              </w:rPr>
              <w:t>[INSERT: grid reference or description]</w:t>
            </w:r>
          </w:p>
        </w:tc>
        <w:tc>
          <w:tcPr>
            <w:tcW w:type="dxa" w:w="1629"/>
          </w:tcPr>
          <w:p>
            <w:pPr>
              <w:pStyle w:val="TableContents"/>
              <w:spacing w:before="0" w:after="0" w:line="240" w:lineRule="atLeast"/>
            </w:pPr>
            <w:r>
              <w:rPr>
                <w:rFonts w:ascii="Arial" w:hAnsi="Arial" w:cs="Arial" w:eastAsia="Arial"/>
                <w:sz w:val="16"/>
                <w:szCs w:val="16"/>
              </w:rPr>
              <w:t>Detonators</w:t>
            </w:r>
          </w:p>
        </w:tc>
        <w:tc>
          <w:tcPr>
            <w:tcW w:type="dxa" w:w="1629"/>
          </w:tcPr>
          <w:p>
            <w:pPr>
              <w:pStyle w:val="TableContents"/>
              <w:spacing w:before="0" w:after="0" w:line="240" w:lineRule="atLeast"/>
            </w:pPr>
            <w:r>
              <w:rPr>
                <w:rFonts w:ascii="Arial" w:hAnsi="Arial" w:cs="Arial" w:eastAsia="Arial"/>
                <w:b/>
                <w:bCs/>
                <w:color w:val="0059D1"/>
                <w:sz w:val="16"/>
                <w:szCs w:val="16"/>
              </w:rPr>
              <w:t>[INSERT: max quantity and unit]</w:t>
            </w:r>
          </w:p>
        </w:tc>
        <w:tc>
          <w:tcPr>
            <w:tcW w:type="dxa" w:w="1629"/>
          </w:tcPr>
          <w:p>
            <w:pPr>
              <w:pStyle w:val="TableContents"/>
              <w:spacing w:before="0" w:after="0" w:line="240" w:lineRule="atLeast"/>
            </w:pPr>
            <w:r>
              <w:rPr>
                <w:rFonts w:ascii="Arial" w:hAnsi="Arial" w:cs="Arial" w:eastAsia="Arial"/>
                <w:b/>
                <w:bCs/>
                <w:color w:val="0059D1"/>
                <w:sz w:val="16"/>
                <w:szCs w:val="16"/>
              </w:rPr>
              <w:t>[INSERT: licence reference]</w:t>
            </w:r>
          </w:p>
        </w:tc>
        <w:tc>
          <w:tcPr>
            <w:tcW w:type="dxa" w:w="1632"/>
          </w:tcPr>
          <w:p>
            <w:pPr>
              <w:pStyle w:val="TableContents"/>
              <w:spacing w:before="0" w:after="0" w:line="240" w:lineRule="atLeast"/>
            </w:pPr>
            <w:r>
              <w:rPr>
                <w:rFonts w:ascii="Arial" w:hAnsi="Arial" w:cs="Arial" w:eastAsia="Arial"/>
                <w:b/>
                <w:bCs/>
                <w:color w:val="0059D1"/>
                <w:sz w:val="16"/>
                <w:szCs w:val="16"/>
              </w:rPr>
              <w:t>[INSERT: role title]</w:t>
            </w:r>
          </w:p>
        </w:tc>
      </w:tr>
    </w:tbl>
    <w:p>
      <w:pPr>
        <w:pStyle w:val="NormalNumberedtext"/>
      </w:pPr>
    </w:p>
    <w:p>
      <w:pPr>
        <w:pStyle w:val="Heading1Numbered"/>
        <w:numPr>
          <w:ilvl w:val="0"/>
          <w:numId w:val="1"/>
        </w:numPr>
      </w:pPr>
      <w:r>
        <w:rPr>
          <w:rFonts w:ascii="Arial" w:hAnsi="Arial" w:cs="Arial" w:eastAsia="Arial"/>
        </w:rPr>
        <w:t>On-Site Manufacture and Mixing</w:t>
      </w:r>
    </w:p>
    <w:p>
      <w:pPr>
        <w:pStyle w:val="NormalNumberedtext"/>
      </w:pPr>
      <w:r>
        <w:t>This section defines the controls that apply where explosives are manufactured or mixed on site, including risk assessment, procedural approval, and regulatory compliance requirements.</w:t>
      </w:r>
    </w:p>
    <w:p>
      <w:pPr>
        <w:pStyle w:val="NormalNumberedtext"/>
      </w:pPr>
      <w:r>
        <w:t>Where on-site manufacture or mixing of explosives is conducted, a specific risk assessment and a documented procedure approved by a competent person must be in place before any manufacture or mixing commences. On-site manufacture must comply with all applicable regulatory requirements and licencing conditions - refer [INSERT: Project Document Number] for the risk assessment process.</w:t>
      </w:r>
    </w:p>
    <w:p>
      <w:pPr>
        <w:pStyle w:val="NormalNumberedtext"/>
      </w:pPr>
      <w:r>
        <w:t>The documented on-site manufacture procedure must address, as a minimum, the following:</w:t>
      </w:r>
    </w:p>
    <w:p>
      <w:pPr>
        <w:pStyle w:val="NumberedBulletL1"/>
      </w:pPr>
      <w:r>
        <w:t>The specific product or mixture to be manufactured and the quantities permitted per batch</w:t>
      </w:r>
    </w:p>
    <w:p>
      <w:pPr>
        <w:pStyle w:val="NumberedBulletL1"/>
      </w:pPr>
      <w:r>
        <w:t>Competency requirements for all personnel involved in manufacture or mixing - refer [INSERT: Project Document Number]</w:t>
      </w:r>
    </w:p>
    <w:p>
      <w:pPr>
        <w:pStyle w:val="NumberedBulletL1"/>
      </w:pPr>
      <w:r>
        <w:t>Equipment requirements and pre-use inspection requirements for all mixing equipment</w:t>
      </w:r>
    </w:p>
    <w:p>
      <w:pPr>
        <w:pStyle w:val="NumberedBulletL1"/>
      </w:pPr>
      <w:r>
        <w:rPr>
          <w:color w:val="C55A11"/>
        </w:rPr>
        <w:t>On-site mixing units must be inspected by a competent person before each production run and the inspection recorded in the equipment log</w:t>
      </w:r>
    </w:p>
    <w:p>
      <w:pPr>
        <w:pStyle w:val="NumberedBulletL1"/>
      </w:pPr>
      <w:r>
        <w:t>Controls for managing incompatible materials during mixing, storage, and transport of mixed product</w:t>
      </w:r>
    </w:p>
    <w:p>
      <w:pPr>
        <w:pStyle w:val="NumberedBulletL1"/>
      </w:pPr>
      <w:r>
        <w:t>Quality control checks to be performed on the mixed product before use, with results recorded</w:t>
      </w:r>
    </w:p>
    <w:p>
      <w:pPr>
        <w:pStyle w:val="NumberedBulletL1"/>
      </w:pPr>
      <w:r>
        <w:t>Actions to be taken if an out-of-specification product is identified during or after mixing</w:t>
      </w:r>
    </w:p>
    <w:p>
      <w:pPr>
        <w:pStyle w:val="NormalNumberedtext"/>
      </w:pPr>
      <w:r>
        <w:t>Personnel involved in on-site manufacture or mixing must raise a permit via the site PTW system before commencing work, refer [INSERT: Project Document Number].</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Confirm whether on-site manufacture or mixing of explosives is within scope for this project. If yes, develop and attach the site-specific manufacture and mixing procedure and confirm that the required risk assessment has been completed and approved by a competent person before commencement.</w:t>
            </w:r>
          </w:p>
        </w:tc>
      </w:tr>
    </w:tbl>
    <w:p>
      <w:pPr>
        <w:pStyle w:val="NormalNumberedtext"/>
      </w:pPr>
    </w:p>
    <w:p>
      <w:pPr>
        <w:pStyle w:val="Heading1Numbered"/>
        <w:numPr>
          <w:ilvl w:val="0"/>
          <w:numId w:val="1"/>
        </w:numPr>
      </w:pPr>
      <w:r>
        <w:rPr>
          <w:rFonts w:ascii="Arial" w:hAnsi="Arial" w:cs="Arial" w:eastAsia="Arial"/>
        </w:rPr>
        <w:t>Misfire Management</w:t>
      </w:r>
    </w:p>
    <w:p>
      <w:pPr>
        <w:pStyle w:val="NormalNumberedtext"/>
      </w:pPr>
      <w:r>
        <w:t>This section defines the documented process for responding to suspected and confirmed misfires, including re-entry controls, competency requirements, and mandatory reporting obligations.</w:t>
      </w:r>
    </w:p>
    <w:p>
      <w:pPr>
        <w:pStyle w:val="NormalNumberedtext"/>
      </w:pPr>
      <w:r>
        <w:t>A documented misfire management procedure must be in place before any blasting activity commences on this project. The procedure must be prepared by a competent person and approved before first blast. All personnel involved in blasting operations must be familiar with the misfire management procedure before commencing work.</w:t>
      </w:r>
    </w:p>
    <w:p>
      <w:pPr>
        <w:pStyle w:val="NormalNumberedtext"/>
      </w:pPr>
      <w:r>
        <w:t>The misfire management procedure must define, as a minimum, the following:</w:t>
      </w:r>
    </w:p>
    <w:p>
      <w:pPr>
        <w:pStyle w:val="NumberedBulletL1"/>
      </w:pPr>
      <w:r>
        <w:t>The immediate response required upon identification of a suspected or confirmed misfire, including blast area re-entry prevention and the blast exclusion zone requirements - refer [INSERT: Project Document Number]</w:t>
      </w:r>
    </w:p>
    <w:p>
      <w:pPr>
        <w:pStyle w:val="NumberedBulletL1"/>
      </w:pPr>
      <w:r>
        <w:rPr>
          <w:color w:val="C55A11"/>
        </w:rPr>
        <w:t>Minimum waiting times before re-entry following a suspected misfire: 30 minutes for shock tube or electronic detonators and 60 minutes for electric detonators, or as required by Applicable Laws if more stringent</w:t>
      </w:r>
    </w:p>
    <w:p>
      <w:pPr>
        <w:pStyle w:val="NumberedBulletL1"/>
      </w:pPr>
      <w:r>
        <w:t>The step-by-step process for dealing with misfired holes, including identification, marking, isolation, and treatment or destruction of the misfired charge</w:t>
      </w:r>
    </w:p>
    <w:p>
      <w:pPr>
        <w:pStyle w:val="NumberedBulletL1"/>
      </w:pPr>
      <w:r>
        <w:t>Competency requirements for the personnel authorised to manage misfires in the specific regulatory jurisdiction - refer [INSERT: Project Document Number]</w:t>
      </w:r>
    </w:p>
    <w:p>
      <w:pPr>
        <w:pStyle w:val="NumberedBulletL1"/>
      </w:pPr>
      <w:r>
        <w:t>Mandatory reporting of all misfires to the Company and to the relevant regulatory authority within the timeframes required by Applicable Laws - refer [INSERT: Project Document Number]</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 ITEM 4: Confirm the misfire management procedure for this project, including the competency requirements for personnel authorised to manage misfires in the specific regulatory jurisdiction. Attach or reference the approved procedure in this section.</w:t>
            </w:r>
          </w:p>
        </w:tc>
      </w:tr>
    </w:tbl>
    <w:p>
      <w:pPr>
        <w:pStyle w:val="NormalNumberedtext"/>
      </w:pPr>
    </w:p>
    <w:p>
      <w:pPr>
        <w:pStyle w:val="NormalNumberedtext"/>
      </w:pPr>
      <w:r>
        <w:t>Table 4: Misfire Management - Key Project Parameters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Project-Specific Requirement</w:t>
            </w:r>
          </w:p>
        </w:tc>
      </w:tr>
      <w:tr>
        <w:tc>
          <w:tcPr>
            <w:tcW w:type="dxa" w:w="4888"/>
          </w:tcPr>
          <w:p>
            <w:pPr>
              <w:pStyle w:val="TableContents"/>
              <w:spacing w:before="0" w:after="0" w:line="240" w:lineRule="atLeast"/>
            </w:pPr>
            <w:r>
              <w:rPr>
                <w:rFonts w:ascii="Arial" w:hAnsi="Arial" w:cs="Arial" w:eastAsia="Arial"/>
                <w:sz w:val="16"/>
                <w:szCs w:val="16"/>
              </w:rPr>
              <w:t>Minimum re-entry wait time (regulatory requirement)</w:t>
            </w:r>
          </w:p>
        </w:tc>
        <w:tc>
          <w:tcPr>
            <w:tcW w:type="dxa" w:w="4889"/>
          </w:tcPr>
          <w:p>
            <w:pPr>
              <w:pStyle w:val="TableContents"/>
              <w:spacing w:before="0" w:after="0" w:line="240" w:lineRule="atLeast"/>
            </w:pPr>
            <w:r>
              <w:rPr>
                <w:rFonts w:ascii="Arial" w:hAnsi="Arial" w:cs="Arial" w:eastAsia="Arial"/>
                <w:b/>
                <w:bCs/>
                <w:color w:val="0059D1"/>
                <w:sz w:val="16"/>
                <w:szCs w:val="16"/>
              </w:rPr>
              <w:t>[INSERT: time and regulatory reference]</w:t>
            </w:r>
          </w:p>
        </w:tc>
      </w:tr>
      <w:tr>
        <w:tc>
          <w:tcPr>
            <w:tcW w:type="dxa" w:w="4888"/>
          </w:tcPr>
          <w:p>
            <w:pPr>
              <w:pStyle w:val="TableContents"/>
              <w:spacing w:before="0" w:after="0" w:line="240" w:lineRule="atLeast"/>
            </w:pPr>
            <w:r>
              <w:rPr>
                <w:rFonts w:ascii="Arial" w:hAnsi="Arial" w:cs="Arial" w:eastAsia="Arial"/>
                <w:sz w:val="16"/>
                <w:szCs w:val="16"/>
              </w:rPr>
              <w:t>Personnel authorised to manage misfires</w:t>
            </w:r>
          </w:p>
        </w:tc>
        <w:tc>
          <w:tcPr>
            <w:tcW w:type="dxa" w:w="4889"/>
          </w:tcPr>
          <w:p>
            <w:pPr>
              <w:pStyle w:val="TableContents"/>
              <w:spacing w:before="0" w:after="0" w:line="240" w:lineRule="atLeast"/>
            </w:pPr>
            <w:r>
              <w:rPr>
                <w:rFonts w:ascii="Arial" w:hAnsi="Arial" w:cs="Arial" w:eastAsia="Arial"/>
                <w:b/>
                <w:bCs/>
                <w:color w:val="0059D1"/>
                <w:sz w:val="16"/>
                <w:szCs w:val="16"/>
              </w:rPr>
              <w:t>[INSERT: role title(s) and licence/competency required]</w:t>
            </w:r>
          </w:p>
        </w:tc>
      </w:tr>
      <w:tr>
        <w:tc>
          <w:tcPr>
            <w:tcW w:type="dxa" w:w="4888"/>
          </w:tcPr>
          <w:p>
            <w:pPr>
              <w:pStyle w:val="TableContents"/>
              <w:spacing w:before="0" w:after="0" w:line="240" w:lineRule="atLeast"/>
            </w:pPr>
            <w:r>
              <w:rPr>
                <w:rFonts w:ascii="Arial" w:hAnsi="Arial" w:cs="Arial" w:eastAsia="Arial"/>
                <w:sz w:val="16"/>
                <w:szCs w:val="16"/>
              </w:rPr>
              <w:t>Regulatory authority for misfire reporting</w:t>
            </w:r>
          </w:p>
        </w:tc>
        <w:tc>
          <w:tcPr>
            <w:tcW w:type="dxa" w:w="4889"/>
          </w:tcPr>
          <w:p>
            <w:pPr>
              <w:pStyle w:val="TableContents"/>
              <w:spacing w:before="0" w:after="0" w:line="240" w:lineRule="atLeast"/>
            </w:pPr>
            <w:r>
              <w:rPr>
                <w:rFonts w:ascii="Arial" w:hAnsi="Arial" w:cs="Arial" w:eastAsia="Arial"/>
                <w:b/>
                <w:bCs/>
                <w:color w:val="0059D1"/>
                <w:sz w:val="16"/>
                <w:szCs w:val="16"/>
              </w:rPr>
              <w:t>[INSERT: authority name and contact]</w:t>
            </w:r>
          </w:p>
        </w:tc>
      </w:tr>
      <w:tr>
        <w:tc>
          <w:tcPr>
            <w:tcW w:type="dxa" w:w="4888"/>
          </w:tcPr>
          <w:p>
            <w:pPr>
              <w:pStyle w:val="TableContents"/>
              <w:spacing w:before="0" w:after="0" w:line="240" w:lineRule="atLeast"/>
            </w:pPr>
            <w:r>
              <w:rPr>
                <w:rFonts w:ascii="Arial" w:hAnsi="Arial" w:cs="Arial" w:eastAsia="Arial"/>
                <w:sz w:val="16"/>
                <w:szCs w:val="16"/>
              </w:rPr>
              <w:t>Reporting timeframe required by Applicable Laws</w:t>
            </w:r>
          </w:p>
        </w:tc>
        <w:tc>
          <w:tcPr>
            <w:tcW w:type="dxa" w:w="4889"/>
          </w:tcPr>
          <w:p>
            <w:pPr>
              <w:pStyle w:val="TableContents"/>
              <w:spacing w:before="0" w:after="0" w:line="240" w:lineRule="atLeast"/>
            </w:pPr>
            <w:r>
              <w:rPr>
                <w:rFonts w:ascii="Arial" w:hAnsi="Arial" w:cs="Arial" w:eastAsia="Arial"/>
                <w:b/>
                <w:bCs/>
                <w:color w:val="0059D1"/>
                <w:sz w:val="16"/>
                <w:szCs w:val="16"/>
              </w:rPr>
              <w:t>[INSERT: timeframe]</w:t>
            </w:r>
          </w:p>
        </w:tc>
      </w:tr>
      <w:tr>
        <w:tc>
          <w:tcPr>
            <w:tcW w:type="dxa" w:w="4888"/>
          </w:tcPr>
          <w:p>
            <w:pPr>
              <w:pStyle w:val="TableContents"/>
              <w:spacing w:before="0" w:after="0" w:line="240" w:lineRule="atLeast"/>
            </w:pPr>
            <w:r>
              <w:rPr>
                <w:rFonts w:ascii="Arial" w:hAnsi="Arial" w:cs="Arial" w:eastAsia="Arial"/>
                <w:sz w:val="16"/>
                <w:szCs w:val="16"/>
              </w:rPr>
              <w:t>Misfire record retention period</w:t>
            </w:r>
          </w:p>
        </w:tc>
        <w:tc>
          <w:tcPr>
            <w:tcW w:type="dxa" w:w="4889"/>
          </w:tcPr>
          <w:p>
            <w:pPr>
              <w:pStyle w:val="TableContents"/>
              <w:spacing w:before="0" w:after="0" w:line="240" w:lineRule="atLeast"/>
            </w:pPr>
            <w:r>
              <w:rPr>
                <w:rFonts w:ascii="Arial" w:hAnsi="Arial" w:cs="Arial" w:eastAsia="Arial"/>
                <w:b/>
                <w:bCs/>
                <w:color w:val="0059D1"/>
                <w:sz w:val="16"/>
                <w:szCs w:val="16"/>
              </w:rPr>
              <w:t>[INSERT: period or refer to Section 8]</w:t>
            </w:r>
          </w:p>
        </w:tc>
      </w:tr>
    </w:tbl>
    <w:p>
      <w:pPr>
        <w:pStyle w:val="NormalNumberedtext"/>
      </w:pPr>
    </w:p>
    <w:p>
      <w:pPr>
        <w:pStyle w:val="NormalNumberedtext"/>
      </w:pPr>
      <w:r>
        <w:t>All misfires must be reported and investigated in line with Company requirements - refer [INSERT: Project Document Number].</w:t>
      </w:r>
    </w:p>
    <w:p>
      <w:pPr>
        <w:pStyle w:val="NormalNumberedtext"/>
      </w:pPr>
    </w:p>
    <w:p>
      <w:pPr>
        <w:pStyle w:val="Heading1Numbered"/>
        <w:numPr>
          <w:ilvl w:val="0"/>
          <w:numId w:val="1"/>
        </w:numPr>
      </w:pPr>
      <w:r>
        <w:rPr>
          <w:rFonts w:ascii="Arial" w:hAnsi="Arial" w:cs="Arial" w:eastAsia="Arial"/>
        </w:rPr>
        <w:t>Reconciliation and Record-Keeping</w:t>
      </w:r>
    </w:p>
    <w:p>
      <w:pPr>
        <w:pStyle w:val="NormalNumberedtext"/>
      </w:pPr>
      <w:r>
        <w:t>This section defines the daily reconciliation process, transfer of ownership documentation, quality control records, and minimum retention periods for all explosives records on this project.</w:t>
      </w:r>
    </w:p>
    <w:p>
      <w:pPr>
        <w:pStyle w:val="NormalNumberedtext"/>
      </w:pPr>
      <w:r>
        <w:t>Daily reconciliation of all explosives and detonators is required. Reconciliation records must account for the quantity received, the quantity used, and the quantity remaining in storage at the end of each day. Any discrepancy must be reported immediately to the Company and to the relevant regulatory authority.</w:t>
      </w:r>
    </w:p>
    <w:p>
      <w:pPr>
        <w:pStyle w:val="NormalNumberedtext"/>
      </w:pPr>
      <w:r>
        <w:t>The following documentation requirements apply to reconciliation, transfer, and quality control:</w:t>
      </w:r>
    </w:p>
    <w:p>
      <w:pPr>
        <w:pStyle w:val="NumberedBulletL1"/>
      </w:pPr>
      <w:r>
        <w:t>Daily reconciliation records are completed and signed by the Shot Firer in Charge at the end of each working day</w:t>
      </w:r>
    </w:p>
    <w:p>
      <w:pPr>
        <w:pStyle w:val="NumberedBulletL1"/>
      </w:pPr>
      <w:r>
        <w:rPr>
          <w:color w:val="C55A11"/>
        </w:rPr>
        <w:t>The daily reconciliation record is completed using the project Explosives Reconciliation Form and stored in the site explosives register at the end of each shift</w:t>
      </w:r>
    </w:p>
    <w:p>
      <w:pPr>
        <w:pStyle w:val="NumberedBulletL1"/>
      </w:pPr>
      <w:r>
        <w:t>Transfer of ownership of explosives or detonators between parties must be documented with signed records from both the transferring and receiving parties before physical transfer occurs</w:t>
      </w:r>
    </w:p>
    <w:p>
      <w:pPr>
        <w:pStyle w:val="NumberedBulletL1"/>
      </w:pPr>
      <w:r>
        <w:t>Quality control records, including batch numbers, product specifications, and condition assessments, must be maintained for all explosive products received and used</w:t>
      </w:r>
    </w:p>
    <w:p>
      <w:pPr>
        <w:pStyle w:val="NumberedBulletL1"/>
      </w:pPr>
      <w:r>
        <w:t>All explosives records must be retained for a minimum of five years, or for the period required by Applicable Laws if longer, whichever is greater</w:t>
      </w:r>
    </w:p>
    <w:p>
      <w:pPr>
        <w:pStyle w:val="NormalNumberedtext"/>
      </w:pPr>
      <w:r>
        <w:t>Table 5: Explosives Record Types and Retention Requirements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Record Type</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Completed By</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Storage Location</w:t>
            </w:r>
          </w:p>
        </w:tc>
        <w:tc>
          <w:tcPr>
            <w:shd w:val="clear" w:color="auto" w:fill="1F3864"/>
            <w:tcW w:type="dxa" w:w="1957"/>
          </w:tcPr>
          <w:p>
            <w:pPr>
              <w:pStyle w:val="TableContents"/>
              <w:spacing w:before="0" w:after="0" w:line="240" w:lineRule="atLeast"/>
            </w:pPr>
            <w:r>
              <w:rPr>
                <w:rFonts w:ascii="Arial" w:hAnsi="Arial" w:cs="Arial" w:eastAsia="Arial"/>
                <w:b/>
                <w:bCs/>
                <w:color w:val="FFFFFF"/>
                <w:sz w:val="16"/>
                <w:szCs w:val="16"/>
              </w:rPr>
              <w:t>Minimum Retention Period</w:t>
            </w:r>
          </w:p>
        </w:tc>
      </w:tr>
      <w:tr>
        <w:tc>
          <w:tcPr>
            <w:tcW w:type="dxa" w:w="1955"/>
          </w:tcPr>
          <w:p>
            <w:pPr>
              <w:pStyle w:val="TableContents"/>
              <w:spacing w:before="0" w:after="0" w:line="240" w:lineRule="atLeast"/>
            </w:pPr>
            <w:r>
              <w:rPr>
                <w:rFonts w:ascii="Arial" w:hAnsi="Arial" w:cs="Arial" w:eastAsia="Arial"/>
                <w:sz w:val="16"/>
                <w:szCs w:val="16"/>
              </w:rPr>
              <w:t>Daily stock reconciliation</w:t>
            </w:r>
          </w:p>
        </w:tc>
        <w:tc>
          <w:tcPr>
            <w:tcW w:type="dxa" w:w="1955"/>
          </w:tcPr>
          <w:p>
            <w:pPr>
              <w:pStyle w:val="TableContents"/>
              <w:spacing w:before="0" w:after="0" w:line="240" w:lineRule="atLeast"/>
            </w:pPr>
            <w:r>
              <w:rPr>
                <w:rFonts w:ascii="Arial" w:hAnsi="Arial" w:cs="Arial" w:eastAsia="Arial"/>
                <w:b/>
                <w:bCs/>
                <w:color w:val="0059D1"/>
                <w:sz w:val="16"/>
                <w:szCs w:val="16"/>
              </w:rPr>
              <w:t>[INSERT: role title]</w:t>
            </w:r>
          </w:p>
        </w:tc>
        <w:tc>
          <w:tcPr>
            <w:tcW w:type="dxa" w:w="1955"/>
          </w:tcPr>
          <w:p>
            <w:pPr>
              <w:pStyle w:val="TableContents"/>
              <w:spacing w:before="0" w:after="0" w:line="240" w:lineRule="atLeast"/>
            </w:pPr>
            <w:r>
              <w:rPr>
                <w:rFonts w:ascii="Arial" w:hAnsi="Arial" w:cs="Arial" w:eastAsia="Arial"/>
                <w:sz w:val="16"/>
                <w:szCs w:val="16"/>
              </w:rPr>
              <w:t>Daily</w:t>
            </w:r>
          </w:p>
        </w:tc>
        <w:tc>
          <w:tcPr>
            <w:tcW w:type="dxa" w:w="1955"/>
          </w:tcPr>
          <w:p>
            <w:pPr>
              <w:pStyle w:val="TableContents"/>
              <w:spacing w:before="0" w:after="0" w:line="240" w:lineRule="atLeast"/>
            </w:pPr>
            <w:r>
              <w:rPr>
                <w:rFonts w:ascii="Arial" w:hAnsi="Arial" w:cs="Arial" w:eastAsia="Arial"/>
                <w:b/>
                <w:bCs/>
                <w:color w:val="0059D1"/>
                <w:sz w:val="16"/>
                <w:szCs w:val="16"/>
              </w:rPr>
              <w:t>[INSERT: location]</w:t>
            </w:r>
          </w:p>
        </w:tc>
        <w:tc>
          <w:tcPr>
            <w:tcW w:type="dxa" w:w="1957"/>
          </w:tcPr>
          <w:p>
            <w:pPr>
              <w:pStyle w:val="TableContents"/>
              <w:spacing w:before="0" w:after="0" w:line="240" w:lineRule="atLeast"/>
            </w:pPr>
            <w:r>
              <w:rPr>
                <w:rFonts w:ascii="Arial" w:hAnsi="Arial" w:cs="Arial" w:eastAsia="Arial"/>
                <w:sz w:val="16"/>
                <w:szCs w:val="16"/>
              </w:rPr>
              <w:t>5 years or as required by Applicable Laws</w:t>
            </w:r>
          </w:p>
        </w:tc>
      </w:tr>
      <w:tr>
        <w:tc>
          <w:tcPr>
            <w:tcW w:type="dxa" w:w="1955"/>
          </w:tcPr>
          <w:p>
            <w:pPr>
              <w:pStyle w:val="TableContents"/>
              <w:spacing w:before="0" w:after="0" w:line="240" w:lineRule="atLeast"/>
            </w:pPr>
            <w:r>
              <w:rPr>
                <w:rFonts w:ascii="Arial" w:hAnsi="Arial" w:cs="Arial" w:eastAsia="Arial"/>
                <w:sz w:val="16"/>
                <w:szCs w:val="16"/>
              </w:rPr>
              <w:t>Transfer of ownership record</w:t>
            </w:r>
          </w:p>
        </w:tc>
        <w:tc>
          <w:tcPr>
            <w:tcW w:type="dxa" w:w="1955"/>
          </w:tcPr>
          <w:p>
            <w:pPr>
              <w:pStyle w:val="TableContents"/>
              <w:spacing w:before="0" w:after="0" w:line="240" w:lineRule="atLeast"/>
            </w:pPr>
            <w:r>
              <w:rPr>
                <w:rFonts w:ascii="Arial" w:hAnsi="Arial" w:cs="Arial" w:eastAsia="Arial"/>
                <w:b/>
                <w:bCs/>
                <w:color w:val="0059D1"/>
                <w:sz w:val="16"/>
                <w:szCs w:val="16"/>
              </w:rPr>
              <w:t>[INSERT: role title]</w:t>
            </w:r>
          </w:p>
        </w:tc>
        <w:tc>
          <w:tcPr>
            <w:tcW w:type="dxa" w:w="1955"/>
          </w:tcPr>
          <w:p>
            <w:pPr>
              <w:pStyle w:val="TableContents"/>
              <w:spacing w:before="0" w:after="0" w:line="240" w:lineRule="atLeast"/>
            </w:pPr>
            <w:r>
              <w:rPr>
                <w:rFonts w:ascii="Arial" w:hAnsi="Arial" w:cs="Arial" w:eastAsia="Arial"/>
                <w:sz w:val="16"/>
                <w:szCs w:val="16"/>
              </w:rPr>
              <w:t>Each transfer</w:t>
            </w:r>
          </w:p>
        </w:tc>
        <w:tc>
          <w:tcPr>
            <w:tcW w:type="dxa" w:w="1955"/>
          </w:tcPr>
          <w:p>
            <w:pPr>
              <w:pStyle w:val="TableContents"/>
              <w:spacing w:before="0" w:after="0" w:line="240" w:lineRule="atLeast"/>
            </w:pPr>
            <w:r>
              <w:rPr>
                <w:rFonts w:ascii="Arial" w:hAnsi="Arial" w:cs="Arial" w:eastAsia="Arial"/>
                <w:b/>
                <w:bCs/>
                <w:color w:val="0059D1"/>
                <w:sz w:val="16"/>
                <w:szCs w:val="16"/>
              </w:rPr>
              <w:t>[INSERT: location]</w:t>
            </w:r>
          </w:p>
        </w:tc>
        <w:tc>
          <w:tcPr>
            <w:tcW w:type="dxa" w:w="1957"/>
          </w:tcPr>
          <w:p>
            <w:pPr>
              <w:pStyle w:val="TableContents"/>
              <w:spacing w:before="0" w:after="0" w:line="240" w:lineRule="atLeast"/>
            </w:pPr>
            <w:r>
              <w:rPr>
                <w:rFonts w:ascii="Arial" w:hAnsi="Arial" w:cs="Arial" w:eastAsia="Arial"/>
                <w:sz w:val="16"/>
                <w:szCs w:val="16"/>
              </w:rPr>
              <w:t>5 years or as required by Applicable Laws</w:t>
            </w:r>
          </w:p>
        </w:tc>
      </w:tr>
      <w:tr>
        <w:tc>
          <w:tcPr>
            <w:tcW w:type="dxa" w:w="1955"/>
          </w:tcPr>
          <w:p>
            <w:pPr>
              <w:pStyle w:val="TableContents"/>
              <w:spacing w:before="0" w:after="0" w:line="240" w:lineRule="atLeast"/>
            </w:pPr>
            <w:r>
              <w:rPr>
                <w:rFonts w:ascii="Arial" w:hAnsi="Arial" w:cs="Arial" w:eastAsia="Arial"/>
                <w:sz w:val="16"/>
                <w:szCs w:val="16"/>
              </w:rPr>
              <w:t>Quality control record</w:t>
            </w:r>
          </w:p>
        </w:tc>
        <w:tc>
          <w:tcPr>
            <w:tcW w:type="dxa" w:w="1955"/>
          </w:tcPr>
          <w:p>
            <w:pPr>
              <w:pStyle w:val="TableContents"/>
              <w:spacing w:before="0" w:after="0" w:line="240" w:lineRule="atLeast"/>
            </w:pPr>
            <w:r>
              <w:rPr>
                <w:rFonts w:ascii="Arial" w:hAnsi="Arial" w:cs="Arial" w:eastAsia="Arial"/>
                <w:b/>
                <w:bCs/>
                <w:color w:val="0059D1"/>
                <w:sz w:val="16"/>
                <w:szCs w:val="16"/>
              </w:rPr>
              <w:t>[INSERT: role title]</w:t>
            </w:r>
          </w:p>
        </w:tc>
        <w:tc>
          <w:tcPr>
            <w:tcW w:type="dxa" w:w="1955"/>
          </w:tcPr>
          <w:p>
            <w:pPr>
              <w:pStyle w:val="TableContents"/>
              <w:spacing w:before="0" w:after="0" w:line="240" w:lineRule="atLeast"/>
            </w:pPr>
            <w:r>
              <w:rPr>
                <w:rFonts w:ascii="Arial" w:hAnsi="Arial" w:cs="Arial" w:eastAsia="Arial"/>
                <w:sz w:val="16"/>
                <w:szCs w:val="16"/>
              </w:rPr>
              <w:t>Each delivery / batch</w:t>
            </w:r>
          </w:p>
        </w:tc>
        <w:tc>
          <w:tcPr>
            <w:tcW w:type="dxa" w:w="1955"/>
          </w:tcPr>
          <w:p>
            <w:pPr>
              <w:pStyle w:val="TableContents"/>
              <w:spacing w:before="0" w:after="0" w:line="240" w:lineRule="atLeast"/>
            </w:pPr>
            <w:r>
              <w:rPr>
                <w:rFonts w:ascii="Arial" w:hAnsi="Arial" w:cs="Arial" w:eastAsia="Arial"/>
                <w:b/>
                <w:bCs/>
                <w:color w:val="0059D1"/>
                <w:sz w:val="16"/>
                <w:szCs w:val="16"/>
              </w:rPr>
              <w:t>[INSERT: location]</w:t>
            </w:r>
          </w:p>
        </w:tc>
        <w:tc>
          <w:tcPr>
            <w:tcW w:type="dxa" w:w="1957"/>
          </w:tcPr>
          <w:p>
            <w:pPr>
              <w:pStyle w:val="TableContents"/>
              <w:spacing w:before="0" w:after="0" w:line="240" w:lineRule="atLeast"/>
            </w:pPr>
            <w:r>
              <w:rPr>
                <w:rFonts w:ascii="Arial" w:hAnsi="Arial" w:cs="Arial" w:eastAsia="Arial"/>
                <w:sz w:val="16"/>
                <w:szCs w:val="16"/>
              </w:rPr>
              <w:t>5 years or as required by Applicable Laws</w:t>
            </w:r>
          </w:p>
        </w:tc>
      </w:tr>
      <w:tr>
        <w:tc>
          <w:tcPr>
            <w:tcW w:type="dxa" w:w="1955"/>
          </w:tcPr>
          <w:p>
            <w:pPr>
              <w:pStyle w:val="TableContents"/>
              <w:spacing w:before="0" w:after="0" w:line="240" w:lineRule="atLeast"/>
            </w:pPr>
            <w:r>
              <w:rPr>
                <w:rFonts w:ascii="Arial" w:hAnsi="Arial" w:cs="Arial" w:eastAsia="Arial"/>
                <w:sz w:val="16"/>
                <w:szCs w:val="16"/>
              </w:rPr>
              <w:t>Misfire record</w:t>
            </w:r>
          </w:p>
        </w:tc>
        <w:tc>
          <w:tcPr>
            <w:tcW w:type="dxa" w:w="1955"/>
          </w:tcPr>
          <w:p>
            <w:pPr>
              <w:pStyle w:val="TableContents"/>
              <w:spacing w:before="0" w:after="0" w:line="240" w:lineRule="atLeast"/>
            </w:pPr>
            <w:r>
              <w:rPr>
                <w:rFonts w:ascii="Arial" w:hAnsi="Arial" w:cs="Arial" w:eastAsia="Arial"/>
                <w:b/>
                <w:bCs/>
                <w:color w:val="0059D1"/>
                <w:sz w:val="16"/>
                <w:szCs w:val="16"/>
              </w:rPr>
              <w:t>[INSERT: role title]</w:t>
            </w:r>
          </w:p>
        </w:tc>
        <w:tc>
          <w:tcPr>
            <w:tcW w:type="dxa" w:w="1955"/>
          </w:tcPr>
          <w:p>
            <w:pPr>
              <w:pStyle w:val="TableContents"/>
              <w:spacing w:before="0" w:after="0" w:line="240" w:lineRule="atLeast"/>
            </w:pPr>
            <w:r>
              <w:rPr>
                <w:rFonts w:ascii="Arial" w:hAnsi="Arial" w:cs="Arial" w:eastAsia="Arial"/>
                <w:sz w:val="16"/>
                <w:szCs w:val="16"/>
              </w:rPr>
              <w:t>Each misfire event</w:t>
            </w:r>
          </w:p>
        </w:tc>
        <w:tc>
          <w:tcPr>
            <w:tcW w:type="dxa" w:w="1955"/>
          </w:tcPr>
          <w:p>
            <w:pPr>
              <w:pStyle w:val="TableContents"/>
              <w:spacing w:before="0" w:after="0" w:line="240" w:lineRule="atLeast"/>
            </w:pPr>
            <w:r>
              <w:rPr>
                <w:rFonts w:ascii="Arial" w:hAnsi="Arial" w:cs="Arial" w:eastAsia="Arial"/>
                <w:b/>
                <w:bCs/>
                <w:color w:val="0059D1"/>
                <w:sz w:val="16"/>
                <w:szCs w:val="16"/>
              </w:rPr>
              <w:t>[INSERT: location]</w:t>
            </w:r>
          </w:p>
        </w:tc>
        <w:tc>
          <w:tcPr>
            <w:tcW w:type="dxa" w:w="1957"/>
          </w:tcPr>
          <w:p>
            <w:pPr>
              <w:pStyle w:val="TableContents"/>
              <w:spacing w:before="0" w:after="0" w:line="240" w:lineRule="atLeast"/>
            </w:pPr>
            <w:r>
              <w:rPr>
                <w:rFonts w:ascii="Arial" w:hAnsi="Arial" w:cs="Arial" w:eastAsia="Arial"/>
                <w:sz w:val="16"/>
                <w:szCs w:val="16"/>
              </w:rPr>
              <w:t>5 years or as required by Applicable Laws</w:t>
            </w:r>
          </w:p>
        </w:tc>
      </w:tr>
      <w:tr>
        <w:tc>
          <w:tcPr>
            <w:tcW w:type="dxa" w:w="1955"/>
          </w:tcPr>
          <w:p>
            <w:pPr>
              <w:pStyle w:val="TableContents"/>
              <w:spacing w:before="0" w:after="0" w:line="240" w:lineRule="atLeast"/>
            </w:pPr>
            <w:r>
              <w:rPr>
                <w:rFonts w:ascii="Arial" w:hAnsi="Arial" w:cs="Arial" w:eastAsia="Arial"/>
                <w:sz w:val="16"/>
                <w:szCs w:val="16"/>
              </w:rPr>
              <w:t>Transport risk assessment</w:t>
            </w:r>
          </w:p>
        </w:tc>
        <w:tc>
          <w:tcPr>
            <w:tcW w:type="dxa" w:w="1955"/>
          </w:tcPr>
          <w:p>
            <w:pPr>
              <w:pStyle w:val="TableContents"/>
              <w:spacing w:before="0" w:after="0" w:line="240" w:lineRule="atLeast"/>
            </w:pPr>
            <w:r>
              <w:rPr>
                <w:rFonts w:ascii="Arial" w:hAnsi="Arial" w:cs="Arial" w:eastAsia="Arial"/>
                <w:b/>
                <w:bCs/>
                <w:color w:val="0059D1"/>
                <w:sz w:val="16"/>
                <w:szCs w:val="16"/>
              </w:rPr>
              <w:t>[INSERT: role title]</w:t>
            </w:r>
          </w:p>
        </w:tc>
        <w:tc>
          <w:tcPr>
            <w:tcW w:type="dxa" w:w="1955"/>
          </w:tcPr>
          <w:p>
            <w:pPr>
              <w:pStyle w:val="TableContents"/>
              <w:spacing w:before="0" w:after="0" w:line="240" w:lineRule="atLeast"/>
            </w:pPr>
            <w:r>
              <w:rPr>
                <w:rFonts w:ascii="Arial" w:hAnsi="Arial" w:cs="Arial" w:eastAsia="Arial"/>
                <w:sz w:val="16"/>
                <w:szCs w:val="16"/>
              </w:rPr>
              <w:t>Per route or change</w:t>
            </w:r>
          </w:p>
        </w:tc>
        <w:tc>
          <w:tcPr>
            <w:tcW w:type="dxa" w:w="1955"/>
          </w:tcPr>
          <w:p>
            <w:pPr>
              <w:pStyle w:val="TableContents"/>
              <w:spacing w:before="0" w:after="0" w:line="240" w:lineRule="atLeast"/>
            </w:pPr>
            <w:r>
              <w:rPr>
                <w:rFonts w:ascii="Arial" w:hAnsi="Arial" w:cs="Arial" w:eastAsia="Arial"/>
                <w:b/>
                <w:bCs/>
                <w:color w:val="0059D1"/>
                <w:sz w:val="16"/>
                <w:szCs w:val="16"/>
              </w:rPr>
              <w:t>[INSERT: location]</w:t>
            </w:r>
          </w:p>
        </w:tc>
        <w:tc>
          <w:tcPr>
            <w:tcW w:type="dxa" w:w="1957"/>
          </w:tcPr>
          <w:p>
            <w:pPr>
              <w:pStyle w:val="TableContents"/>
              <w:spacing w:before="0" w:after="0" w:line="240" w:lineRule="atLeast"/>
            </w:pPr>
            <w:r>
              <w:rPr>
                <w:rFonts w:ascii="Arial" w:hAnsi="Arial" w:cs="Arial" w:eastAsia="Arial"/>
                <w:sz w:val="16"/>
                <w:szCs w:val="16"/>
              </w:rPr>
              <w:t>5 years or as required by Applicable Laws</w:t>
            </w:r>
          </w:p>
        </w:tc>
      </w:tr>
      <w:tr>
        <w:tc>
          <w:tcPr>
            <w:tcW w:type="dxa" w:w="1955"/>
          </w:tcPr>
          <w:p>
            <w:pPr>
              <w:pStyle w:val="TableContents"/>
              <w:spacing w:before="0" w:after="0" w:line="240" w:lineRule="atLeast"/>
            </w:pPr>
            <w:r>
              <w:rPr>
                <w:rFonts w:ascii="Arial" w:hAnsi="Arial" w:cs="Arial" w:eastAsia="Arial"/>
                <w:b/>
                <w:bCs/>
                <w:color w:val="0059D1"/>
                <w:sz w:val="16"/>
                <w:szCs w:val="16"/>
              </w:rPr>
              <w:t>[INSERT: additional record type]</w:t>
            </w:r>
          </w:p>
        </w:tc>
        <w:tc>
          <w:tcPr>
            <w:tcW w:type="dxa" w:w="1955"/>
          </w:tcPr>
          <w:p>
            <w:pPr>
              <w:pStyle w:val="TableContents"/>
              <w:spacing w:before="0" w:after="0" w:line="240" w:lineRule="atLeast"/>
            </w:pPr>
            <w:r>
              <w:rPr>
                <w:rFonts w:ascii="Arial" w:hAnsi="Arial" w:cs="Arial" w:eastAsia="Arial"/>
                <w:b/>
                <w:bCs/>
                <w:color w:val="0059D1"/>
                <w:sz w:val="16"/>
                <w:szCs w:val="16"/>
              </w:rPr>
              <w:t>[INSERT: role title]</w:t>
            </w:r>
          </w:p>
        </w:tc>
        <w:tc>
          <w:tcPr>
            <w:tcW w:type="dxa" w:w="1955"/>
          </w:tcPr>
          <w:p>
            <w:pPr>
              <w:pStyle w:val="TableContents"/>
              <w:spacing w:before="0" w:after="0" w:line="240" w:lineRule="atLeast"/>
            </w:pPr>
            <w:r>
              <w:rPr>
                <w:rFonts w:ascii="Arial" w:hAnsi="Arial" w:cs="Arial" w:eastAsia="Arial"/>
                <w:b/>
                <w:bCs/>
                <w:color w:val="0059D1"/>
                <w:sz w:val="16"/>
                <w:szCs w:val="16"/>
              </w:rPr>
              <w:t>[INSERT: frequency]</w:t>
            </w:r>
          </w:p>
        </w:tc>
        <w:tc>
          <w:tcPr>
            <w:tcW w:type="dxa" w:w="1955"/>
          </w:tcPr>
          <w:p>
            <w:pPr>
              <w:pStyle w:val="TableContents"/>
              <w:spacing w:before="0" w:after="0" w:line="240" w:lineRule="atLeast"/>
            </w:pPr>
            <w:r>
              <w:rPr>
                <w:rFonts w:ascii="Arial" w:hAnsi="Arial" w:cs="Arial" w:eastAsia="Arial"/>
                <w:b/>
                <w:bCs/>
                <w:color w:val="0059D1"/>
                <w:sz w:val="16"/>
                <w:szCs w:val="16"/>
              </w:rPr>
              <w:t>[INSERT: location]</w:t>
            </w:r>
          </w:p>
        </w:tc>
        <w:tc>
          <w:tcPr>
            <w:tcW w:type="dxa" w:w="1957"/>
          </w:tcPr>
          <w:p>
            <w:pPr>
              <w:pStyle w:val="TableContents"/>
              <w:spacing w:before="0" w:after="0" w:line="240" w:lineRule="atLeast"/>
            </w:pPr>
            <w:r>
              <w:rPr>
                <w:rFonts w:ascii="Arial" w:hAnsi="Arial" w:cs="Arial" w:eastAsia="Arial"/>
                <w:b/>
                <w:bCs/>
                <w:color w:val="0059D1"/>
                <w:sz w:val="16"/>
                <w:szCs w:val="16"/>
              </w:rPr>
              <w:t>[INSERT: retention period]</w:t>
            </w:r>
          </w:p>
        </w:tc>
      </w:tr>
    </w:tbl>
    <w:p>
      <w:pPr>
        <w:pStyle w:val="NormalNumberedtext"/>
      </w:pPr>
    </w:p>
    <w:p>
      <w:pPr>
        <w:pStyle w:val="Heading1Numbered"/>
        <w:numPr>
          <w:ilvl w:val="0"/>
          <w:numId w:val="1"/>
        </w:numPr>
      </w:pPr>
      <w:r>
        <w:rPr>
          <w:rFonts w:ascii="Arial" w:hAnsi="Arial" w:cs="Arial" w:eastAsia="Arial"/>
        </w:rPr>
        <w:t>Incident Reporting</w:t>
      </w:r>
    </w:p>
    <w:p>
      <w:pPr>
        <w:pStyle w:val="NormalNumberedtext"/>
      </w:pPr>
      <w:r>
        <w:t>This section defines the incident reporting obligations for all explosives-related incidents and deviations from the approved explosives process, including regulatory notification requirements.</w:t>
      </w:r>
    </w:p>
    <w:p>
      <w:pPr>
        <w:pStyle w:val="NormalNumberedtext"/>
      </w:pPr>
      <w:r>
        <w:t>All incidents or deviations from the approved explosives process must be reported and investigated in line with Company requirements - refer [INSERT: Project Document Number]. This includes misfire events, unplanned detonations, explosives losses or discrepancies, and any condition that is not consistent with the approved Explosives Management Plan.</w:t>
      </w:r>
    </w:p>
    <w:p>
      <w:pPr>
        <w:pStyle w:val="NormalNumberedtext"/>
      </w:pPr>
      <w:r>
        <w:t>Explosives-related incidents must also be reported to the relevant regulatory authority within the timeframes required by Applicable Laws. The Project Manager or delegated representative is responsible for ensuring regulatory notifications are made and records of those notifications are retained.</w:t>
      </w:r>
    </w:p>
    <w:p>
      <w:pPr>
        <w:pStyle w:val="NormalNumberedtext"/>
      </w:pPr>
      <w:r>
        <w:t>Table 6: Explosives Incident Notification Requirements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Incident Type</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Internal Reporting Pathway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Regulatory Authority</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Regulatory Notification Timeframe</w:t>
            </w:r>
          </w:p>
        </w:tc>
      </w:tr>
      <w:tr>
        <w:tc>
          <w:tcPr>
            <w:tcW w:type="dxa" w:w="2444"/>
          </w:tcPr>
          <w:p>
            <w:pPr>
              <w:pStyle w:val="TableContents"/>
              <w:spacing w:before="0" w:after="0" w:line="240" w:lineRule="atLeast"/>
            </w:pPr>
            <w:r>
              <w:rPr>
                <w:rFonts w:ascii="Arial" w:hAnsi="Arial" w:cs="Arial" w:eastAsia="Arial"/>
                <w:sz w:val="16"/>
                <w:szCs w:val="16"/>
              </w:rPr>
              <w:t>Unplanned detonation</w:t>
            </w:r>
          </w:p>
        </w:tc>
        <w:tc>
          <w:tcPr>
            <w:tcW w:type="dxa" w:w="2444"/>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p>
        </w:tc>
        <w:tc>
          <w:tcPr>
            <w:tcW w:type="dxa" w:w="2444"/>
          </w:tcPr>
          <w:p>
            <w:pPr>
              <w:pStyle w:val="TableContents"/>
              <w:spacing w:before="0" w:after="0" w:line="240" w:lineRule="atLeast"/>
            </w:pPr>
            <w:r>
              <w:rPr>
                <w:rFonts w:ascii="Arial" w:hAnsi="Arial" w:cs="Arial" w:eastAsia="Arial"/>
                <w:b/>
                <w:bCs/>
                <w:color w:val="0059D1"/>
                <w:sz w:val="16"/>
                <w:szCs w:val="16"/>
              </w:rPr>
              <w:t>[INSERT: authority name]</w:t>
            </w:r>
          </w:p>
        </w:tc>
        <w:tc>
          <w:tcPr>
            <w:tcW w:type="dxa" w:w="2445"/>
          </w:tcPr>
          <w:p>
            <w:pPr>
              <w:pStyle w:val="TableContents"/>
              <w:spacing w:before="0" w:after="0" w:line="240" w:lineRule="atLeast"/>
            </w:pPr>
            <w:r>
              <w:rPr>
                <w:rFonts w:ascii="Arial" w:hAnsi="Arial" w:cs="Arial" w:eastAsia="Arial"/>
                <w:b/>
                <w:bCs/>
                <w:color w:val="0059D1"/>
                <w:sz w:val="16"/>
                <w:szCs w:val="16"/>
              </w:rPr>
              <w:t>[INSERT: timeframe required by Applicable Laws]</w:t>
            </w:r>
          </w:p>
        </w:tc>
      </w:tr>
      <w:tr>
        <w:tc>
          <w:tcPr>
            <w:tcW w:type="dxa" w:w="2444"/>
          </w:tcPr>
          <w:p>
            <w:pPr>
              <w:pStyle w:val="TableContents"/>
              <w:spacing w:before="0" w:after="0" w:line="240" w:lineRule="atLeast"/>
            </w:pPr>
            <w:r>
              <w:rPr>
                <w:rFonts w:ascii="Arial" w:hAnsi="Arial" w:cs="Arial" w:eastAsia="Arial"/>
                <w:sz w:val="16"/>
                <w:szCs w:val="16"/>
              </w:rPr>
              <w:t>Confirmed misfire</w:t>
            </w:r>
          </w:p>
        </w:tc>
        <w:tc>
          <w:tcPr>
            <w:tcW w:type="dxa" w:w="2444"/>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p>
        </w:tc>
        <w:tc>
          <w:tcPr>
            <w:tcW w:type="dxa" w:w="2444"/>
          </w:tcPr>
          <w:p>
            <w:pPr>
              <w:pStyle w:val="TableContents"/>
              <w:spacing w:before="0" w:after="0" w:line="240" w:lineRule="atLeast"/>
            </w:pPr>
            <w:r>
              <w:rPr>
                <w:rFonts w:ascii="Arial" w:hAnsi="Arial" w:cs="Arial" w:eastAsia="Arial"/>
                <w:b/>
                <w:bCs/>
                <w:color w:val="0059D1"/>
                <w:sz w:val="16"/>
                <w:szCs w:val="16"/>
              </w:rPr>
              <w:t>[INSERT: authority name]</w:t>
            </w:r>
          </w:p>
        </w:tc>
        <w:tc>
          <w:tcPr>
            <w:tcW w:type="dxa" w:w="2445"/>
          </w:tcPr>
          <w:p>
            <w:pPr>
              <w:pStyle w:val="TableContents"/>
              <w:spacing w:before="0" w:after="0" w:line="240" w:lineRule="atLeast"/>
            </w:pPr>
            <w:r>
              <w:rPr>
                <w:rFonts w:ascii="Arial" w:hAnsi="Arial" w:cs="Arial" w:eastAsia="Arial"/>
                <w:b/>
                <w:bCs/>
                <w:color w:val="0059D1"/>
                <w:sz w:val="16"/>
                <w:szCs w:val="16"/>
              </w:rPr>
              <w:t>[INSERT: timeframe required by Applicable Laws]</w:t>
            </w:r>
          </w:p>
        </w:tc>
      </w:tr>
      <w:tr>
        <w:tc>
          <w:tcPr>
            <w:tcW w:type="dxa" w:w="2444"/>
          </w:tcPr>
          <w:p>
            <w:pPr>
              <w:pStyle w:val="TableContents"/>
              <w:spacing w:before="0" w:after="0" w:line="240" w:lineRule="atLeast"/>
            </w:pPr>
            <w:r>
              <w:rPr>
                <w:rFonts w:ascii="Arial" w:hAnsi="Arial" w:cs="Arial" w:eastAsia="Arial"/>
                <w:sz w:val="16"/>
                <w:szCs w:val="16"/>
              </w:rPr>
              <w:t>Explosives theft or loss</w:t>
            </w:r>
          </w:p>
        </w:tc>
        <w:tc>
          <w:tcPr>
            <w:tcW w:type="dxa" w:w="2444"/>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p>
        </w:tc>
        <w:tc>
          <w:tcPr>
            <w:tcW w:type="dxa" w:w="2444"/>
          </w:tcPr>
          <w:p>
            <w:pPr>
              <w:pStyle w:val="TableContents"/>
              <w:spacing w:before="0" w:after="0" w:line="240" w:lineRule="atLeast"/>
            </w:pPr>
            <w:r>
              <w:rPr>
                <w:rFonts w:ascii="Arial" w:hAnsi="Arial" w:cs="Arial" w:eastAsia="Arial"/>
                <w:b/>
                <w:bCs/>
                <w:color w:val="0059D1"/>
                <w:sz w:val="16"/>
                <w:szCs w:val="16"/>
              </w:rPr>
              <w:t>[INSERT: authority name and police]</w:t>
            </w:r>
          </w:p>
        </w:tc>
        <w:tc>
          <w:tcPr>
            <w:tcW w:type="dxa" w:w="2445"/>
          </w:tcPr>
          <w:p>
            <w:pPr>
              <w:pStyle w:val="TableContents"/>
              <w:spacing w:before="0" w:after="0" w:line="240" w:lineRule="atLeast"/>
            </w:pPr>
            <w:r>
              <w:rPr>
                <w:rFonts w:ascii="Arial" w:hAnsi="Arial" w:cs="Arial" w:eastAsia="Arial"/>
                <w:b/>
                <w:bCs/>
                <w:color w:val="0059D1"/>
                <w:sz w:val="16"/>
                <w:szCs w:val="16"/>
              </w:rPr>
              <w:t>[INSERT: timeframe required by Applicable Laws]</w:t>
            </w:r>
          </w:p>
        </w:tc>
      </w:tr>
      <w:tr>
        <w:tc>
          <w:tcPr>
            <w:tcW w:type="dxa" w:w="2444"/>
          </w:tcPr>
          <w:p>
            <w:pPr>
              <w:pStyle w:val="TableContents"/>
              <w:spacing w:before="0" w:after="0" w:line="240" w:lineRule="atLeast"/>
            </w:pPr>
            <w:r>
              <w:rPr>
                <w:rFonts w:ascii="Arial" w:hAnsi="Arial" w:cs="Arial" w:eastAsia="Arial"/>
                <w:sz w:val="16"/>
                <w:szCs w:val="16"/>
              </w:rPr>
              <w:t>Explosives transport incident</w:t>
            </w:r>
          </w:p>
        </w:tc>
        <w:tc>
          <w:tcPr>
            <w:tcW w:type="dxa" w:w="2444"/>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p>
        </w:tc>
        <w:tc>
          <w:tcPr>
            <w:tcW w:type="dxa" w:w="2444"/>
          </w:tcPr>
          <w:p>
            <w:pPr>
              <w:pStyle w:val="TableContents"/>
              <w:spacing w:before="0" w:after="0" w:line="240" w:lineRule="atLeast"/>
            </w:pPr>
            <w:r>
              <w:rPr>
                <w:rFonts w:ascii="Arial" w:hAnsi="Arial" w:cs="Arial" w:eastAsia="Arial"/>
                <w:b/>
                <w:bCs/>
                <w:color w:val="0059D1"/>
                <w:sz w:val="16"/>
                <w:szCs w:val="16"/>
              </w:rPr>
              <w:t>[INSERT: authority name]</w:t>
            </w:r>
          </w:p>
        </w:tc>
        <w:tc>
          <w:tcPr>
            <w:tcW w:type="dxa" w:w="2445"/>
          </w:tcPr>
          <w:p>
            <w:pPr>
              <w:pStyle w:val="TableContents"/>
              <w:spacing w:before="0" w:after="0" w:line="240" w:lineRule="atLeast"/>
            </w:pPr>
            <w:r>
              <w:rPr>
                <w:rFonts w:ascii="Arial" w:hAnsi="Arial" w:cs="Arial" w:eastAsia="Arial"/>
                <w:b/>
                <w:bCs/>
                <w:color w:val="0059D1"/>
                <w:sz w:val="16"/>
                <w:szCs w:val="16"/>
              </w:rPr>
              <w:t>[INSERT: timeframe required by Applicable Laws]</w:t>
            </w:r>
          </w:p>
        </w:tc>
      </w:tr>
      <w:tr>
        <w:tc>
          <w:tcPr>
            <w:tcW w:type="dxa" w:w="2444"/>
          </w:tcPr>
          <w:p>
            <w:pPr>
              <w:pStyle w:val="TableContents"/>
              <w:spacing w:before="0" w:after="0" w:line="240" w:lineRule="atLeast"/>
            </w:pPr>
            <w:r>
              <w:rPr>
                <w:rFonts w:ascii="Arial" w:hAnsi="Arial" w:cs="Arial" w:eastAsia="Arial"/>
                <w:sz w:val="16"/>
                <w:szCs w:val="16"/>
              </w:rPr>
              <w:t>Fire in or near explosive storage</w:t>
            </w:r>
          </w:p>
        </w:tc>
        <w:tc>
          <w:tcPr>
            <w:tcW w:type="dxa" w:w="2444"/>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p>
        </w:tc>
        <w:tc>
          <w:tcPr>
            <w:tcW w:type="dxa" w:w="2444"/>
          </w:tcPr>
          <w:p>
            <w:pPr>
              <w:pStyle w:val="TableContents"/>
              <w:spacing w:before="0" w:after="0" w:line="240" w:lineRule="atLeast"/>
            </w:pPr>
            <w:r>
              <w:rPr>
                <w:rFonts w:ascii="Arial" w:hAnsi="Arial" w:cs="Arial" w:eastAsia="Arial"/>
                <w:b/>
                <w:bCs/>
                <w:color w:val="0059D1"/>
                <w:sz w:val="16"/>
                <w:szCs w:val="16"/>
              </w:rPr>
              <w:t>[INSERT: authority name]</w:t>
            </w:r>
          </w:p>
        </w:tc>
        <w:tc>
          <w:tcPr>
            <w:tcW w:type="dxa" w:w="2445"/>
          </w:tcPr>
          <w:p>
            <w:pPr>
              <w:pStyle w:val="TableContents"/>
              <w:spacing w:before="0" w:after="0" w:line="240" w:lineRule="atLeast"/>
            </w:pPr>
            <w:r>
              <w:rPr>
                <w:rFonts w:ascii="Arial" w:hAnsi="Arial" w:cs="Arial" w:eastAsia="Arial"/>
                <w:b/>
                <w:bCs/>
                <w:color w:val="0059D1"/>
                <w:sz w:val="16"/>
                <w:szCs w:val="16"/>
              </w:rPr>
              <w:t>[INSERT: timeframe required by Applicable Laws]</w:t>
            </w:r>
          </w:p>
        </w:tc>
      </w:tr>
      <w:tr>
        <w:tc>
          <w:tcPr>
            <w:tcW w:type="dxa" w:w="2444"/>
          </w:tcPr>
          <w:p>
            <w:pPr>
              <w:pStyle w:val="TableContents"/>
              <w:spacing w:before="0" w:after="0" w:line="240" w:lineRule="atLeast"/>
            </w:pPr>
            <w:r>
              <w:rPr>
                <w:rFonts w:ascii="Arial" w:hAnsi="Arial" w:cs="Arial" w:eastAsia="Arial"/>
                <w:b/>
                <w:bCs/>
                <w:color w:val="0059D1"/>
                <w:sz w:val="16"/>
                <w:szCs w:val="16"/>
              </w:rPr>
              <w:t>[INSERT: additional incident type]</w:t>
            </w:r>
          </w:p>
        </w:tc>
        <w:tc>
          <w:tcPr>
            <w:tcW w:type="dxa" w:w="2444"/>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p>
        </w:tc>
        <w:tc>
          <w:tcPr>
            <w:tcW w:type="dxa" w:w="2444"/>
          </w:tcPr>
          <w:p>
            <w:pPr>
              <w:pStyle w:val="TableContents"/>
              <w:spacing w:before="0" w:after="0" w:line="240" w:lineRule="atLeast"/>
            </w:pPr>
            <w:r>
              <w:rPr>
                <w:rFonts w:ascii="Arial" w:hAnsi="Arial" w:cs="Arial" w:eastAsia="Arial"/>
                <w:b/>
                <w:bCs/>
                <w:color w:val="0059D1"/>
                <w:sz w:val="16"/>
                <w:szCs w:val="16"/>
              </w:rPr>
              <w:t>[INSERT: authority name]</w:t>
            </w:r>
          </w:p>
        </w:tc>
        <w:tc>
          <w:tcPr>
            <w:tcW w:type="dxa" w:w="2445"/>
          </w:tcPr>
          <w:p>
            <w:pPr>
              <w:pStyle w:val="TableContents"/>
              <w:spacing w:before="0" w:after="0" w:line="240" w:lineRule="atLeast"/>
            </w:pPr>
            <w:r>
              <w:rPr>
                <w:rFonts w:ascii="Arial" w:hAnsi="Arial" w:cs="Arial" w:eastAsia="Arial"/>
                <w:b/>
                <w:bCs/>
                <w:color w:val="0059D1"/>
                <w:sz w:val="16"/>
                <w:szCs w:val="16"/>
              </w:rPr>
              <w:t>[INSERT: timeframe]</w:t>
            </w:r>
          </w:p>
        </w:tc>
      </w:tr>
    </w:tbl>
    <w:p>
      <w:pPr>
        <w:pStyle w:val="NormalNumberedtext"/>
      </w:pPr>
    </w:p>
    <w:p>
      <w:pPr>
        <w:pStyle w:val="Heading1Numbered"/>
        <w:numPr>
          <w:ilvl w:val="0"/>
          <w:numId w:val="1"/>
        </w:numPr>
      </w:pPr>
      <w:r>
        <w:rPr>
          <w:rFonts w:ascii="Arial" w:hAnsi="Arial" w:cs="Arial" w:eastAsia="Arial"/>
        </w:rPr>
        <w:t>Emergency Response</w:t>
      </w:r>
    </w:p>
    <w:p>
      <w:pPr>
        <w:pStyle w:val="NormalNumberedtext"/>
      </w:pPr>
      <w:r>
        <w:t>This section defines the emergency response planning requirements for explosive incident scenarios, including mandatory scenarios, testing obligations, and integration with the project emergency response plan.</w:t>
      </w:r>
    </w:p>
    <w:p>
      <w:pPr>
        <w:pStyle w:val="NormalNumberedtext"/>
      </w:pPr>
      <w:r>
        <w:t>A specific emergency response plan addressing potential explosive incident scenarios must be developed before any explosives are brought to site. The emergency response plan must be integrated into the overall project Emergency Response Plan - refer [INSERT: Project Document Number].</w:t>
      </w:r>
    </w:p>
    <w:p>
      <w:pPr>
        <w:pStyle w:val="NormalNumberedtext"/>
      </w:pPr>
      <w:r>
        <w:t>The emergency response plan for explosive incidents must address, as a minimum, the following scenarios:</w:t>
      </w:r>
    </w:p>
    <w:p>
      <w:pPr>
        <w:pStyle w:val="NumberedBulletL1"/>
      </w:pPr>
      <w:r>
        <w:t>Unplanned detonation, including immediate response, casualty management, and site security</w:t>
      </w:r>
    </w:p>
    <w:p>
      <w:pPr>
        <w:pStyle w:val="NumberedBulletL1"/>
      </w:pPr>
      <w:r>
        <w:t>Misfire, including blast area isolation, re-entry controls, and treatment or destruction of the misfired charge</w:t>
      </w:r>
    </w:p>
    <w:p>
      <w:pPr>
        <w:pStyle w:val="NumberedBulletL1"/>
      </w:pPr>
      <w:r>
        <w:t>Explosives theft or loss, including notification to the Company, regulatory authority, and police</w:t>
      </w:r>
    </w:p>
    <w:p>
      <w:pPr>
        <w:pStyle w:val="NumberedBulletL1"/>
      </w:pPr>
      <w:r>
        <w:t>Explosives vehicle accident, including transport emergency procedures, spill management, and dangerous goods incident response</w:t>
      </w:r>
    </w:p>
    <w:p>
      <w:pPr>
        <w:pStyle w:val="NumberedBulletL1"/>
      </w:pPr>
      <w:r>
        <w:t>Fire in or near explosive storage, including evacuation, exclusion zones, and notification to emergency services and the regulatory authority</w:t>
      </w:r>
    </w:p>
    <w:p>
      <w:pPr>
        <w:pStyle w:val="Normal"/>
      </w:pPr>
      <w:r>
        <w:rPr>
          <w:b/>
          <w:bCs/>
          <w:color w:val="0059D1"/>
        </w:rPr>
        <w:t>[INSERT: additional_emergency_scenarios]</w:t>
      </w:r>
    </w:p>
    <w:p>
      <w:pPr>
        <w:pStyle w:val="NormalNumberedtext"/>
      </w:pPr>
      <w:r>
        <w:t>The emergency response plan for explosive incidents must be tested before explosives are brought to site. Testing must include a desktop review and, where practicable, a field exercise involving all key response roles. The test must be documented and outcomes recorded, with any gaps addressed before explosives arrive.</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 xml:space="preserve">PROJECT COMPLETION - ITEM 5: Confirm the explosives emergency response scenarios for this project and integrate them into the project ERP - refer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Test the explosives emergency response before explosives arrive on site and record the test outcomes below.</w:t>
            </w:r>
          </w:p>
        </w:tc>
      </w:tr>
    </w:tbl>
    <w:p>
      <w:pPr>
        <w:pStyle w:val="NormalNumberedtext"/>
      </w:pPr>
    </w:p>
    <w:p>
      <w:pPr>
        <w:pStyle w:val="NormalNumberedtext"/>
      </w:pPr>
      <w:r>
        <w:t>Table 7: Explosives Emergency Response Plan - Testing Record</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Test Type</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Scenarios Tested</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Date Conducted</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Conducted By</w:t>
            </w:r>
          </w:p>
        </w:tc>
        <w:tc>
          <w:tcPr>
            <w:shd w:val="clear" w:color="auto" w:fill="1F3864"/>
            <w:tcW w:type="dxa" w:w="1629"/>
          </w:tcPr>
          <w:p>
            <w:pPr>
              <w:pStyle w:val="TableContents"/>
              <w:spacing w:before="0" w:after="0" w:line="240" w:lineRule="atLeast"/>
            </w:pPr>
            <w:r>
              <w:rPr>
                <w:rFonts w:ascii="Arial" w:hAnsi="Arial" w:cs="Arial" w:eastAsia="Arial"/>
                <w:b/>
                <w:bCs/>
                <w:color w:val="FFFFFF"/>
                <w:sz w:val="16"/>
                <w:szCs w:val="16"/>
              </w:rPr>
              <w:t>Gaps Identified</w:t>
            </w:r>
          </w:p>
        </w:tc>
        <w:tc>
          <w:tcPr>
            <w:shd w:val="clear" w:color="auto" w:fill="1F3864"/>
            <w:tcW w:type="dxa" w:w="1632"/>
          </w:tcPr>
          <w:p>
            <w:pPr>
              <w:pStyle w:val="TableContents"/>
              <w:spacing w:before="0" w:after="0" w:line="240" w:lineRule="atLeast"/>
            </w:pPr>
            <w:r>
              <w:rPr>
                <w:rFonts w:ascii="Arial" w:hAnsi="Arial" w:cs="Arial" w:eastAsia="Arial"/>
                <w:b/>
                <w:bCs/>
                <w:color w:val="FFFFFF"/>
                <w:sz w:val="16"/>
                <w:szCs w:val="16"/>
              </w:rPr>
              <w:t>Gaps Closed (Y/N / Date)</w:t>
            </w:r>
          </w:p>
        </w:tc>
      </w:tr>
      <w:tr>
        <w:tc>
          <w:tcPr>
            <w:tcW w:type="dxa" w:w="1629"/>
          </w:tcPr>
          <w:p>
            <w:pPr>
              <w:pStyle w:val="TableContents"/>
              <w:spacing w:before="0" w:after="0" w:line="240" w:lineRule="atLeast"/>
            </w:pPr>
            <w:r>
              <w:rPr>
                <w:rFonts w:ascii="Arial" w:hAnsi="Arial" w:cs="Arial" w:eastAsia="Arial"/>
                <w:sz w:val="16"/>
                <w:szCs w:val="16"/>
              </w:rPr>
              <w:t>Desktop review</w:t>
            </w:r>
          </w:p>
        </w:tc>
        <w:tc>
          <w:tcPr>
            <w:tcW w:type="dxa" w:w="1629"/>
          </w:tcPr>
          <w:p>
            <w:pPr>
              <w:pStyle w:val="TableContents"/>
              <w:spacing w:before="0" w:after="0" w:line="240" w:lineRule="atLeast"/>
            </w:pPr>
            <w:r>
              <w:rPr>
                <w:rFonts w:ascii="Arial" w:hAnsi="Arial" w:cs="Arial" w:eastAsia="Arial"/>
                <w:b/>
                <w:bCs/>
                <w:color w:val="0059D1"/>
                <w:sz w:val="16"/>
                <w:szCs w:val="16"/>
              </w:rPr>
              <w:t>[INSERT: scenarios]</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29"/>
          </w:tcPr>
          <w:p>
            <w:pPr>
              <w:pStyle w:val="TableContents"/>
              <w:spacing w:before="0" w:after="0" w:line="240" w:lineRule="atLeast"/>
            </w:pPr>
            <w:r>
              <w:rPr>
                <w:rFonts w:ascii="Arial" w:hAnsi="Arial" w:cs="Arial" w:eastAsia="Arial"/>
                <w:b/>
                <w:bCs/>
                <w:color w:val="0059D1"/>
                <w:sz w:val="16"/>
                <w:szCs w:val="16"/>
              </w:rPr>
              <w:t>[INSERT: role title]</w:t>
            </w:r>
          </w:p>
        </w:tc>
        <w:tc>
          <w:tcPr>
            <w:tcW w:type="dxa" w:w="1629"/>
          </w:tcPr>
          <w:p>
            <w:pPr>
              <w:pStyle w:val="TableContents"/>
              <w:spacing w:before="0" w:after="0" w:line="240" w:lineRule="atLeast"/>
            </w:pPr>
            <w:r>
              <w:rPr>
                <w:rFonts w:ascii="Arial" w:hAnsi="Arial" w:cs="Arial" w:eastAsia="Arial"/>
                <w:b/>
                <w:bCs/>
                <w:color w:val="0059D1"/>
                <w:sz w:val="16"/>
                <w:szCs w:val="16"/>
              </w:rPr>
              <w:t>[INSERT: description or nil]</w:t>
            </w:r>
          </w:p>
        </w:tc>
        <w:tc>
          <w:tcPr>
            <w:tcW w:type="dxa" w:w="1632"/>
          </w:tcPr>
          <w:p>
            <w:pPr>
              <w:pStyle w:val="TableContents"/>
              <w:spacing w:before="0" w:after="0" w:line="240" w:lineRule="atLeast"/>
            </w:pPr>
            <w:r>
              <w:rPr>
                <w:rFonts w:ascii="Arial" w:hAnsi="Arial" w:cs="Arial" w:eastAsia="Arial"/>
                <w:b/>
                <w:bCs/>
                <w:color w:val="0059D1"/>
                <w:sz w:val="16"/>
                <w:szCs w:val="16"/>
              </w:rPr>
              <w:t>[INSERT: Y/N and date]</w:t>
            </w:r>
          </w:p>
        </w:tc>
      </w:tr>
      <w:tr>
        <w:tc>
          <w:tcPr>
            <w:tcW w:type="dxa" w:w="1629"/>
          </w:tcPr>
          <w:p>
            <w:pPr>
              <w:pStyle w:val="TableContents"/>
              <w:spacing w:before="0" w:after="0" w:line="240" w:lineRule="atLeast"/>
            </w:pPr>
            <w:r>
              <w:rPr>
                <w:rFonts w:ascii="Arial" w:hAnsi="Arial" w:cs="Arial" w:eastAsia="Arial"/>
                <w:sz w:val="16"/>
                <w:szCs w:val="16"/>
              </w:rPr>
              <w:t>Field exercise</w:t>
            </w:r>
          </w:p>
        </w:tc>
        <w:tc>
          <w:tcPr>
            <w:tcW w:type="dxa" w:w="1629"/>
          </w:tcPr>
          <w:p>
            <w:pPr>
              <w:pStyle w:val="TableContents"/>
              <w:spacing w:before="0" w:after="0" w:line="240" w:lineRule="atLeast"/>
            </w:pPr>
            <w:r>
              <w:rPr>
                <w:rFonts w:ascii="Arial" w:hAnsi="Arial" w:cs="Arial" w:eastAsia="Arial"/>
                <w:b/>
                <w:bCs/>
                <w:color w:val="0059D1"/>
                <w:sz w:val="16"/>
                <w:szCs w:val="16"/>
              </w:rPr>
              <w:t>[INSERT: scenarios]</w:t>
            </w:r>
          </w:p>
        </w:tc>
        <w:tc>
          <w:tcPr>
            <w:tcW w:type="dxa" w:w="1629"/>
          </w:tcPr>
          <w:p>
            <w:pPr>
              <w:pStyle w:val="TableContents"/>
              <w:spacing w:before="0" w:after="0" w:line="240" w:lineRule="atLeast"/>
            </w:pPr>
            <w:r>
              <w:rPr>
                <w:rFonts w:ascii="Arial" w:hAnsi="Arial" w:cs="Arial" w:eastAsia="Arial"/>
                <w:b/>
                <w:bCs/>
                <w:color w:val="0059D1"/>
                <w:sz w:val="16"/>
                <w:szCs w:val="16"/>
              </w:rPr>
              <w:t>[INSERT: date]</w:t>
            </w:r>
          </w:p>
        </w:tc>
        <w:tc>
          <w:tcPr>
            <w:tcW w:type="dxa" w:w="1629"/>
          </w:tcPr>
          <w:p>
            <w:pPr>
              <w:pStyle w:val="TableContents"/>
              <w:spacing w:before="0" w:after="0" w:line="240" w:lineRule="atLeast"/>
            </w:pPr>
            <w:r>
              <w:rPr>
                <w:rFonts w:ascii="Arial" w:hAnsi="Arial" w:cs="Arial" w:eastAsia="Arial"/>
                <w:b/>
                <w:bCs/>
                <w:color w:val="0059D1"/>
                <w:sz w:val="16"/>
                <w:szCs w:val="16"/>
              </w:rPr>
              <w:t>[INSERT: role title]</w:t>
            </w:r>
          </w:p>
        </w:tc>
        <w:tc>
          <w:tcPr>
            <w:tcW w:type="dxa" w:w="1629"/>
          </w:tcPr>
          <w:p>
            <w:pPr>
              <w:pStyle w:val="TableContents"/>
              <w:spacing w:before="0" w:after="0" w:line="240" w:lineRule="atLeast"/>
            </w:pPr>
            <w:r>
              <w:rPr>
                <w:rFonts w:ascii="Arial" w:hAnsi="Arial" w:cs="Arial" w:eastAsia="Arial"/>
                <w:b/>
                <w:bCs/>
                <w:color w:val="0059D1"/>
                <w:sz w:val="16"/>
                <w:szCs w:val="16"/>
              </w:rPr>
              <w:t>[INSERT: description or nil]</w:t>
            </w:r>
          </w:p>
        </w:tc>
        <w:tc>
          <w:tcPr>
            <w:tcW w:type="dxa" w:w="1632"/>
          </w:tcPr>
          <w:p>
            <w:pPr>
              <w:pStyle w:val="TableContents"/>
              <w:spacing w:before="0" w:after="0" w:line="240" w:lineRule="atLeast"/>
            </w:pPr>
            <w:r>
              <w:rPr>
                <w:rFonts w:ascii="Arial" w:hAnsi="Arial" w:cs="Arial" w:eastAsia="Arial"/>
                <w:b/>
                <w:bCs/>
                <w:color w:val="0059D1"/>
                <w:sz w:val="16"/>
                <w:szCs w:val="16"/>
              </w:rPr>
              <w:t>[INSERT: Y/N and date]</w:t>
            </w:r>
          </w:p>
        </w:tc>
      </w:tr>
    </w:tbl>
    <w:p>
      <w:pPr>
        <w:pStyle w:val="NormalNumberedtext"/>
      </w:pPr>
    </w:p>
    <w:p>
      <w:pPr>
        <w:pStyle w:val="NormalNumberedtext"/>
      </w:pPr>
      <w:r>
        <w:t>All explosive emergency response contacts, including the relevant regulatory authority, emergency services, Company crisis contacts, and the explosives supplier emergency line, must be documented in the project Emergency Response Plan - refer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ANFO</w:t>
            </w:r>
          </w:p>
        </w:tc>
        <w:tc>
          <w:tcPr>
            <w:tcW w:type="dxa" w:w="4889"/>
          </w:tcPr>
          <w:p>
            <w:pPr>
              <w:pStyle w:val="TableContents"/>
              <w:spacing w:before="0" w:after="0" w:line="240" w:lineRule="atLeast"/>
            </w:pPr>
            <w:r>
              <w:rPr>
                <w:rFonts w:ascii="Arial" w:hAnsi="Arial" w:cs="Arial" w:eastAsia="Arial"/>
                <w:sz w:val="16"/>
                <w:szCs w:val="16"/>
              </w:rPr>
              <w:t>Ammonium Nitrate Fuel Oil - a bulk explosive mixture commonly used in blasting operations, consisting of porous ammonium nitrate prills and fuel oil.</w:t>
            </w:r>
          </w:p>
        </w:tc>
      </w:tr>
      <w:tr>
        <w:tc>
          <w:tcPr>
            <w:tcW w:type="dxa" w:w="4888"/>
          </w:tcPr>
          <w:p>
            <w:pPr>
              <w:pStyle w:val="TableContents"/>
              <w:spacing w:before="0" w:after="0" w:line="240" w:lineRule="atLeast"/>
            </w:pPr>
            <w:r>
              <w:rPr>
                <w:rFonts w:ascii="Arial" w:hAnsi="Arial" w:cs="Arial" w:eastAsia="Arial"/>
                <w:sz w:val="16"/>
                <w:szCs w:val="16"/>
              </w:rPr>
              <w:t>AN</w:t>
            </w:r>
          </w:p>
        </w:tc>
        <w:tc>
          <w:tcPr>
            <w:tcW w:type="dxa" w:w="4889"/>
          </w:tcPr>
          <w:p>
            <w:pPr>
              <w:pStyle w:val="TableContents"/>
              <w:spacing w:before="0" w:after="0" w:line="240" w:lineRule="atLeast"/>
            </w:pPr>
            <w:r>
              <w:rPr>
                <w:rFonts w:ascii="Arial" w:hAnsi="Arial" w:cs="Arial" w:eastAsia="Arial"/>
                <w:sz w:val="16"/>
                <w:szCs w:val="16"/>
              </w:rPr>
              <w:t>Ammonium Nitrate - an oxidising agent and primary component of many commercial explosives and blasting agents used in mining and construction.</w:t>
            </w:r>
          </w:p>
        </w:tc>
      </w:tr>
      <w:tr>
        <w:tc>
          <w:tcPr>
            <w:tcW w:type="dxa" w:w="4888"/>
          </w:tcPr>
          <w:p>
            <w:pPr>
              <w:pStyle w:val="TableContents"/>
              <w:spacing w:before="0" w:after="0" w:line="240" w:lineRule="atLeast"/>
            </w:pPr>
            <w:r>
              <w:rPr>
                <w:rFonts w:ascii="Arial" w:hAnsi="Arial" w:cs="Arial" w:eastAsia="Arial"/>
                <w:sz w:val="16"/>
                <w:szCs w:val="16"/>
              </w:rPr>
              <w:t>EMP</w:t>
            </w:r>
          </w:p>
        </w:tc>
        <w:tc>
          <w:tcPr>
            <w:tcW w:type="dxa" w:w="4889"/>
          </w:tcPr>
          <w:p>
            <w:pPr>
              <w:pStyle w:val="TableContents"/>
              <w:spacing w:before="0" w:after="0" w:line="240" w:lineRule="atLeast"/>
            </w:pPr>
            <w:r>
              <w:rPr>
                <w:rFonts w:ascii="Arial" w:hAnsi="Arial" w:cs="Arial" w:eastAsia="Arial"/>
                <w:sz w:val="16"/>
                <w:szCs w:val="16"/>
              </w:rPr>
              <w:t>Explosives Management Plan - a site-specific documented plan that governs the procurement, transport, storage, handling, use, reconciliation, and disposal of explosives on a project site.</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written authority system that controls high-risk work activities, including blasting operations, to ensure appropriate hazard identification, authorisation, and controls are in place before work commences.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management framework applied across Rio Tinto projects to manage risks and obligations in all these domains.</w:t>
            </w:r>
          </w:p>
        </w:tc>
      </w:tr>
      <w:tr>
        <w:tc>
          <w:tcPr>
            <w:tcW w:type="dxa" w:w="4888"/>
          </w:tcPr>
          <w:p>
            <w:pPr>
              <w:pStyle w:val="TableContents"/>
              <w:spacing w:before="0" w:after="0" w:line="240" w:lineRule="atLeast"/>
            </w:pPr>
            <w:r>
              <w:rPr>
                <w:rFonts w:ascii="Arial" w:hAnsi="Arial" w:cs="Arial" w:eastAsia="Arial"/>
                <w:sz w:val="16"/>
                <w:szCs w:val="16"/>
              </w:rPr>
              <w:t>MSDS</w:t>
            </w:r>
          </w:p>
        </w:tc>
        <w:tc>
          <w:tcPr>
            <w:tcW w:type="dxa" w:w="4889"/>
          </w:tcPr>
          <w:p>
            <w:pPr>
              <w:pStyle w:val="TableContents"/>
              <w:spacing w:before="0" w:after="0" w:line="240" w:lineRule="atLeast"/>
            </w:pPr>
            <w:r>
              <w:rPr>
                <w:rFonts w:ascii="Arial" w:hAnsi="Arial" w:cs="Arial" w:eastAsia="Arial"/>
                <w:sz w:val="16"/>
                <w:szCs w:val="16"/>
              </w:rPr>
              <w:t>Material Safety Data Sheet - a document providing detailed information on the properties, hazards, safe handling, storage, and emergency response measures for a hazardous substance, including explosives and explosive precursors.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the current internationally harmonised terminology for MSDS under the Globally Harmonised System of Classification and Labelling of Chemicals (GHS), providing chemical hazard and safe handling information.</w:t>
            </w:r>
          </w:p>
        </w:tc>
      </w:tr>
      <w:tr>
        <w:tc>
          <w:tcPr>
            <w:tcW w:type="dxa" w:w="4888"/>
          </w:tcPr>
          <w:p>
            <w:pPr>
              <w:pStyle w:val="TableContents"/>
              <w:spacing w:before="0" w:after="0" w:line="240" w:lineRule="atLeast"/>
            </w:pPr>
            <w:r>
              <w:rPr>
                <w:rFonts w:ascii="Arial" w:hAnsi="Arial" w:cs="Arial" w:eastAsia="Arial"/>
                <w:sz w:val="16"/>
                <w:szCs w:val="16"/>
              </w:rPr>
              <w:t>GHS</w:t>
            </w:r>
          </w:p>
        </w:tc>
        <w:tc>
          <w:tcPr>
            <w:tcW w:type="dxa" w:w="4889"/>
          </w:tcPr>
          <w:p>
            <w:pPr>
              <w:pStyle w:val="TableContents"/>
              <w:spacing w:before="0" w:after="0" w:line="240" w:lineRule="atLeast"/>
            </w:pPr>
            <w:r>
              <w:rPr>
                <w:rFonts w:ascii="Arial" w:hAnsi="Arial" w:cs="Arial" w:eastAsia="Arial"/>
                <w:sz w:val="16"/>
                <w:szCs w:val="16"/>
              </w:rPr>
              <w:t>Globally Harmonised System of Classification and Labelling of Chemicals - an internationally agreed system for communicating chemical hazard information through standardised labels and Safety Data Sheets.</w:t>
            </w:r>
          </w:p>
        </w:tc>
      </w:tr>
      <w:tr>
        <w:tc>
          <w:tcPr>
            <w:tcW w:type="dxa" w:w="4888"/>
          </w:tcPr>
          <w:p>
            <w:pPr>
              <w:pStyle w:val="TableContents"/>
              <w:spacing w:before="0" w:after="0" w:line="240" w:lineRule="atLeast"/>
            </w:pPr>
            <w:r>
              <w:rPr>
                <w:rFonts w:ascii="Arial" w:hAnsi="Arial" w:cs="Arial" w:eastAsia="Arial"/>
                <w:sz w:val="16"/>
                <w:szCs w:val="16"/>
              </w:rPr>
              <w:t>BEZ</w:t>
            </w:r>
          </w:p>
        </w:tc>
        <w:tc>
          <w:tcPr>
            <w:tcW w:type="dxa" w:w="4889"/>
          </w:tcPr>
          <w:p>
            <w:pPr>
              <w:pStyle w:val="TableContents"/>
              <w:spacing w:before="0" w:after="0" w:line="240" w:lineRule="atLeast"/>
            </w:pPr>
            <w:r>
              <w:rPr>
                <w:rFonts w:ascii="Arial" w:hAnsi="Arial" w:cs="Arial" w:eastAsia="Arial"/>
                <w:sz w:val="16"/>
                <w:szCs w:val="16"/>
              </w:rPr>
              <w:t>Blast Exclusion Zone - a defined area surrounding a blast site from which all personnel, vehicles, and equipment must be excluded during charging, firing, and post-blast inspection activities.</w:t>
            </w:r>
          </w:p>
        </w:tc>
      </w:tr>
      <w:tr>
        <w:tc>
          <w:tcPr>
            <w:tcW w:type="dxa" w:w="4888"/>
          </w:tcPr>
          <w:p>
            <w:pPr>
              <w:pStyle w:val="TableContents"/>
              <w:spacing w:before="0" w:after="0" w:line="240" w:lineRule="atLeast"/>
            </w:pPr>
            <w:r>
              <w:rPr>
                <w:rFonts w:ascii="Arial" w:hAnsi="Arial" w:cs="Arial" w:eastAsia="Arial"/>
                <w:sz w:val="16"/>
                <w:szCs w:val="16"/>
              </w:rPr>
              <w:t>EM</w:t>
            </w:r>
          </w:p>
        </w:tc>
        <w:tc>
          <w:tcPr>
            <w:tcW w:type="dxa" w:w="4889"/>
          </w:tcPr>
          <w:p>
            <w:pPr>
              <w:pStyle w:val="TableContents"/>
              <w:spacing w:before="0" w:after="0" w:line="240" w:lineRule="atLeast"/>
            </w:pPr>
            <w:r>
              <w:rPr>
                <w:rFonts w:ascii="Arial" w:hAnsi="Arial" w:cs="Arial" w:eastAsia="Arial"/>
                <w:sz w:val="16"/>
                <w:szCs w:val="16"/>
              </w:rPr>
              <w:t>Explosives Magazine - a purpose-built, approved storage facility designed and constructed to safely store explosives and detonators in accordance with regulatory requirements and separation distances.</w:t>
            </w:r>
          </w:p>
        </w:tc>
      </w:tr>
      <w:tr>
        <w:tc>
          <w:tcPr>
            <w:tcW w:type="dxa" w:w="4888"/>
          </w:tcPr>
          <w:p>
            <w:pPr>
              <w:pStyle w:val="TableContents"/>
              <w:spacing w:before="0" w:after="0" w:line="240" w:lineRule="atLeast"/>
            </w:pPr>
            <w:r>
              <w:rPr>
                <w:rFonts w:ascii="Arial" w:hAnsi="Arial" w:cs="Arial" w:eastAsia="Arial"/>
                <w:sz w:val="16"/>
                <w:szCs w:val="16"/>
              </w:rPr>
              <w:t>MMU</w:t>
            </w:r>
          </w:p>
        </w:tc>
        <w:tc>
          <w:tcPr>
            <w:tcW w:type="dxa" w:w="4889"/>
          </w:tcPr>
          <w:p>
            <w:pPr>
              <w:pStyle w:val="TableContents"/>
              <w:spacing w:before="0" w:after="0" w:line="240" w:lineRule="atLeast"/>
            </w:pPr>
            <w:r>
              <w:rPr>
                <w:rFonts w:ascii="Arial" w:hAnsi="Arial" w:cs="Arial" w:eastAsia="Arial"/>
                <w:sz w:val="16"/>
                <w:szCs w:val="16"/>
              </w:rPr>
              <w:t>Mobile Manufacturing Unit - a licensed vehicle-mounted system used for the on-site manufacture and delivery of bulk explosive products such as ANFO or emulsion directly into blast holes.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specialised clothing and equipment worn by personnel to minimise exposure to hazards, including those associated with handling, transporting, and using explosives.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resources group under whose standards, procedures, and risk management framework this procedure is developed and applied.</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 - the document identifier prefix used for project-level HSESC management system procedures applicable to Rio Tinto owner-led projects.</w:t>
            </w:r>
          </w:p>
        </w:tc>
      </w:tr>
      <w:tr>
        <w:tc>
          <w:tcPr>
            <w:tcW w:type="dxa" w:w="4888"/>
          </w:tcPr>
          <w:p>
            <w:pPr>
              <w:pStyle w:val="TableContents"/>
              <w:spacing w:before="0" w:after="0" w:line="240" w:lineRule="atLeast"/>
            </w:pPr>
            <w:r>
              <w:rPr>
                <w:rFonts w:ascii="Arial" w:hAnsi="Arial" w:cs="Arial" w:eastAsia="Arial"/>
                <w:sz w:val="16"/>
                <w:szCs w:val="16"/>
              </w:rPr>
              <w:t>OEM</w:t>
            </w:r>
          </w:p>
        </w:tc>
        <w:tc>
          <w:tcPr>
            <w:tcW w:type="dxa" w:w="4889"/>
          </w:tcPr>
          <w:p>
            <w:pPr>
              <w:pStyle w:val="TableContents"/>
              <w:spacing w:before="0" w:after="0" w:line="240" w:lineRule="atLeast"/>
            </w:pPr>
            <w:r>
              <w:rPr>
                <w:rFonts w:ascii="Arial" w:hAnsi="Arial" w:cs="Arial" w:eastAsia="Arial"/>
                <w:sz w:val="16"/>
                <w:szCs w:val="16"/>
              </w:rPr>
              <w:t>Original Equipment Manufacturer - the manufacturer of equipment or machinery whose specifications, instructions, and safety requirements must be followed during operation and maintenance, including explosive delivery and mixing equipment.</w:t>
            </w:r>
          </w:p>
        </w:tc>
      </w:tr>
      <w:tr>
        <w:tc>
          <w:tcPr>
            <w:tcW w:type="dxa" w:w="4888"/>
          </w:tcPr>
          <w:p>
            <w:pPr>
              <w:pStyle w:val="TableContents"/>
              <w:spacing w:before="0" w:after="0" w:line="240" w:lineRule="atLeast"/>
            </w:pPr>
            <w:r>
              <w:rPr>
                <w:rFonts w:ascii="Arial" w:hAnsi="Arial" w:cs="Arial" w:eastAsia="Arial"/>
                <w:sz w:val="16"/>
                <w:szCs w:val="16"/>
              </w:rPr>
              <w:t>DG</w:t>
            </w:r>
          </w:p>
        </w:tc>
        <w:tc>
          <w:tcPr>
            <w:tcW w:type="dxa" w:w="4889"/>
          </w:tcPr>
          <w:p>
            <w:pPr>
              <w:pStyle w:val="TableContents"/>
              <w:spacing w:before="0" w:after="0" w:line="240" w:lineRule="atLeast"/>
            </w:pPr>
            <w:r>
              <w:rPr>
                <w:rFonts w:ascii="Arial" w:hAnsi="Arial" w:cs="Arial" w:eastAsia="Arial"/>
                <w:sz w:val="16"/>
                <w:szCs w:val="16"/>
              </w:rPr>
              <w:t>Dangerous Goods - substances or articles that pose a risk to health, safety, property, or the environment during transport, including explosives classified under applicable dangerous goods transport regulations.</w:t>
            </w:r>
          </w:p>
        </w:tc>
      </w:tr>
      <w:tr>
        <w:tc>
          <w:tcPr>
            <w:tcW w:type="dxa" w:w="4888"/>
          </w:tcPr>
          <w:p>
            <w:pPr>
              <w:pStyle w:val="TableContents"/>
              <w:spacing w:before="0" w:after="0" w:line="240" w:lineRule="atLeast"/>
            </w:pPr>
            <w:r>
              <w:rPr>
                <w:rFonts w:ascii="Arial" w:hAnsi="Arial" w:cs="Arial" w:eastAsia="Arial"/>
                <w:sz w:val="16"/>
                <w:szCs w:val="16"/>
              </w:rPr>
              <w:t>ADG</w:t>
            </w:r>
          </w:p>
        </w:tc>
        <w:tc>
          <w:tcPr>
            <w:tcW w:type="dxa" w:w="4889"/>
          </w:tcPr>
          <w:p>
            <w:pPr>
              <w:pStyle w:val="TableContents"/>
              <w:spacing w:before="0" w:after="0" w:line="240" w:lineRule="atLeast"/>
            </w:pPr>
            <w:r>
              <w:rPr>
                <w:rFonts w:ascii="Arial" w:hAnsi="Arial" w:cs="Arial" w:eastAsia="Arial"/>
                <w:sz w:val="16"/>
                <w:szCs w:val="16"/>
              </w:rPr>
              <w:t>Australian Dangerous Goods Code - the national code governing the transport of dangerous goods by road and rail in Australia, including classification, packaging, labelling, and transport requirements for explosives.</w:t>
            </w:r>
          </w:p>
        </w:tc>
      </w:tr>
      <w:tr>
        <w:tc>
          <w:tcPr>
            <w:tcW w:type="dxa" w:w="4888"/>
          </w:tcPr>
          <w:p>
            <w:pPr>
              <w:pStyle w:val="TableContents"/>
              <w:spacing w:before="0" w:after="0" w:line="240" w:lineRule="atLeast"/>
            </w:pPr>
            <w:r>
              <w:rPr>
                <w:rFonts w:ascii="Arial" w:hAnsi="Arial" w:cs="Arial" w:eastAsia="Arial"/>
                <w:sz w:val="16"/>
                <w:szCs w:val="16"/>
              </w:rPr>
              <w:t>IMDG</w:t>
            </w:r>
          </w:p>
        </w:tc>
        <w:tc>
          <w:tcPr>
            <w:tcW w:type="dxa" w:w="4889"/>
          </w:tcPr>
          <w:p>
            <w:pPr>
              <w:pStyle w:val="TableContents"/>
              <w:spacing w:before="0" w:after="0" w:line="240" w:lineRule="atLeast"/>
            </w:pPr>
            <w:r>
              <w:rPr>
                <w:rFonts w:ascii="Arial" w:hAnsi="Arial" w:cs="Arial" w:eastAsia="Arial"/>
                <w:sz w:val="16"/>
                <w:szCs w:val="16"/>
              </w:rPr>
              <w:t>International Maritime Dangerous Goods Code - an international regulatory framework governing the safe transport of dangerous goods, including explosives, by sea.</w:t>
            </w:r>
          </w:p>
        </w:tc>
      </w:tr>
      <w:tr>
        <w:tc>
          <w:tcPr>
            <w:tcW w:type="dxa" w:w="4888"/>
          </w:tcPr>
          <w:p>
            <w:pPr>
              <w:pStyle w:val="TableContents"/>
              <w:spacing w:before="0" w:after="0" w:line="240" w:lineRule="atLeast"/>
            </w:pPr>
            <w:r>
              <w:rPr>
                <w:rFonts w:ascii="Arial" w:hAnsi="Arial" w:cs="Arial" w:eastAsia="Arial"/>
                <w:sz w:val="16"/>
                <w:szCs w:val="16"/>
              </w:rPr>
              <w:t>IATA</w:t>
            </w:r>
          </w:p>
        </w:tc>
        <w:tc>
          <w:tcPr>
            <w:tcW w:type="dxa" w:w="4889"/>
          </w:tcPr>
          <w:p>
            <w:pPr>
              <w:pStyle w:val="TableContents"/>
              <w:spacing w:before="0" w:after="0" w:line="240" w:lineRule="atLeast"/>
            </w:pPr>
            <w:r>
              <w:rPr>
                <w:rFonts w:ascii="Arial" w:hAnsi="Arial" w:cs="Arial" w:eastAsia="Arial"/>
                <w:sz w:val="16"/>
                <w:szCs w:val="16"/>
              </w:rPr>
              <w:t>International Air Transport Association - the organisation that publishes Dangerous Goods Regulations (DGR) governing the safe transport of hazardous materials, including explosives, by air.</w:t>
            </w:r>
          </w:p>
        </w:tc>
      </w:tr>
      <w:tr>
        <w:tc>
          <w:tcPr>
            <w:tcW w:type="dxa" w:w="4888"/>
          </w:tcPr>
          <w:p>
            <w:pPr>
              <w:pStyle w:val="TableContents"/>
              <w:spacing w:before="0" w:after="0" w:line="240" w:lineRule="atLeast"/>
            </w:pPr>
            <w:r>
              <w:rPr>
                <w:rFonts w:ascii="Arial" w:hAnsi="Arial" w:cs="Arial" w:eastAsia="Arial"/>
                <w:sz w:val="16"/>
                <w:szCs w:val="16"/>
              </w:rPr>
              <w:t>DGR</w:t>
            </w:r>
          </w:p>
        </w:tc>
        <w:tc>
          <w:tcPr>
            <w:tcW w:type="dxa" w:w="4889"/>
          </w:tcPr>
          <w:p>
            <w:pPr>
              <w:pStyle w:val="TableContents"/>
              <w:spacing w:before="0" w:after="0" w:line="240" w:lineRule="atLeast"/>
            </w:pPr>
            <w:r>
              <w:rPr>
                <w:rFonts w:ascii="Arial" w:hAnsi="Arial" w:cs="Arial" w:eastAsia="Arial"/>
                <w:sz w:val="16"/>
                <w:szCs w:val="16"/>
              </w:rPr>
              <w:t>Dangerous Goods Regulations - the IATA regulatory framework specifying requirements for the classification, packaging, labelling, documentation, and transport of dangerous goods by air.</w:t>
            </w:r>
          </w:p>
        </w:tc>
      </w:tr>
      <w:tr>
        <w:tc>
          <w:tcPr>
            <w:tcW w:type="dxa" w:w="4888"/>
          </w:tcPr>
          <w:p>
            <w:pPr>
              <w:pStyle w:val="TableContents"/>
              <w:spacing w:before="0" w:after="0" w:line="240" w:lineRule="atLeast"/>
            </w:pPr>
            <w:r>
              <w:rPr>
                <w:rFonts w:ascii="Arial" w:hAnsi="Arial" w:cs="Arial" w:eastAsia="Arial"/>
                <w:sz w:val="16"/>
                <w:szCs w:val="16"/>
              </w:rPr>
              <w:t>ERG</w:t>
            </w:r>
          </w:p>
        </w:tc>
        <w:tc>
          <w:tcPr>
            <w:tcW w:type="dxa" w:w="4889"/>
          </w:tcPr>
          <w:p>
            <w:pPr>
              <w:pStyle w:val="TableContents"/>
              <w:spacing w:before="0" w:after="0" w:line="240" w:lineRule="atLeast"/>
            </w:pPr>
            <w:r>
              <w:rPr>
                <w:rFonts w:ascii="Arial" w:hAnsi="Arial" w:cs="Arial" w:eastAsia="Arial"/>
                <w:sz w:val="16"/>
                <w:szCs w:val="16"/>
              </w:rPr>
              <w:t>Emergency Response Guidebook - a guide used by first responders and emergency personnel for initial response to incidents involving dangerous goods, including explosives, during transport.</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process used to identify, assess, and control hazards associated with specific work tasks, including blasting and explosives handling activities.</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identifies high-risk construction and blasting work activities, the hazards associated with them, and the control measures to be implemented to manage those hazards.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explosives management activities including compliance, reconciliation accuracy, and incident rates.</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document used to record any deviation from specified explosives management requirements, regulatory obligations, or approved procedures.</w:t>
            </w:r>
          </w:p>
        </w:tc>
      </w:tr>
      <w:tr>
        <w:tc>
          <w:tcPr>
            <w:tcW w:type="dxa" w:w="4888"/>
          </w:tcPr>
          <w:p>
            <w:pPr>
              <w:pStyle w:val="TableContents"/>
              <w:spacing w:before="0" w:after="0" w:line="240" w:lineRule="atLeast"/>
            </w:pPr>
            <w:r>
              <w:rPr>
                <w:rFonts w:ascii="Arial" w:hAnsi="Arial" w:cs="Arial" w:eastAsia="Arial"/>
                <w:sz w:val="16"/>
                <w:szCs w:val="16"/>
              </w:rPr>
              <w:t>ICP</w:t>
            </w:r>
          </w:p>
        </w:tc>
        <w:tc>
          <w:tcPr>
            <w:tcW w:type="dxa" w:w="4889"/>
          </w:tcPr>
          <w:p>
            <w:pPr>
              <w:pStyle w:val="TableContents"/>
              <w:spacing w:before="0" w:after="0" w:line="240" w:lineRule="atLeast"/>
            </w:pPr>
            <w:r>
              <w:rPr>
                <w:rFonts w:ascii="Arial" w:hAnsi="Arial" w:cs="Arial" w:eastAsia="Arial"/>
                <w:sz w:val="16"/>
                <w:szCs w:val="16"/>
              </w:rPr>
              <w:t>Incident Command Post - a designated location at or near an explosives incident site from which emergency response activities are coordinated by the Incident Commander.</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defines the roles, responsibilities, resources, and actions required to manage emergencies arising from explosives incidents on a project site.</w:t>
            </w:r>
          </w:p>
        </w:tc>
      </w:tr>
      <w:tr>
        <w:tc>
          <w:tcPr>
            <w:tcW w:type="dxa" w:w="4888"/>
          </w:tcPr>
          <w:p>
            <w:pPr>
              <w:pStyle w:val="TableContents"/>
              <w:spacing w:before="0" w:after="0" w:line="240" w:lineRule="atLeast"/>
            </w:pPr>
            <w:r>
              <w:rPr>
                <w:rFonts w:ascii="Arial" w:hAnsi="Arial" w:cs="Arial" w:eastAsia="Arial"/>
                <w:sz w:val="16"/>
                <w:szCs w:val="16"/>
              </w:rPr>
              <w:t>CCTV</w:t>
            </w:r>
          </w:p>
        </w:tc>
        <w:tc>
          <w:tcPr>
            <w:tcW w:type="dxa" w:w="4889"/>
          </w:tcPr>
          <w:p>
            <w:pPr>
              <w:pStyle w:val="TableContents"/>
              <w:spacing w:before="0" w:after="0" w:line="240" w:lineRule="atLeast"/>
            </w:pPr>
            <w:r>
              <w:rPr>
                <w:rFonts w:ascii="Arial" w:hAnsi="Arial" w:cs="Arial" w:eastAsia="Arial"/>
                <w:sz w:val="16"/>
                <w:szCs w:val="16"/>
              </w:rPr>
              <w:t>Closed Circuit Television - a video surveillance system used to monitor and secure explosives storage areas and magazines against unauthorised access and theft.</w:t>
            </w:r>
          </w:p>
        </w:tc>
      </w:tr>
      <w:tr>
        <w:tc>
          <w:tcPr>
            <w:tcW w:type="dxa" w:w="4888"/>
          </w:tcPr>
          <w:p>
            <w:pPr>
              <w:pStyle w:val="TableContents"/>
              <w:spacing w:before="0" w:after="0" w:line="240" w:lineRule="atLeast"/>
            </w:pPr>
            <w:r>
              <w:rPr>
                <w:rFonts w:ascii="Arial" w:hAnsi="Arial" w:cs="Arial" w:eastAsia="Arial"/>
                <w:sz w:val="16"/>
                <w:szCs w:val="16"/>
              </w:rPr>
              <w:t>UN</w:t>
            </w:r>
          </w:p>
        </w:tc>
        <w:tc>
          <w:tcPr>
            <w:tcW w:type="dxa" w:w="4889"/>
          </w:tcPr>
          <w:p>
            <w:pPr>
              <w:pStyle w:val="TableContents"/>
              <w:spacing w:before="0" w:after="0" w:line="240" w:lineRule="atLeast"/>
            </w:pPr>
            <w:r>
              <w:rPr>
                <w:rFonts w:ascii="Arial" w:hAnsi="Arial" w:cs="Arial" w:eastAsia="Arial"/>
                <w:sz w:val="16"/>
                <w:szCs w:val="16"/>
              </w:rPr>
              <w:t>United Nations - the international body whose numbering system and model regulations form the basis for the classification and transport requirements of dangerous goods, including explosives, across global jurisdictions.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Barricading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Business Resilience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Consequence and Likelihood Criteria</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Standard</w:t>
            </w:r>
          </w:p>
        </w:tc>
        <w:tc>
          <w:tcPr>
            <w:tcW w:type="dxa" w:w="3259"/>
          </w:tcPr>
          <w:p>
            <w:pPr>
              <w:pStyle w:val="TableContents"/>
              <w:spacing w:before="0" w:after="0" w:line="240" w:lineRule="atLeast"/>
            </w:pPr>
            <w:r>
              <w:rPr>
                <w:rFonts w:ascii="Arial" w:hAnsi="Arial" w:cs="Arial" w:eastAsia="Arial"/>
                <w:sz w:val="16"/>
                <w:szCs w:val="16"/>
              </w:rPr>
              <w:t>RT HSE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Explosives Management Standard</w:t>
            </w:r>
          </w:p>
        </w:tc>
        <w:tc>
          <w:tcPr>
            <w:tcW w:type="dxa" w:w="3259"/>
          </w:tcPr>
          <w:p>
            <w:pPr>
              <w:pStyle w:val="TableContents"/>
              <w:spacing w:before="0" w:after="0" w:line="240" w:lineRule="atLeast"/>
            </w:pPr>
            <w:r>
              <w:rPr>
                <w:rFonts w:ascii="Arial" w:hAnsi="Arial" w:cs="Arial" w:eastAsia="Arial"/>
                <w:sz w:val="16"/>
                <w:szCs w:val="16"/>
              </w:rPr>
              <w:t>RT Explosives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Fatal Risk Standard - Explosives</w:t>
            </w:r>
          </w:p>
        </w:tc>
        <w:tc>
          <w:tcPr>
            <w:tcW w:type="dxa" w:w="3259"/>
          </w:tcPr>
          <w:p>
            <w:pPr>
              <w:pStyle w:val="TableContents"/>
              <w:spacing w:before="0" w:after="0" w:line="240" w:lineRule="atLeast"/>
            </w:pPr>
            <w:r>
              <w:rPr>
                <w:rFonts w:ascii="Arial" w:hAnsi="Arial" w:cs="Arial" w:eastAsia="Arial"/>
                <w:sz w:val="16"/>
                <w:szCs w:val="16"/>
              </w:rPr>
              <w:t>RT Fatal Risk Standard - Explosives</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Australian Dangerous Goods Code for the Transport of Dangerous Goods by Road and Rail</w:t>
            </w:r>
          </w:p>
        </w:tc>
        <w:tc>
          <w:tcPr>
            <w:tcW w:type="dxa" w:w="3259"/>
          </w:tcPr>
          <w:p>
            <w:pPr>
              <w:pStyle w:val="TableContents"/>
              <w:spacing w:before="0" w:after="0" w:line="240" w:lineRule="atLeast"/>
            </w:pPr>
            <w:r>
              <w:rPr>
                <w:rFonts w:ascii="Arial" w:hAnsi="Arial" w:cs="Arial" w:eastAsia="Arial"/>
                <w:sz w:val="16"/>
                <w:szCs w:val="16"/>
              </w:rPr>
              <w:t>ADG Code (current edition)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Globally Harmonised System of Classification and Labelling of Chemicals</w:t>
            </w:r>
          </w:p>
        </w:tc>
        <w:tc>
          <w:tcPr>
            <w:tcW w:type="dxa" w:w="3259"/>
          </w:tcPr>
          <w:p>
            <w:pPr>
              <w:pStyle w:val="TableContents"/>
              <w:spacing w:before="0" w:after="0" w:line="240" w:lineRule="atLeast"/>
            </w:pPr>
            <w:r>
              <w:rPr>
                <w:rFonts w:ascii="Arial" w:hAnsi="Arial" w:cs="Arial" w:eastAsia="Arial"/>
                <w:sz w:val="16"/>
                <w:szCs w:val="16"/>
              </w:rPr>
              <w:t>GHS (current revision)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IATA Dangerous Goods Regulations</w:t>
            </w:r>
          </w:p>
        </w:tc>
        <w:tc>
          <w:tcPr>
            <w:tcW w:type="dxa" w:w="3259"/>
          </w:tcPr>
          <w:p>
            <w:pPr>
              <w:pStyle w:val="TableContents"/>
              <w:spacing w:before="0" w:after="0" w:line="240" w:lineRule="atLeast"/>
            </w:pPr>
            <w:r>
              <w:rPr>
                <w:rFonts w:ascii="Arial" w:hAnsi="Arial" w:cs="Arial" w:eastAsia="Arial"/>
                <w:sz w:val="16"/>
                <w:szCs w:val="16"/>
              </w:rPr>
              <w:t>IATA DGR (current edition)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International Maritime Dangerous Goods Code</w:t>
            </w:r>
          </w:p>
        </w:tc>
        <w:tc>
          <w:tcPr>
            <w:tcW w:type="dxa" w:w="3259"/>
          </w:tcPr>
          <w:p>
            <w:pPr>
              <w:pStyle w:val="TableContents"/>
              <w:spacing w:before="0" w:after="0" w:line="240" w:lineRule="atLeast"/>
            </w:pPr>
            <w:r>
              <w:rPr>
                <w:rFonts w:ascii="Arial" w:hAnsi="Arial" w:cs="Arial" w:eastAsia="Arial"/>
                <w:sz w:val="16"/>
                <w:szCs w:val="16"/>
              </w:rPr>
              <w:t>IMDG Code (current amendment)</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United Nations Recommendations on the Transport of Dangerous Goods - Model Regulations</w:t>
            </w:r>
          </w:p>
        </w:tc>
        <w:tc>
          <w:tcPr>
            <w:tcW w:type="dxa" w:w="3259"/>
          </w:tcPr>
          <w:p>
            <w:pPr>
              <w:pStyle w:val="TableContents"/>
              <w:spacing w:before="0" w:after="0" w:line="240" w:lineRule="atLeast"/>
            </w:pPr>
            <w:r>
              <w:rPr>
                <w:rFonts w:ascii="Arial" w:hAnsi="Arial" w:cs="Arial" w:eastAsia="Arial"/>
                <w:sz w:val="16"/>
                <w:szCs w:val="16"/>
              </w:rPr>
              <w:t>UN Model Regulations (current revision)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2187.1 - Explosives - Storage, Transport and Use: Storage</w:t>
            </w:r>
          </w:p>
        </w:tc>
        <w:tc>
          <w:tcPr>
            <w:tcW w:type="dxa" w:w="3259"/>
          </w:tcPr>
          <w:p>
            <w:pPr>
              <w:pStyle w:val="TableContents"/>
              <w:spacing w:before="0" w:after="0" w:line="240" w:lineRule="atLeast"/>
            </w:pPr>
            <w:r>
              <w:rPr>
                <w:rFonts w:ascii="Arial" w:hAnsi="Arial" w:cs="Arial" w:eastAsia="Arial"/>
                <w:sz w:val="16"/>
                <w:szCs w:val="16"/>
              </w:rPr>
              <w:t>AS 2187.1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2187.2 - Explosives - Storage, Transport and Use: Use of Explosives</w:t>
            </w:r>
          </w:p>
        </w:tc>
        <w:tc>
          <w:tcPr>
            <w:tcW w:type="dxa" w:w="3259"/>
          </w:tcPr>
          <w:p>
            <w:pPr>
              <w:pStyle w:val="TableContents"/>
              <w:spacing w:before="0" w:after="0" w:line="240" w:lineRule="atLeast"/>
            </w:pPr>
            <w:r>
              <w:rPr>
                <w:rFonts w:ascii="Arial" w:hAnsi="Arial" w:cs="Arial" w:eastAsia="Arial"/>
                <w:sz w:val="16"/>
                <w:szCs w:val="16"/>
              </w:rPr>
              <w:t>AS 2187.2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Emergency Response Guidebook</w:t>
            </w:r>
          </w:p>
        </w:tc>
        <w:tc>
          <w:tcPr>
            <w:tcW w:type="dxa" w:w="3259"/>
          </w:tcPr>
          <w:p>
            <w:pPr>
              <w:pStyle w:val="TableContents"/>
              <w:spacing w:before="0" w:after="0" w:line="240" w:lineRule="atLeast"/>
            </w:pPr>
            <w:r>
              <w:rPr>
                <w:rFonts w:ascii="Arial" w:hAnsi="Arial" w:cs="Arial" w:eastAsia="Arial"/>
                <w:sz w:val="16"/>
                <w:szCs w:val="16"/>
              </w:rPr>
              <w:t>ERG (current edition)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31000 - Risk Management: Guidelines</w:t>
            </w:r>
          </w:p>
        </w:tc>
        <w:tc>
          <w:tcPr>
            <w:tcW w:type="dxa" w:w="3259"/>
          </w:tcPr>
          <w:p>
            <w:pPr>
              <w:pStyle w:val="TableContents"/>
              <w:spacing w:before="0" w:after="0" w:line="240" w:lineRule="atLeast"/>
            </w:pPr>
            <w:r>
              <w:rPr>
                <w:rFonts w:ascii="Arial" w:hAnsi="Arial" w:cs="Arial" w:eastAsia="Arial"/>
                <w:sz w:val="16"/>
                <w:szCs w:val="16"/>
              </w:rPr>
              <w:t>ISO 31000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§59.1.1</w:t>
            </w:r>
          </w:p>
        </w:tc>
        <w:tc>
          <w:tcPr>
            <w:tcW w:type="dxa" w:w="2256"/>
          </w:tcPr>
          <w:p>
            <w:pPr>
              <w:pStyle w:val="TableContents"/>
              <w:spacing w:before="0" w:after="0" w:line="240" w:lineRule="atLeast"/>
            </w:pPr>
            <w:r>
              <w:rPr>
                <w:rFonts w:ascii="Arial" w:hAnsi="Arial" w:cs="Arial" w:eastAsia="Arial"/>
                <w:sz w:val="16"/>
                <w:szCs w:val="16"/>
              </w:rPr>
              <w:t>Requires all explosives licences and regulatory approvals to be obtained before any explosives are transported to, stored on, or used at the project site, and requires compliance with all local rules and regulations governing explosives throughout the life of the project.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§92.5.3.1</w:t>
            </w:r>
          </w:p>
        </w:tc>
        <w:tc>
          <w:tcPr>
            <w:tcW w:type="dxa" w:w="2256"/>
          </w:tcPr>
          <w:p>
            <w:pPr>
              <w:pStyle w:val="TableContents"/>
              <w:spacing w:before="0" w:after="0" w:line="240" w:lineRule="atLeast"/>
            </w:pPr>
            <w:r>
              <w:rPr>
                <w:rFonts w:ascii="Arial" w:hAnsi="Arial" w:cs="Arial" w:eastAsia="Arial"/>
                <w:sz w:val="16"/>
                <w:szCs w:val="16"/>
              </w:rPr>
              <w:t>Requires that all dangerous goods storage areas including explosives, ammonium nitrate, and detonators are assessed, approved, and appropriately licensed in accordance with Applicable Laws before use.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§59.1</w:t>
            </w:r>
          </w:p>
        </w:tc>
        <w:tc>
          <w:tcPr>
            <w:tcW w:type="dxa" w:w="2256"/>
          </w:tcPr>
          <w:p>
            <w:pPr>
              <w:pStyle w:val="TableContents"/>
              <w:spacing w:before="0" w:after="0" w:line="240" w:lineRule="atLeast"/>
            </w:pPr>
            <w:r>
              <w:rPr>
                <w:rFonts w:ascii="Arial" w:hAnsi="Arial" w:cs="Arial" w:eastAsia="Arial"/>
                <w:sz w:val="16"/>
                <w:szCs w:val="16"/>
              </w:rPr>
              <w:t>Requires development and maintenance of an Explosives Management Plan covering all phases of explosives activity on the project, including transport, storage, manufacture, blast design, misfire management, reconciliation, record-keeping, and emergency response.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§59.1.4</w:t>
            </w:r>
          </w:p>
        </w:tc>
        <w:tc>
          <w:tcPr>
            <w:tcW w:type="dxa" w:w="2256"/>
          </w:tcPr>
          <w:p>
            <w:pPr>
              <w:pStyle w:val="TableContents"/>
              <w:spacing w:before="0" w:after="0" w:line="240" w:lineRule="atLeast"/>
            </w:pPr>
            <w:r>
              <w:rPr>
                <w:rFonts w:ascii="Arial" w:hAnsi="Arial" w:cs="Arial" w:eastAsia="Arial"/>
                <w:sz w:val="16"/>
                <w:szCs w:val="16"/>
              </w:rPr>
              <w:t>Requires a specific risk assessment and documented procedure approved by a competent person before any on-site manufacture or mixing of explosives commences, with compliance with all applicable regulatory requirements and licencing conditions.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§59.1.6</w:t>
            </w:r>
          </w:p>
        </w:tc>
        <w:tc>
          <w:tcPr>
            <w:tcW w:type="dxa" w:w="2256"/>
          </w:tcPr>
          <w:p>
            <w:pPr>
              <w:pStyle w:val="TableContents"/>
              <w:spacing w:before="0" w:after="0" w:line="240" w:lineRule="atLeast"/>
            </w:pPr>
            <w:r>
              <w:rPr>
                <w:rFonts w:ascii="Arial" w:hAnsi="Arial" w:cs="Arial" w:eastAsia="Arial"/>
                <w:sz w:val="16"/>
                <w:szCs w:val="16"/>
              </w:rPr>
              <w:t>Requires a documented misfire management procedure covering immediate response, minimum waiting times, process for dealing with misfired holes, competency requirements, and mandatory reporting to the Company and relevant regulatory authority.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§59.1.9</w:t>
            </w:r>
          </w:p>
        </w:tc>
        <w:tc>
          <w:tcPr>
            <w:tcW w:type="dxa" w:w="2256"/>
          </w:tcPr>
          <w:p>
            <w:pPr>
              <w:pStyle w:val="TableContents"/>
              <w:spacing w:before="0" w:after="0" w:line="240" w:lineRule="atLeast"/>
            </w:pPr>
            <w:r>
              <w:rPr>
                <w:rFonts w:ascii="Arial" w:hAnsi="Arial" w:cs="Arial" w:eastAsia="Arial"/>
                <w:sz w:val="16"/>
                <w:szCs w:val="16"/>
              </w:rPr>
              <w:t>Requires daily reconciliation of all explosives and detonators with signed transfer records, quality control records for all products, and retention of all explosives records for a minimum of five years or as required by Applicable Laws.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§59.2.1</w:t>
            </w:r>
          </w:p>
        </w:tc>
        <w:tc>
          <w:tcPr>
            <w:tcW w:type="dxa" w:w="2256"/>
          </w:tcPr>
          <w:p>
            <w:pPr>
              <w:pStyle w:val="TableContents"/>
              <w:spacing w:before="0" w:after="0" w:line="240" w:lineRule="atLeast"/>
            </w:pPr>
            <w:r>
              <w:rPr>
                <w:rFonts w:ascii="Arial" w:hAnsi="Arial" w:cs="Arial" w:eastAsia="Arial"/>
                <w:sz w:val="16"/>
                <w:szCs w:val="16"/>
              </w:rPr>
              <w:t>Requires that all incidents or deviations from the approved explosives process are reported and investigated in line with Company requirements, and that explosives-related incidents are also reported to the relevant regulatory authority within the timeframes required by Applicable Laws.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§59.3.1</w:t>
            </w:r>
          </w:p>
        </w:tc>
        <w:tc>
          <w:tcPr>
            <w:tcW w:type="dxa" w:w="2256"/>
          </w:tcPr>
          <w:p>
            <w:pPr>
              <w:pStyle w:val="TableContents"/>
              <w:spacing w:before="0" w:after="0" w:line="240" w:lineRule="atLeast"/>
            </w:pPr>
            <w:r>
              <w:rPr>
                <w:rFonts w:ascii="Arial" w:hAnsi="Arial" w:cs="Arial" w:eastAsia="Arial"/>
                <w:sz w:val="16"/>
                <w:szCs w:val="16"/>
              </w:rPr>
              <w:t>Requires a specific emergency response plan for explosive incident scenarios covering unplanned detonation, misfire, theft or loss, vehicle accident, and fire in or near explosive storage, tested before explosives are brought to site.</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