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1F3864"/>
          <w:sz w:val="20"/>
        </w:rPr>
        <w:t>RioProjects HSESC</w:t>
      </w:r>
    </w:p>
    <w:p/>
    <w:p>
      <w:pPr>
        <w:jc w:val="center"/>
      </w:pPr>
      <w:r>
        <w:rPr>
          <w:rFonts w:ascii="Arial" w:hAnsi="Arial"/>
          <w:b/>
          <w:i w:val="0"/>
          <w:color w:val="1F3864"/>
          <w:sz w:val="36"/>
        </w:rPr>
        <w:t>Legal and Other Requirements Procedure</w:t>
      </w:r>
    </w:p>
    <w:p/>
    <w:p>
      <w:pPr>
        <w:jc w:val="center"/>
      </w:pPr>
      <w:r>
        <w:rPr>
          <w:rFonts w:ascii="Arial" w:hAnsi="Arial"/>
          <w:b/>
          <w:i w:val="0"/>
          <w:color w:val="0059D1"/>
          <w:sz w:val="24"/>
        </w:rPr>
        <w:t>[Enter Project Name]</w:t>
      </w:r>
    </w:p>
    <w:p/>
    <w:tbl>
      <w:tblPr>
        <w:tblStyle w:val="TableGrid"/>
        <w:tblW w:type="auto" w:w="0"/>
        <w:tblLook w:firstColumn="1" w:firstRow="1" w:lastColumn="0" w:lastRow="0" w:noHBand="0" w:noVBand="1" w:val="04A0"/>
      </w:tblPr>
      <w:tblGrid>
        <w:gridCol w:w="3009"/>
        <w:gridCol w:w="3009"/>
        <w:gridCol w:w="3009"/>
      </w:tblGrid>
      <w:tr>
        <w:tc>
          <w:tcPr>
            <w:tcW w:type="dxa" w:w="3402"/>
            <w:shd w:val="clear" w:color="auto" w:fill="1F3864"/>
          </w:tcPr>
          <w:p>
            <w:r>
              <w:rPr>
                <w:rFonts w:ascii="Arial" w:hAnsi="Arial"/>
                <w:b/>
                <w:i w:val="0"/>
                <w:color w:val="FFFFFF"/>
                <w:sz w:val="18"/>
              </w:rPr>
              <w:t>Document Number</w:t>
            </w:r>
          </w:p>
        </w:tc>
        <w:tc>
          <w:tcPr>
            <w:tcW w:type="dxa" w:w="2268"/>
            <w:shd w:val="clear" w:color="auto" w:fill="1F3864"/>
          </w:tcPr>
          <w:p>
            <w:r>
              <w:rPr>
                <w:rFonts w:ascii="Arial" w:hAnsi="Arial"/>
                <w:b/>
                <w:i w:val="0"/>
                <w:color w:val="FFFFFF"/>
                <w:sz w:val="18"/>
              </w:rPr>
              <w:t>Revision</w:t>
            </w:r>
          </w:p>
        </w:tc>
        <w:tc>
          <w:tcPr>
            <w:tcW w:type="dxa" w:w="3402"/>
            <w:shd w:val="clear" w:color="auto" w:fill="1F3864"/>
          </w:tcPr>
          <w:p>
            <w:r>
              <w:rPr>
                <w:rFonts w:ascii="Arial" w:hAnsi="Arial"/>
                <w:b/>
                <w:i w:val="0"/>
                <w:color w:val="FFFFFF"/>
                <w:sz w:val="18"/>
              </w:rPr>
              <w:t>Date</w:t>
            </w:r>
          </w:p>
        </w:tc>
      </w:tr>
      <w:tr>
        <w:tc>
          <w:tcPr>
            <w:tcW w:type="dxa" w:w="3402"/>
          </w:tcPr>
          <w:p>
            <w:r>
              <w:rPr>
                <w:rFonts w:ascii="Arial" w:hAnsi="Arial"/>
                <w:b w:val="0"/>
                <w:i w:val="0"/>
                <w:sz w:val="18"/>
              </w:rPr>
              <w:t>RTPR-HSE-PRO-0001</w:t>
            </w:r>
          </w:p>
        </w:tc>
        <w:tc>
          <w:tcPr>
            <w:tcW w:type="dxa" w:w="2268"/>
          </w:tcPr>
          <w:p>
            <w:r>
              <w:rPr>
                <w:rFonts w:ascii="Arial" w:hAnsi="Arial"/>
                <w:b w:val="0"/>
                <w:i w:val="0"/>
                <w:sz w:val="18"/>
              </w:rPr>
              <w:t>Rev 0</w:t>
            </w:r>
          </w:p>
        </w:tc>
        <w:tc>
          <w:tcPr>
            <w:tcW w:type="dxa" w:w="3402"/>
          </w:tcPr>
          <w:p>
            <w:r>
              <w:rPr>
                <w:rFonts w:ascii="Arial" w:hAnsi="Arial"/>
                <w:b/>
                <w:i w:val="0"/>
                <w:color w:val="0059D1"/>
                <w:sz w:val="18"/>
              </w:rPr>
              <w:t>[INSERT: date]</w:t>
            </w:r>
          </w:p>
        </w:tc>
      </w:tr>
    </w:tbl>
    <w:p/>
    <w:tbl>
      <w:tblPr>
        <w:tblStyle w:val="TableGrid"/>
        <w:tblW w:type="auto" w:w="0"/>
        <w:tblLook w:firstColumn="1" w:firstRow="1" w:lastColumn="0" w:lastRow="0" w:noHBand="0" w:noVBand="1" w:val="04A0"/>
      </w:tblPr>
      <w:tblGrid>
        <w:gridCol w:w="2256"/>
        <w:gridCol w:w="2256"/>
        <w:gridCol w:w="2256"/>
        <w:gridCol w:w="2256"/>
      </w:tblGrid>
      <w:tr>
        <w:tc>
          <w:tcPr>
            <w:tcW w:type="dxa" w:w="1701"/>
            <w:shd w:val="clear" w:color="auto" w:fill="1F3864"/>
          </w:tcPr>
          <w:p>
            <w:r>
              <w:rPr>
                <w:rFonts w:ascii="Arial" w:hAnsi="Arial"/>
                <w:b/>
                <w:i w:val="0"/>
                <w:color w:val="FFFFFF"/>
                <w:sz w:val="18"/>
              </w:rPr>
              <w:t xml:space="preserve"> Status</w:t>
            </w:r>
          </w:p>
        </w:tc>
        <w:tc>
          <w:tcPr>
            <w:tcW w:type="dxa" w:w="2835"/>
            <w:shd w:val="clear" w:color="auto" w:fill="1F3864"/>
          </w:tcPr>
          <w:p>
            <w:r>
              <w:rPr>
                <w:rFonts w:ascii="Arial" w:hAnsi="Arial"/>
                <w:b/>
                <w:i w:val="0"/>
                <w:color w:val="FFFFFF"/>
                <w:sz w:val="18"/>
              </w:rPr>
              <w:t>Name</w:t>
            </w:r>
          </w:p>
        </w:tc>
        <w:tc>
          <w:tcPr>
            <w:tcW w:type="dxa" w:w="2835"/>
            <w:shd w:val="clear" w:color="auto" w:fill="1F3864"/>
          </w:tcPr>
          <w:p>
            <w:r>
              <w:rPr>
                <w:rFonts w:ascii="Arial" w:hAnsi="Arial"/>
                <w:b/>
                <w:i w:val="0"/>
                <w:color w:val="FFFFFF"/>
                <w:sz w:val="18"/>
              </w:rPr>
              <w:t>Position</w:t>
            </w:r>
          </w:p>
        </w:tc>
        <w:tc>
          <w:tcPr>
            <w:tcW w:type="dxa" w:w="1701"/>
            <w:shd w:val="clear" w:color="auto" w:fill="1F3864"/>
          </w:tcPr>
          <w:p>
            <w:r>
              <w:rPr>
                <w:rFonts w:ascii="Arial" w:hAnsi="Arial"/>
                <w:b/>
                <w:i w:val="0"/>
                <w:color w:val="FFFFFF"/>
                <w:sz w:val="18"/>
              </w:rPr>
              <w:t>Signature</w:t>
            </w:r>
          </w:p>
        </w:tc>
      </w:tr>
      <w:tr>
        <w:tc>
          <w:tcPr>
            <w:tcW w:type="dxa" w:w="1701"/>
          </w:tcPr>
          <w:p>
            <w:r>
              <w:rPr>
                <w:rFonts w:ascii="Arial" w:hAnsi="Arial"/>
                <w:b w:val="0"/>
                <w:i w:val="0"/>
                <w:sz w:val="18"/>
              </w:rPr>
              <w:t>Originator</w:t>
            </w:r>
          </w:p>
        </w:tc>
        <w:tc>
          <w:tcPr>
            <w:tcW w:type="dxa" w:w="2835"/>
          </w:tcPr>
          <w:p>
            <w:r>
              <w:rPr>
                <w:rFonts w:ascii="Arial" w:hAnsi="Arial"/>
                <w:b/>
                <w:i w:val="0"/>
                <w:color w:val="0059D1"/>
                <w:sz w:val="18"/>
              </w:rPr>
              <w:t>[INSERT: name]</w:t>
            </w:r>
          </w:p>
        </w:tc>
        <w:tc>
          <w:tcPr>
            <w:tcW w:type="dxa" w:w="2835"/>
          </w:tcPr>
          <w:p>
            <w:r>
              <w:rPr>
                <w:rFonts w:ascii="Arial" w:hAnsi="Arial"/>
                <w:b/>
                <w:i w:val="0"/>
                <w:color w:val="0059D1"/>
                <w:sz w:val="18"/>
              </w:rPr>
              <w:t>[INSERT: position and organisation]</w:t>
            </w:r>
          </w:p>
        </w:tc>
        <w:tc>
          <w:tcPr>
            <w:tcW w:type="dxa" w:w="1701"/>
          </w:tcPr>
          <w:p/>
        </w:tc>
      </w:tr>
      <w:tr>
        <w:tc>
          <w:tcPr>
            <w:tcW w:type="dxa" w:w="1701"/>
          </w:tcPr>
          <w:p>
            <w:r>
              <w:rPr>
                <w:rFonts w:ascii="Arial" w:hAnsi="Arial"/>
                <w:b w:val="0"/>
                <w:i w:val="0"/>
                <w:sz w:val="18"/>
              </w:rPr>
              <w:t>Reviewed</w:t>
            </w:r>
          </w:p>
        </w:tc>
        <w:tc>
          <w:tcPr>
            <w:tcW w:type="dxa" w:w="2835"/>
          </w:tcPr>
          <w:p>
            <w:r>
              <w:rPr>
                <w:rFonts w:ascii="Arial" w:hAnsi="Arial"/>
                <w:b/>
                <w:i w:val="0"/>
                <w:color w:val="0059D1"/>
                <w:sz w:val="18"/>
              </w:rPr>
              <w:t>[INSERT: name]</w:t>
            </w:r>
          </w:p>
        </w:tc>
        <w:tc>
          <w:tcPr>
            <w:tcW w:type="dxa" w:w="2835"/>
          </w:tcPr>
          <w:p>
            <w:r>
              <w:rPr>
                <w:rFonts w:ascii="Arial" w:hAnsi="Arial"/>
                <w:b/>
                <w:i w:val="0"/>
                <w:color w:val="0059D1"/>
                <w:sz w:val="18"/>
              </w:rPr>
              <w:t>[INSERT: position]</w:t>
            </w:r>
          </w:p>
        </w:tc>
        <w:tc>
          <w:tcPr>
            <w:tcW w:type="dxa" w:w="1701"/>
          </w:tcPr>
          <w:p/>
        </w:tc>
      </w:tr>
      <w:tr>
        <w:tc>
          <w:tcPr>
            <w:tcW w:type="dxa" w:w="1701"/>
          </w:tcPr>
          <w:p>
            <w:r>
              <w:rPr>
                <w:rFonts w:ascii="Arial" w:hAnsi="Arial"/>
                <w:b w:val="0"/>
                <w:i w:val="0"/>
                <w:sz w:val="18"/>
              </w:rPr>
              <w:t>Reviewed</w:t>
            </w:r>
          </w:p>
        </w:tc>
        <w:tc>
          <w:tcPr>
            <w:tcW w:type="dxa" w:w="2835"/>
          </w:tcPr>
          <w:p>
            <w:r>
              <w:rPr>
                <w:rFonts w:ascii="Arial" w:hAnsi="Arial"/>
                <w:b/>
                <w:i w:val="0"/>
                <w:color w:val="0059D1"/>
                <w:sz w:val="18"/>
              </w:rPr>
              <w:t>[INSERT: name]</w:t>
            </w:r>
          </w:p>
        </w:tc>
        <w:tc>
          <w:tcPr>
            <w:tcW w:type="dxa" w:w="2835"/>
          </w:tcPr>
          <w:p>
            <w:r>
              <w:rPr>
                <w:rFonts w:ascii="Arial" w:hAnsi="Arial"/>
                <w:b/>
                <w:i w:val="0"/>
                <w:color w:val="0059D1"/>
                <w:sz w:val="18"/>
              </w:rPr>
              <w:t>[INSERT: position]</w:t>
            </w:r>
          </w:p>
        </w:tc>
        <w:tc>
          <w:tcPr>
            <w:tcW w:type="dxa" w:w="1701"/>
          </w:tcPr>
          <w:p/>
        </w:tc>
      </w:tr>
      <w:tr>
        <w:tc>
          <w:tcPr>
            <w:tcW w:type="dxa" w:w="1701"/>
          </w:tcPr>
          <w:p>
            <w:r>
              <w:rPr>
                <w:rFonts w:ascii="Arial" w:hAnsi="Arial"/>
                <w:b w:val="0"/>
                <w:i w:val="0"/>
                <w:sz w:val="18"/>
              </w:rPr>
              <w:t>Approved</w:t>
            </w:r>
          </w:p>
        </w:tc>
        <w:tc>
          <w:tcPr>
            <w:tcW w:type="dxa" w:w="2835"/>
          </w:tcPr>
          <w:p>
            <w:r>
              <w:rPr>
                <w:rFonts w:ascii="Arial" w:hAnsi="Arial"/>
                <w:b/>
                <w:i w:val="0"/>
                <w:color w:val="0059D1"/>
                <w:sz w:val="18"/>
              </w:rPr>
              <w:t>[INSERT: name]</w:t>
            </w:r>
          </w:p>
        </w:tc>
        <w:tc>
          <w:tcPr>
            <w:tcW w:type="dxa" w:w="2835"/>
          </w:tcPr>
          <w:p>
            <w:r>
              <w:rPr>
                <w:rFonts w:ascii="Arial" w:hAnsi="Arial"/>
                <w:b/>
                <w:i w:val="0"/>
                <w:color w:val="0059D1"/>
                <w:sz w:val="18"/>
              </w:rPr>
              <w:t>[INSERT: position]</w:t>
            </w:r>
          </w:p>
        </w:tc>
        <w:tc>
          <w:tcPr>
            <w:tcW w:type="dxa" w:w="1701"/>
          </w:tcPr>
          <w:p/>
        </w:tc>
      </w:tr>
    </w:tbl>
    <w:p/>
    <w:p>
      <w:r>
        <w:br w:type="page"/>
      </w:r>
    </w:p>
    <w:tbl>
      <w:tblPr>
        <w:tblW w:type="auto" w:w="0"/>
        <w:tblLook w:firstColumn="1" w:firstRow="1" w:lastColumn="0" w:lastRow="0" w:noHBand="0" w:noVBand="1" w:val="04A0"/>
      </w:tblPr>
      <w:tblGrid>
        <w:gridCol w:w="9026"/>
      </w:tblGrid>
      <w:tr>
        <w:tc>
          <w:tcPr>
            <w:tcW w:type="dxa" w:w="9026"/>
            <w:shd w:val="clear" w:color="auto" w:fill="FFF2CC"/>
          </w:tcPr>
          <w:p>
            <w:pPr>
              <w:spacing w:before="80" w:after="80"/>
            </w:pPr>
            <w:r>
              <w:rPr>
                <w:rFonts w:ascii="Arial" w:hAnsi="Arial"/>
                <w:b/>
                <w:i w:val="0"/>
                <w:color w:val="C55A11"/>
                <w:sz w:val="20"/>
              </w:rPr>
              <w:t>INSTRUCTION: Read, action and delete this box before this procedure is issued. Delete the entire Section 0 before this document is issued for review or approval. It must not appear in any approved version of this procedure.</w:t>
            </w:r>
          </w:p>
        </w:tc>
      </w:tr>
    </w:tbl>
    <w:p/>
    <w:p>
      <w:pPr>
        <w:spacing w:before="360" w:after="120"/>
        <w:pBdr>
          <w:bottom w:val="single" w:sz="6" w:space="4" w:color="2E75B6"/>
        </w:pBdr>
      </w:pPr>
      <w:r>
        <w:rPr>
          <w:rFonts w:ascii="Arial" w:hAnsi="Arial"/>
          <w:b/>
          <w:i w:val="0"/>
          <w:color w:val="1F3864"/>
          <w:sz w:val="26"/>
        </w:rPr>
        <w:t>0  How to Use This Document</w:t>
      </w:r>
    </w:p>
    <w:p>
      <w:pPr>
        <w:spacing w:before="60" w:after="120"/>
      </w:pPr>
      <w:r>
        <w:rPr>
          <w:rFonts w:ascii="Arial" w:hAnsi="Arial"/>
          <w:b w:val="0"/>
          <w:i w:val="0"/>
          <w:color w:val="2D2D2D"/>
          <w:sz w:val="20"/>
        </w:rP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spacing w:before="200" w:after="80"/>
      </w:pPr>
      <w:r>
        <w:rPr>
          <w:rFonts w:ascii="Arial" w:hAnsi="Arial"/>
          <w:b/>
          <w:i w:val="0"/>
          <w:color w:val="1F3864"/>
          <w:sz w:val="22"/>
        </w:rPr>
        <w:t>0.1  Purpose of This Template</w:t>
      </w:r>
    </w:p>
    <w:p>
      <w:pPr>
        <w:spacing w:before="60" w:after="120"/>
      </w:pPr>
      <w:r>
        <w:rPr>
          <w:rFonts w:ascii="Arial" w:hAnsi="Arial"/>
          <w:b w:val="0"/>
          <w:i w:val="0"/>
          <w:color w:val="2D2D2D"/>
          <w:sz w:val="20"/>
        </w:rPr>
        <w:t>This template supports the preparation of a project-specific Legal and Other Requirements Procedure for projects delivered under an Owner-Led model. Under this model, Rio Tinto directly manages all project activities, and this procedure applies to all personnel on the project, including Rio Tinto staff and all contractor organisations.</w:t>
      </w:r>
    </w:p>
    <w:p>
      <w:pPr>
        <w:spacing w:before="60" w:after="120"/>
      </w:pPr>
      <w:r>
        <w:rPr>
          <w:rFonts w:ascii="Arial" w:hAnsi="Arial"/>
          <w:b w:val="0"/>
          <w:i w:val="0"/>
          <w:color w:val="2D2D2D"/>
          <w:sz w:val="20"/>
        </w:rPr>
        <w:t>This template is provided as a 90% draft. Fixed content reflects the minimum Rio Tinto requirement and must not be reduced. The remaining 10% covers role names, register locations, schedules and project-specific triggers, and must be completed by the project team before this document is issued.</w:t>
      </w:r>
    </w:p>
    <w:p>
      <w:pPr>
        <w:spacing w:before="200" w:after="80"/>
      </w:pPr>
      <w:r>
        <w:rPr>
          <w:rFonts w:ascii="Arial" w:hAnsi="Arial"/>
          <w:b/>
          <w:i w:val="0"/>
          <w:color w:val="1F3864"/>
          <w:sz w:val="22"/>
        </w:rPr>
        <w:t>0.2  How This Document is Structured</w:t>
      </w:r>
    </w:p>
    <w:p>
      <w:pPr>
        <w:spacing w:before="60" w:after="120"/>
      </w:pPr>
      <w:r>
        <w:rPr>
          <w:rFonts w:ascii="Arial" w:hAnsi="Arial"/>
          <w:b w:val="0"/>
          <w:i w:val="0"/>
          <w:color w:val="2D2D2D"/>
          <w:sz w:val="20"/>
        </w:rPr>
        <w:t>This document contains four content types:</w:t>
      </w:r>
    </w:p>
    <w:p>
      <w:r>
        <w:rPr>
          <w:rFonts w:ascii="Arial" w:hAnsi="Arial"/>
          <w:b/>
          <w:i w:val="0"/>
          <w:color w:val="2D2D2D"/>
          <w:sz w:val="20"/>
        </w:rPr>
        <w:t xml:space="preserve">Fixed content </w:t>
      </w:r>
      <w:r>
        <w:rPr>
          <w:rFonts w:ascii="Arial" w:hAnsi="Arial"/>
          <w:b w:val="0"/>
          <w:i w:val="0"/>
          <w:color w:val="2D2D2D"/>
          <w:sz w:val="20"/>
        </w:rPr>
        <w:t>is plain black text reflecting minimum Rio Tinto requirements. Fixed content must not be reduced, deleted or overridden.</w:t>
      </w:r>
    </w:p>
    <w:p>
      <w:r>
        <w:rPr>
          <w:rFonts w:ascii="Arial" w:hAnsi="Arial"/>
          <w:b/>
          <w:i w:val="0"/>
          <w:color w:val="0059D1"/>
          <w:sz w:val="20"/>
        </w:rPr>
        <w:t xml:space="preserve">[INSERT: placeholder text] </w:t>
      </w:r>
      <w:r>
        <w:rPr>
          <w:rFonts w:ascii="Arial" w:hAnsi="Arial"/>
          <w:b w:val="0"/>
          <w:i w:val="0"/>
          <w:color w:val="2D2D2D"/>
          <w:sz w:val="20"/>
        </w:rPr>
        <w:t>appears in blue bold. Each placeholder must be replaced with accurate, project-specific information before issue.</w:t>
      </w:r>
    </w:p>
    <w:p>
      <w:r>
        <w:rPr>
          <w:rFonts w:ascii="Arial" w:hAnsi="Arial"/>
          <w:b w:val="0"/>
          <w:i w:val="0"/>
          <w:color w:val="C55A11"/>
          <w:sz w:val="20"/>
        </w:rPr>
        <w:t xml:space="preserve">Orange text </w:t>
      </w:r>
      <w:r>
        <w:rPr>
          <w:rFonts w:ascii="Arial" w:hAnsi="Arial"/>
          <w:b w:val="0"/>
          <w:i w:val="0"/>
          <w:color w:val="2D2D2D"/>
          <w:sz w:val="20"/>
        </w:rPr>
        <w:t>marks specific who, what, when, or how detail included as an industry best practice suggestion. The project team may retain, modify, or replace orange detail to suit their own organisational context.</w:t>
      </w:r>
    </w:p>
    <w:p>
      <w:pPr>
        <w:spacing w:before="200" w:after="80"/>
      </w:pPr>
      <w:r>
        <w:rPr>
          <w:rFonts w:ascii="Arial" w:hAnsi="Arial"/>
          <w:b/>
          <w:i w:val="0"/>
          <w:color w:val="1F3864"/>
          <w:sz w:val="22"/>
        </w:rPr>
        <w:t>0.3  Pre-Issue Checklist</w:t>
      </w:r>
    </w:p>
    <w:p>
      <w:pPr>
        <w:spacing w:before="60" w:after="120"/>
      </w:pPr>
      <w:r>
        <w:rPr>
          <w:rFonts w:ascii="Arial" w:hAnsi="Arial"/>
          <w:b w:val="0"/>
          <w:i w:val="0"/>
          <w:color w:val="2D2D2D"/>
          <w:sz w:val="20"/>
        </w:rPr>
        <w:t>Before submitting this document for review or approval, confirm all items below are complete, then delete this checklist together with the rest of Section 0.</w:t>
      </w:r>
    </w:p>
    <w:tbl>
      <w:tblPr>
        <w:tblStyle w:val="TableGrid"/>
        <w:tblW w:type="auto" w:w="0"/>
        <w:tblLook w:firstColumn="1" w:firstRow="1" w:lastColumn="0" w:lastRow="0" w:noHBand="0" w:noVBand="1" w:val="04A0"/>
      </w:tblPr>
      <w:tblGrid>
        <w:gridCol w:w="4513"/>
        <w:gridCol w:w="4513"/>
      </w:tblGrid>
      <w:tr>
        <w:tc>
          <w:tcPr>
            <w:tcW w:type="dxa" w:w="7937"/>
            <w:shd w:val="clear" w:color="auto" w:fill="1F3864"/>
          </w:tcPr>
          <w:p>
            <w:r>
              <w:rPr>
                <w:rFonts w:ascii="Arial" w:hAnsi="Arial"/>
                <w:b/>
                <w:i w:val="0"/>
                <w:color w:val="FFFFFF"/>
                <w:sz w:val="18"/>
              </w:rPr>
              <w:t>Check</w:t>
            </w:r>
          </w:p>
        </w:tc>
        <w:tc>
          <w:tcPr>
            <w:tcW w:type="dxa" w:w="1134"/>
            <w:shd w:val="clear" w:color="auto" w:fill="1F3864"/>
          </w:tcPr>
          <w:p>
            <w:r>
              <w:rPr>
                <w:rFonts w:ascii="Arial" w:hAnsi="Arial"/>
                <w:b/>
                <w:i w:val="0"/>
                <w:color w:val="FFFFFF"/>
                <w:sz w:val="18"/>
              </w:rPr>
              <w:t>Complete?</w:t>
            </w:r>
          </w:p>
        </w:tc>
      </w:tr>
      <w:tr>
        <w:tc>
          <w:tcPr>
            <w:tcW w:type="dxa" w:w="7937"/>
          </w:tcPr>
          <w:p>
            <w:r>
              <w:rPr>
                <w:rFonts w:ascii="Arial" w:hAnsi="Arial"/>
                <w:b w:val="0"/>
                <w:i w:val="0"/>
                <w:color w:val="2D2D2D"/>
                <w:sz w:val="18"/>
              </w:rPr>
              <w:t>Cover page is complete including document number, revision, date and signatories</w:t>
            </w:r>
          </w:p>
        </w:tc>
        <w:tc>
          <w:tcPr>
            <w:tcW w:type="dxa" w:w="1134"/>
          </w:tcPr>
          <w:p>
            <w:r>
              <w:rPr>
                <w:rFonts w:ascii="Arial" w:hAnsi="Arial"/>
                <w:b w:val="0"/>
                <w:i w:val="0"/>
                <w:color w:val="2D2D2D"/>
                <w:sz w:val="18"/>
              </w:rPr>
              <w:t>☐</w:t>
            </w:r>
          </w:p>
        </w:tc>
      </w:tr>
      <w:tr>
        <w:tc>
          <w:tcPr>
            <w:tcW w:type="dxa" w:w="7937"/>
          </w:tcPr>
          <w:p>
            <w:r>
              <w:rPr>
                <w:rFonts w:ascii="Arial" w:hAnsi="Arial"/>
                <w:b w:val="0"/>
                <w:i w:val="0"/>
                <w:color w:val="2D2D2D"/>
                <w:sz w:val="18"/>
              </w:rPr>
              <w:t>All [INSERT:] placeholder text has been replaced with project-specific information</w:t>
            </w:r>
          </w:p>
        </w:tc>
        <w:tc>
          <w:tcPr>
            <w:tcW w:type="dxa" w:w="1134"/>
          </w:tcPr>
          <w:p>
            <w:r>
              <w:rPr>
                <w:rFonts w:ascii="Arial" w:hAnsi="Arial"/>
                <w:b w:val="0"/>
                <w:i w:val="0"/>
                <w:color w:val="2D2D2D"/>
                <w:sz w:val="18"/>
              </w:rPr>
              <w:t>☐</w:t>
            </w:r>
          </w:p>
        </w:tc>
      </w:tr>
      <w:tr>
        <w:tc>
          <w:tcPr>
            <w:tcW w:type="dxa" w:w="7937"/>
          </w:tcPr>
          <w:p>
            <w:r>
              <w:rPr>
                <w:rFonts w:ascii="Arial" w:hAnsi="Arial"/>
                <w:b w:val="0"/>
                <w:i w:val="0"/>
                <w:color w:val="2D2D2D"/>
                <w:sz w:val="18"/>
              </w:rPr>
              <w:t>All instruction boxes have been read, actioned and deleted</w:t>
            </w:r>
          </w:p>
        </w:tc>
        <w:tc>
          <w:tcPr>
            <w:tcW w:type="dxa" w:w="1134"/>
          </w:tcPr>
          <w:p>
            <w:r>
              <w:rPr>
                <w:rFonts w:ascii="Arial" w:hAnsi="Arial"/>
                <w:b w:val="0"/>
                <w:i w:val="0"/>
                <w:color w:val="2D2D2D"/>
                <w:sz w:val="18"/>
              </w:rPr>
              <w:t>☐</w:t>
            </w:r>
          </w:p>
        </w:tc>
      </w:tr>
      <w:tr>
        <w:tc>
          <w:tcPr>
            <w:tcW w:type="dxa" w:w="7937"/>
          </w:tcPr>
          <w:p>
            <w:r>
              <w:rPr>
                <w:rFonts w:ascii="Arial" w:hAnsi="Arial"/>
                <w:b w:val="0"/>
                <w:i w:val="0"/>
                <w:color w:val="2D2D2D"/>
                <w:sz w:val="18"/>
              </w:rPr>
              <w:t>All role titles match the actual project organisational structure</w:t>
            </w:r>
          </w:p>
        </w:tc>
        <w:tc>
          <w:tcPr>
            <w:tcW w:type="dxa" w:w="1134"/>
          </w:tcPr>
          <w:p>
            <w:r>
              <w:rPr>
                <w:rFonts w:ascii="Arial" w:hAnsi="Arial"/>
                <w:b w:val="0"/>
                <w:i w:val="0"/>
                <w:color w:val="2D2D2D"/>
                <w:sz w:val="18"/>
              </w:rPr>
              <w:t>☐</w:t>
            </w:r>
          </w:p>
        </w:tc>
      </w:tr>
      <w:tr>
        <w:tc>
          <w:tcPr>
            <w:tcW w:type="dxa" w:w="7937"/>
          </w:tcPr>
          <w:p>
            <w:r>
              <w:rPr>
                <w:rFonts w:ascii="Arial" w:hAnsi="Arial"/>
                <w:b w:val="0"/>
                <w:i w:val="0"/>
                <w:color w:val="2D2D2D"/>
                <w:sz w:val="18"/>
              </w:rPr>
              <w:t>All system and register locations are confirmed and inserted</w:t>
            </w:r>
          </w:p>
        </w:tc>
        <w:tc>
          <w:tcPr>
            <w:tcW w:type="dxa" w:w="1134"/>
          </w:tcPr>
          <w:p>
            <w:r>
              <w:rPr>
                <w:rFonts w:ascii="Arial" w:hAnsi="Arial"/>
                <w:b w:val="0"/>
                <w:i w:val="0"/>
                <w:color w:val="2D2D2D"/>
                <w:sz w:val="18"/>
              </w:rPr>
              <w:t>☐</w:t>
            </w:r>
          </w:p>
        </w:tc>
      </w:tr>
      <w:tr>
        <w:tc>
          <w:tcPr>
            <w:tcW w:type="dxa" w:w="7937"/>
          </w:tcPr>
          <w:p>
            <w:r>
              <w:rPr>
                <w:rFonts w:ascii="Arial" w:hAnsi="Arial"/>
                <w:b w:val="0"/>
                <w:i w:val="0"/>
                <w:color w:val="2D2D2D"/>
                <w:sz w:val="18"/>
              </w:rPr>
              <w:t>All workshop and meeting dates are confirmed against the project programme</w:t>
            </w:r>
          </w:p>
        </w:tc>
        <w:tc>
          <w:tcPr>
            <w:tcW w:type="dxa" w:w="1134"/>
          </w:tcPr>
          <w:p>
            <w:r>
              <w:rPr>
                <w:rFonts w:ascii="Arial" w:hAnsi="Arial"/>
                <w:b w:val="0"/>
                <w:i w:val="0"/>
                <w:color w:val="2D2D2D"/>
                <w:sz w:val="18"/>
              </w:rPr>
              <w:t>☐</w:t>
            </w:r>
          </w:p>
        </w:tc>
      </w:tr>
      <w:tr>
        <w:tc>
          <w:tcPr>
            <w:tcW w:type="dxa" w:w="7937"/>
          </w:tcPr>
          <w:p>
            <w:r>
              <w:rPr>
                <w:rFonts w:ascii="Arial" w:hAnsi="Arial"/>
                <w:b w:val="0"/>
                <w:i w:val="0"/>
                <w:color w:val="2D2D2D"/>
                <w:sz w:val="18"/>
              </w:rPr>
              <w:t>Related procedures listed in the References section are issued or being issued concurrently</w:t>
            </w:r>
          </w:p>
        </w:tc>
        <w:tc>
          <w:tcPr>
            <w:tcW w:type="dxa" w:w="1134"/>
          </w:tcPr>
          <w:p>
            <w:r>
              <w:rPr>
                <w:rFonts w:ascii="Arial" w:hAnsi="Arial"/>
                <w:b w:val="0"/>
                <w:i w:val="0"/>
                <w:color w:val="2D2D2D"/>
                <w:sz w:val="18"/>
              </w:rPr>
              <w:t>☐</w:t>
            </w:r>
          </w:p>
        </w:tc>
      </w:tr>
      <w:tr>
        <w:tc>
          <w:tcPr>
            <w:tcW w:type="dxa" w:w="7937"/>
          </w:tcPr>
          <w:p>
            <w:r>
              <w:rPr>
                <w:rFonts w:ascii="Arial" w:hAnsi="Arial"/>
                <w:b w:val="0"/>
                <w:i w:val="0"/>
                <w:color w:val="2D2D2D"/>
                <w:sz w:val="18"/>
              </w:rPr>
              <w:t>Section 17 (Source Requirements Traceability) has been completed and will be deleted before final issue</w:t>
            </w:r>
          </w:p>
        </w:tc>
        <w:tc>
          <w:tcPr>
            <w:tcW w:type="dxa" w:w="1134"/>
          </w:tcPr>
          <w:p>
            <w:r>
              <w:rPr>
                <w:rFonts w:ascii="Arial" w:hAnsi="Arial"/>
                <w:b w:val="0"/>
                <w:i w:val="0"/>
                <w:color w:val="2D2D2D"/>
                <w:sz w:val="18"/>
              </w:rPr>
              <w:t>☐</w:t>
            </w:r>
          </w:p>
        </w:tc>
      </w:tr>
      <w:tr>
        <w:tc>
          <w:tcPr>
            <w:tcW w:type="dxa" w:w="7937"/>
          </w:tcPr>
          <w:p>
            <w:r>
              <w:rPr>
                <w:rFonts w:ascii="Arial" w:hAnsi="Arial"/>
                <w:b w:val="0"/>
                <w:i w:val="0"/>
                <w:color w:val="2D2D2D"/>
                <w:sz w:val="18"/>
              </w:rPr>
              <w:t>Section 16 (Project Localisation Edits) has been populated with all changes made during preparation</w:t>
            </w:r>
          </w:p>
        </w:tc>
        <w:tc>
          <w:tcPr>
            <w:tcW w:type="dxa" w:w="1134"/>
          </w:tcPr>
          <w:p>
            <w:r>
              <w:rPr>
                <w:rFonts w:ascii="Arial" w:hAnsi="Arial"/>
                <w:b w:val="0"/>
                <w:i w:val="0"/>
                <w:color w:val="2D2D2D"/>
                <w:sz w:val="18"/>
              </w:rPr>
              <w:t>☐</w:t>
            </w:r>
          </w:p>
        </w:tc>
      </w:tr>
      <w:tr>
        <w:tc>
          <w:tcPr>
            <w:tcW w:type="dxa" w:w="7937"/>
          </w:tcPr>
          <w:p>
            <w:r>
              <w:rPr>
                <w:rFonts w:ascii="Arial" w:hAnsi="Arial"/>
                <w:b w:val="0"/>
                <w:i w:val="0"/>
                <w:color w:val="2D2D2D"/>
                <w:sz w:val="18"/>
              </w:rPr>
              <w:t>Section 0 has been deleted in its entirety</w:t>
            </w:r>
          </w:p>
        </w:tc>
        <w:tc>
          <w:tcPr>
            <w:tcW w:type="dxa" w:w="1134"/>
          </w:tcPr>
          <w:p>
            <w:r>
              <w:rPr>
                <w:rFonts w:ascii="Arial" w:hAnsi="Arial"/>
                <w:b w:val="0"/>
                <w:i w:val="0"/>
                <w:color w:val="2D2D2D"/>
                <w:sz w:val="18"/>
              </w:rPr>
              <w:t>☐</w:t>
            </w:r>
          </w:p>
        </w:tc>
      </w:tr>
    </w:tbl>
    <w:p/>
    <w:p>
      <w:r>
        <w:br w:type="page"/>
      </w:r>
    </w:p>
    <w:p>
      <w:pPr>
        <w:pBdr>
          <w:bottom w:val="single" w:sz="6" w:space="4" w:color="2E75B6"/>
        </w:pBdr>
      </w:pPr>
      <w:r>
        <w:rPr>
          <w:rFonts w:ascii="Arial" w:hAnsi="Arial"/>
          <w:b/>
          <w:i w:val="0"/>
          <w:color w:val="1F3864"/>
          <w:sz w:val="26"/>
        </w:rPr>
        <w:t>Contents</w:t>
      </w:r>
    </w:p>
    <w:p>
      <w:pPr>
        <w:spacing w:before="60" w:after="120"/>
      </w:pPr>
      <w:r>
        <w:rPr>
          <w:rFonts w:ascii="Arial" w:hAnsi="Arial"/>
          <w:b w:val="0"/>
          <w:i w:val="0"/>
          <w:color w:val="2D2D2D"/>
          <w:sz w:val="20"/>
        </w:rPr>
        <w:t>[Right-click here and select 'Update Field' to generate the table of contents after all content is finalised and placeholders are completed.]</w:t>
      </w:r>
    </w:p>
    <w:p/>
    <w:p>
      <w:r>
        <w:br w:type="page"/>
      </w:r>
    </w:p>
    <w:p>
      <w:pPr>
        <w:spacing w:before="360" w:after="120"/>
        <w:pBdr>
          <w:bottom w:val="single" w:sz="6" w:space="4" w:color="2E75B6"/>
        </w:pBdr>
      </w:pPr>
      <w:r>
        <w:rPr>
          <w:rFonts w:ascii="Arial" w:hAnsi="Arial"/>
          <w:b/>
          <w:i w:val="0"/>
          <w:color w:val="1F3864"/>
          <w:sz w:val="26"/>
        </w:rPr>
        <w:t>1  Purpose and Scope</w:t>
      </w:r>
    </w:p>
    <w:p>
      <w:pPr>
        <w:spacing w:before="60" w:after="120"/>
      </w:pPr>
      <w:r>
        <w:rPr>
          <w:rFonts w:ascii="Arial" w:hAnsi="Arial"/>
          <w:b w:val="0"/>
          <w:i w:val="0"/>
          <w:color w:val="2D2D2D"/>
          <w:sz w:val="20"/>
        </w:rPr>
        <w:t>This procedure governs how the owner-led project identifies, accesses, communicates, and monitors compliance with all applicable legal and HSESC obligations across all project locations and lifecycle phases. In the owner-led model RT holds direct legal responsibility and cannot delegate compliance accountability — this procedure establishes how that accountability is exercised across all project participants.</w:t>
      </w:r>
    </w:p>
    <w:p>
      <w:pPr>
        <w:spacing w:before="200" w:after="80"/>
      </w:pPr>
      <w:r>
        <w:rPr>
          <w:rFonts w:ascii="Arial" w:hAnsi="Arial"/>
          <w:b/>
          <w:i w:val="0"/>
          <w:color w:val="1F3864"/>
          <w:sz w:val="22"/>
        </w:rPr>
        <w:t>1.1  Purpose of This Document</w:t>
      </w:r>
    </w:p>
    <w:p>
      <w:pPr>
        <w:spacing w:before="60" w:after="120"/>
      </w:pPr>
      <w:r>
        <w:rPr>
          <w:rFonts w:ascii="Arial" w:hAnsi="Arial"/>
          <w:b w:val="0"/>
          <w:i w:val="0"/>
          <w:color w:val="2D2D2D"/>
          <w:sz w:val="20"/>
        </w:rPr>
        <w:t>This section states the purpose of this procedure and the requirements it establishes for the project from Execution through to Handover.</w:t>
      </w:r>
    </w:p>
    <w:p>
      <w:pPr>
        <w:spacing w:before="60" w:after="120"/>
      </w:pPr>
      <w:r>
        <w:rPr>
          <w:rFonts w:ascii="Arial" w:hAnsi="Arial"/>
          <w:b w:val="0"/>
          <w:i w:val="0"/>
          <w:color w:val="2D2D2D"/>
          <w:sz w:val="20"/>
        </w:rPr>
        <w:t>This procedure meets the following purpose requirements:</w:t>
      </w:r>
    </w:p>
    <w:p>
      <w:pPr>
        <w:spacing w:before="60" w:after="120"/>
      </w:pPr>
      <w:r>
        <w:rPr>
          <w:rFonts w:ascii="Arial" w:hAnsi="Arial"/>
          <w:b w:val="0"/>
          <w:i w:val="0"/>
          <w:color w:val="2D2D2D"/>
          <w:sz w:val="20"/>
        </w:rPr>
        <w:t>This procedure governs how the owner-led project identifies, accesses, communicates, and monitors compliance with all applicable legal and HSESC obligations across all project locations and lifecycle phases. In the owner-led model RT holds direct legal responsibility and cannot delegate compliance accountability — this procedure establishes how that accountability is exercised across all project participants.</w:t>
      </w:r>
    </w:p>
    <w:p>
      <w:pPr>
        <w:spacing w:before="200" w:after="80"/>
      </w:pPr>
      <w:r>
        <w:rPr>
          <w:rFonts w:ascii="Arial" w:hAnsi="Arial"/>
          <w:b/>
          <w:i w:val="0"/>
          <w:color w:val="1F3864"/>
          <w:sz w:val="22"/>
        </w:rPr>
        <w:t>1.2  Scope of This Document</w:t>
      </w:r>
    </w:p>
    <w:p>
      <w:pPr>
        <w:spacing w:before="60" w:after="120"/>
      </w:pPr>
      <w:r>
        <w:rPr>
          <w:rFonts w:ascii="Arial" w:hAnsi="Arial"/>
          <w:b w:val="0"/>
          <w:i w:val="0"/>
          <w:color w:val="2D2D2D"/>
          <w:sz w:val="20"/>
        </w:rPr>
        <w:t>This section defines which activities and lifecycle phases are governed by this document.</w:t>
      </w:r>
    </w:p>
    <w:p>
      <w:pPr>
        <w:spacing w:before="60" w:after="120"/>
      </w:pPr>
      <w:r>
        <w:rPr>
          <w:rFonts w:ascii="Arial" w:hAnsi="Arial"/>
          <w:b w:val="0"/>
          <w:i w:val="0"/>
          <w:color w:val="2D2D2D"/>
          <w:sz w:val="20"/>
        </w:rPr>
        <w:t>This procedure applies to all Rio Tinto project personnel and all contractor organisations performing work under an Owner-Led project. It governs the requirements for legal and other requirements from project Execution through to Handover.</w:t>
      </w:r>
    </w:p>
    <w:p>
      <w:pPr>
        <w:spacing w:before="40" w:after="120"/>
      </w:pPr>
      <w:r>
        <w:rPr>
          <w:rFonts w:ascii="Arial" w:hAnsi="Arial"/>
          <w:b/>
          <w:i w:val="0"/>
          <w:color w:val="0059D1"/>
          <w:sz w:val="20"/>
        </w:rPr>
        <w:t>[INSERT: scope qualifications] — note any activities, phases, or locations excluded from this procedure's scope</w:t>
      </w:r>
    </w:p>
    <w:p>
      <w:pPr>
        <w:spacing w:before="360" w:after="120"/>
        <w:pBdr>
          <w:bottom w:val="single" w:sz="6" w:space="4" w:color="2E75B6"/>
        </w:pBdr>
      </w:pPr>
      <w:r>
        <w:rPr>
          <w:rFonts w:ascii="Arial" w:hAnsi="Arial"/>
          <w:b/>
          <w:i w:val="0"/>
          <w:color w:val="1F3864"/>
          <w:sz w:val="26"/>
        </w:rPr>
        <w:t>2  Roles and Responsibilities</w:t>
      </w:r>
    </w:p>
    <w:p>
      <w:pPr>
        <w:spacing w:before="60" w:after="120"/>
      </w:pPr>
      <w:r>
        <w:rPr>
          <w:rFonts w:ascii="Arial" w:hAnsi="Arial"/>
          <w:b w:val="0"/>
          <w:i w:val="0"/>
          <w:color w:val="2D2D2D"/>
          <w:sz w:val="20"/>
        </w:rP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Grid"/>
        <w:tblW w:type="auto" w:w="0"/>
        <w:tblLook w:firstColumn="1" w:firstRow="1" w:lastColumn="0" w:lastRow="0" w:noHBand="0" w:noVBand="1" w:val="04A0"/>
      </w:tblPr>
      <w:tblGrid>
        <w:gridCol w:w="2256"/>
        <w:gridCol w:w="2256"/>
        <w:gridCol w:w="2256"/>
        <w:gridCol w:w="2256"/>
      </w:tblGrid>
      <w:tr>
        <w:tc>
          <w:tcPr>
            <w:tcW w:type="dxa" w:w="4535"/>
            <w:shd w:val="clear" w:color="auto" w:fill="1F3864"/>
          </w:tcPr>
          <w:p>
            <w:r>
              <w:rPr>
                <w:rFonts w:ascii="Arial" w:hAnsi="Arial"/>
                <w:b/>
                <w:i w:val="0"/>
                <w:color w:val="FFFFFF"/>
                <w:sz w:val="18"/>
              </w:rPr>
              <w:t>Responsibilities</w:t>
            </w:r>
          </w:p>
        </w:tc>
        <w:tc>
          <w:tcPr>
            <w:tcW w:type="dxa" w:w="850"/>
            <w:shd w:val="clear" w:color="auto" w:fill="1F3864"/>
          </w:tcPr>
          <w:p>
            <w:r>
              <w:rPr>
                <w:rFonts w:ascii="Arial" w:hAnsi="Arial"/>
                <w:b/>
                <w:i w:val="0"/>
                <w:color w:val="FFFFFF"/>
                <w:sz w:val="18"/>
              </w:rPr>
              <w:t>Company</w:t>
            </w:r>
          </w:p>
        </w:tc>
        <w:tc>
          <w:tcPr>
            <w:tcW w:type="dxa" w:w="850"/>
            <w:shd w:val="clear" w:color="auto" w:fill="1F3864"/>
          </w:tcPr>
          <w:p>
            <w:r>
              <w:rPr>
                <w:rFonts w:ascii="Arial" w:hAnsi="Arial"/>
                <w:b/>
                <w:i w:val="0"/>
                <w:color w:val="FFFFFF"/>
                <w:sz w:val="18"/>
              </w:rPr>
              <w:t>Contractor</w:t>
            </w:r>
          </w:p>
        </w:tc>
        <w:tc>
          <w:tcPr>
            <w:tcW w:type="dxa" w:w="2835"/>
            <w:shd w:val="clear" w:color="auto" w:fill="1F3864"/>
          </w:tcPr>
          <w:p>
            <w:r>
              <w:rPr>
                <w:rFonts w:ascii="Arial" w:hAnsi="Arial"/>
                <w:b/>
                <w:i w:val="0"/>
                <w:color w:val="FFFFFF"/>
                <w:sz w:val="18"/>
              </w:rPr>
              <w:t>Section</w:t>
            </w:r>
          </w:p>
        </w:tc>
      </w:tr>
      <w:tr>
        <w:tc>
          <w:tcPr>
            <w:tcW w:type="dxa" w:w="9024"/>
            <w:gridSpan w:val="4"/>
            <w:shd w:val="clear" w:color="auto" w:fill="D6E4F0"/>
          </w:tcPr>
          <w:p>
            <w:r>
              <w:rPr>
                <w:rFonts w:ascii="Arial" w:hAnsi="Arial"/>
                <w:b/>
                <w:i w:val="0"/>
                <w:color w:val="1F3864"/>
                <w:sz w:val="18"/>
              </w:rPr>
              <w:t>Project Management</w:t>
            </w:r>
          </w:p>
        </w:tc>
      </w:tr>
      <w:tr>
        <w:tc>
          <w:tcPr>
            <w:tcW w:type="dxa" w:w="2256"/>
          </w:tcPr>
          <w:p>
            <w:r>
              <w:rPr>
                <w:rFonts w:ascii="Arial" w:hAnsi="Arial"/>
                <w:b w:val="0"/>
                <w:i w:val="0"/>
                <w:color w:val="2D2D2D"/>
                <w:sz w:val="18"/>
              </w:rPr>
              <w:t>Holds overall accountability for the project compliance with this procedure and approves this procedure and any material amendment.</w:t>
            </w:r>
          </w:p>
        </w:tc>
        <w:tc>
          <w:tcPr>
            <w:tcW w:type="dxa" w:w="2256"/>
          </w:tcPr>
          <w:p>
            <w:r>
              <w:rPr>
                <w:rFonts w:ascii="Arial" w:hAnsi="Arial"/>
                <w:b/>
                <w:i w:val="0"/>
                <w:color w:val="2D2D2D"/>
                <w:sz w:val="18"/>
              </w:rPr>
              <w:t>✓</w:t>
            </w:r>
          </w:p>
        </w:tc>
        <w:tc>
          <w:tcPr>
            <w:tcW w:type="dxa" w:w="2256"/>
          </w:tcPr>
          <w:p>
            <w:r>
              <w:rPr>
                <w:rFonts w:ascii="Arial" w:hAnsi="Arial"/>
                <w:b/>
                <w:i w:val="0"/>
                <w:color w:val="2D2D2D"/>
                <w:sz w:val="18"/>
              </w:rPr>
            </w:r>
          </w:p>
        </w:tc>
        <w:tc>
          <w:tcPr>
            <w:tcW w:type="dxa" w:w="2256"/>
          </w:tcPr>
          <w:p/>
        </w:tc>
      </w:tr>
      <w:tr>
        <w:tc>
          <w:tcPr>
            <w:tcW w:type="dxa" w:w="2256"/>
          </w:tcPr>
          <w:p>
            <w:r>
              <w:rPr>
                <w:rFonts w:ascii="Arial" w:hAnsi="Arial"/>
                <w:b/>
                <w:i w:val="0"/>
                <w:color w:val="0059D1"/>
                <w:sz w:val="18"/>
              </w:rPr>
              <w:t>[INSERT: add further responsibilities as required]</w:t>
            </w:r>
          </w:p>
        </w:tc>
        <w:tc>
          <w:tcPr>
            <w:tcW w:type="dxa" w:w="2256"/>
          </w:tcPr>
          <w:p/>
        </w:tc>
        <w:tc>
          <w:tcPr>
            <w:tcW w:type="dxa" w:w="2256"/>
          </w:tcPr>
          <w:p/>
        </w:tc>
        <w:tc>
          <w:tcPr>
            <w:tcW w:type="dxa" w:w="2256"/>
          </w:tcPr>
          <w:p/>
        </w:tc>
      </w:tr>
      <w:tr>
        <w:tc>
          <w:tcPr>
            <w:tcW w:type="dxa" w:w="9024"/>
            <w:gridSpan w:val="4"/>
            <w:shd w:val="clear" w:color="auto" w:fill="D6E4F0"/>
          </w:tcPr>
          <w:p>
            <w:r>
              <w:rPr>
                <w:rFonts w:ascii="Arial" w:hAnsi="Arial"/>
                <w:b/>
                <w:i w:val="0"/>
                <w:color w:val="1F3864"/>
                <w:sz w:val="18"/>
              </w:rPr>
              <w:t>HSE/CSP Management</w:t>
            </w:r>
          </w:p>
        </w:tc>
      </w:tr>
      <w:tr>
        <w:tc>
          <w:tcPr>
            <w:tcW w:type="dxa" w:w="2256"/>
          </w:tcPr>
          <w:p>
            <w:r>
              <w:rPr>
                <w:rFonts w:ascii="Arial" w:hAnsi="Arial"/>
                <w:b w:val="0"/>
                <w:i w:val="0"/>
                <w:color w:val="2D2D2D"/>
                <w:sz w:val="18"/>
              </w:rPr>
              <w:t>Maintains and implements this procedure and confirms all activities meet its requirements before work proceeds.</w:t>
            </w:r>
          </w:p>
        </w:tc>
        <w:tc>
          <w:tcPr>
            <w:tcW w:type="dxa" w:w="2256"/>
          </w:tcPr>
          <w:p>
            <w:r>
              <w:rPr>
                <w:rFonts w:ascii="Arial" w:hAnsi="Arial"/>
                <w:b/>
                <w:i w:val="0"/>
                <w:color w:val="2D2D2D"/>
                <w:sz w:val="18"/>
              </w:rPr>
              <w:t>✓</w:t>
            </w:r>
          </w:p>
        </w:tc>
        <w:tc>
          <w:tcPr>
            <w:tcW w:type="dxa" w:w="2256"/>
          </w:tcPr>
          <w:p>
            <w:r>
              <w:rPr>
                <w:rFonts w:ascii="Arial" w:hAnsi="Arial"/>
                <w:b/>
                <w:i w:val="0"/>
                <w:color w:val="2D2D2D"/>
                <w:sz w:val="18"/>
              </w:rPr>
              <w:t>✓</w:t>
            </w:r>
          </w:p>
        </w:tc>
        <w:tc>
          <w:tcPr>
            <w:tcW w:type="dxa" w:w="2256"/>
          </w:tcPr>
          <w:p/>
        </w:tc>
      </w:tr>
      <w:tr>
        <w:tc>
          <w:tcPr>
            <w:tcW w:type="dxa" w:w="2256"/>
          </w:tcPr>
          <w:p>
            <w:r>
              <w:rPr>
                <w:rFonts w:ascii="Arial" w:hAnsi="Arial"/>
                <w:b w:val="0"/>
                <w:i w:val="0"/>
                <w:color w:val="2D2D2D"/>
                <w:sz w:val="18"/>
              </w:rPr>
              <w:t>Reviews and approves all required assessments and plans produced under this procedure.</w:t>
            </w:r>
          </w:p>
        </w:tc>
        <w:tc>
          <w:tcPr>
            <w:tcW w:type="dxa" w:w="2256"/>
          </w:tcPr>
          <w:p>
            <w:r>
              <w:rPr>
                <w:rFonts w:ascii="Arial" w:hAnsi="Arial"/>
                <w:b/>
                <w:i w:val="0"/>
                <w:color w:val="2D2D2D"/>
                <w:sz w:val="18"/>
              </w:rPr>
              <w:t>✓</w:t>
            </w:r>
          </w:p>
        </w:tc>
        <w:tc>
          <w:tcPr>
            <w:tcW w:type="dxa" w:w="2256"/>
          </w:tcPr>
          <w:p>
            <w:r>
              <w:rPr>
                <w:rFonts w:ascii="Arial" w:hAnsi="Arial"/>
                <w:b/>
                <w:i w:val="0"/>
                <w:color w:val="2D2D2D"/>
                <w:sz w:val="18"/>
              </w:rPr>
              <w:t>✓</w:t>
            </w:r>
          </w:p>
        </w:tc>
        <w:tc>
          <w:tcPr>
            <w:tcW w:type="dxa" w:w="2256"/>
          </w:tcPr>
          <w:p/>
        </w:tc>
      </w:tr>
      <w:tr>
        <w:tc>
          <w:tcPr>
            <w:tcW w:type="dxa" w:w="2256"/>
          </w:tcPr>
          <w:p>
            <w:r>
              <w:rPr>
                <w:rFonts w:ascii="Arial" w:hAnsi="Arial"/>
                <w:b w:val="0"/>
                <w:i w:val="0"/>
                <w:color w:val="2D2D2D"/>
                <w:sz w:val="18"/>
              </w:rPr>
              <w:t>Reports performance against this procedure at the agreed project HSESC performance meeting.</w:t>
            </w:r>
          </w:p>
        </w:tc>
        <w:tc>
          <w:tcPr>
            <w:tcW w:type="dxa" w:w="2256"/>
          </w:tcPr>
          <w:p>
            <w:r>
              <w:rPr>
                <w:rFonts w:ascii="Arial" w:hAnsi="Arial"/>
                <w:b/>
                <w:i w:val="0"/>
                <w:color w:val="2D2D2D"/>
                <w:sz w:val="18"/>
              </w:rPr>
              <w:t>✓</w:t>
            </w:r>
          </w:p>
        </w:tc>
        <w:tc>
          <w:tcPr>
            <w:tcW w:type="dxa" w:w="2256"/>
          </w:tcPr>
          <w:p>
            <w:r>
              <w:rPr>
                <w:rFonts w:ascii="Arial" w:hAnsi="Arial"/>
                <w:b/>
                <w:i w:val="0"/>
                <w:color w:val="2D2D2D"/>
                <w:sz w:val="18"/>
              </w:rPr>
              <w:t>✓</w:t>
            </w:r>
          </w:p>
        </w:tc>
        <w:tc>
          <w:tcPr>
            <w:tcW w:type="dxa" w:w="2256"/>
          </w:tcPr>
          <w:p/>
        </w:tc>
      </w:tr>
      <w:tr>
        <w:tc>
          <w:tcPr>
            <w:tcW w:type="dxa" w:w="2256"/>
          </w:tcPr>
          <w:p>
            <w:r>
              <w:rPr>
                <w:rFonts w:ascii="Arial" w:hAnsi="Arial"/>
                <w:b/>
                <w:i w:val="0"/>
                <w:color w:val="0059D1"/>
                <w:sz w:val="18"/>
              </w:rPr>
              <w:t>[INSERT: add further responsibilities as required]</w:t>
            </w:r>
          </w:p>
        </w:tc>
        <w:tc>
          <w:tcPr>
            <w:tcW w:type="dxa" w:w="2256"/>
          </w:tcPr>
          <w:p/>
        </w:tc>
        <w:tc>
          <w:tcPr>
            <w:tcW w:type="dxa" w:w="2256"/>
          </w:tcPr>
          <w:p/>
        </w:tc>
        <w:tc>
          <w:tcPr>
            <w:tcW w:type="dxa" w:w="2256"/>
          </w:tcPr>
          <w:p/>
        </w:tc>
      </w:tr>
      <w:tr>
        <w:tc>
          <w:tcPr>
            <w:tcW w:type="dxa" w:w="9024"/>
            <w:gridSpan w:val="4"/>
            <w:shd w:val="clear" w:color="auto" w:fill="D6E4F0"/>
          </w:tcPr>
          <w:p>
            <w:r>
              <w:rPr>
                <w:rFonts w:ascii="Arial" w:hAnsi="Arial"/>
                <w:b/>
                <w:i w:val="0"/>
                <w:color w:val="1F3864"/>
                <w:sz w:val="18"/>
              </w:rPr>
              <w:t>Frontline Supervision</w:t>
            </w:r>
          </w:p>
        </w:tc>
      </w:tr>
      <w:tr>
        <w:tc>
          <w:tcPr>
            <w:tcW w:type="dxa" w:w="2256"/>
          </w:tcPr>
          <w:p>
            <w:r>
              <w:rPr>
                <w:rFonts w:ascii="Arial" w:hAnsi="Arial"/>
                <w:b w:val="0"/>
                <w:i w:val="0"/>
                <w:color w:val="2D2D2D"/>
                <w:sz w:val="18"/>
              </w:rPr>
              <w:t>Ensures work crew compliance with this procedure before and during all relevant task executions.</w:t>
            </w:r>
          </w:p>
        </w:tc>
        <w:tc>
          <w:tcPr>
            <w:tcW w:type="dxa" w:w="2256"/>
          </w:tcPr>
          <w:p>
            <w:r>
              <w:rPr>
                <w:rFonts w:ascii="Arial" w:hAnsi="Arial"/>
                <w:b/>
                <w:i w:val="0"/>
                <w:color w:val="2D2D2D"/>
                <w:sz w:val="18"/>
              </w:rPr>
              <w:t>✓</w:t>
            </w:r>
          </w:p>
        </w:tc>
        <w:tc>
          <w:tcPr>
            <w:tcW w:type="dxa" w:w="2256"/>
          </w:tcPr>
          <w:p>
            <w:r>
              <w:rPr>
                <w:rFonts w:ascii="Arial" w:hAnsi="Arial"/>
                <w:b/>
                <w:i w:val="0"/>
                <w:color w:val="2D2D2D"/>
                <w:sz w:val="18"/>
              </w:rPr>
              <w:t>✓</w:t>
            </w:r>
          </w:p>
        </w:tc>
        <w:tc>
          <w:tcPr>
            <w:tcW w:type="dxa" w:w="2256"/>
          </w:tcPr>
          <w:p/>
        </w:tc>
      </w:tr>
      <w:tr>
        <w:tc>
          <w:tcPr>
            <w:tcW w:type="dxa" w:w="2256"/>
          </w:tcPr>
          <w:p>
            <w:r>
              <w:rPr>
                <w:rFonts w:ascii="Arial" w:hAnsi="Arial"/>
                <w:b w:val="0"/>
                <w:i w:val="0"/>
                <w:color w:val="2D2D2D"/>
                <w:sz w:val="18"/>
              </w:rPr>
              <w:t>Stops work when the requirements of this procedure cannot be met and notifies the HSESC Manager.</w:t>
            </w:r>
          </w:p>
        </w:tc>
        <w:tc>
          <w:tcPr>
            <w:tcW w:type="dxa" w:w="2256"/>
          </w:tcPr>
          <w:p>
            <w:r>
              <w:rPr>
                <w:rFonts w:ascii="Arial" w:hAnsi="Arial"/>
                <w:b/>
                <w:i w:val="0"/>
                <w:color w:val="2D2D2D"/>
                <w:sz w:val="18"/>
              </w:rPr>
              <w:t>✓</w:t>
            </w:r>
          </w:p>
        </w:tc>
        <w:tc>
          <w:tcPr>
            <w:tcW w:type="dxa" w:w="2256"/>
          </w:tcPr>
          <w:p>
            <w:r>
              <w:rPr>
                <w:rFonts w:ascii="Arial" w:hAnsi="Arial"/>
                <w:b/>
                <w:i w:val="0"/>
                <w:color w:val="2D2D2D"/>
                <w:sz w:val="18"/>
              </w:rPr>
              <w:t>✓</w:t>
            </w:r>
          </w:p>
        </w:tc>
        <w:tc>
          <w:tcPr>
            <w:tcW w:type="dxa" w:w="2256"/>
          </w:tcPr>
          <w:p/>
        </w:tc>
      </w:tr>
      <w:tr>
        <w:tc>
          <w:tcPr>
            <w:tcW w:type="dxa" w:w="2256"/>
          </w:tcPr>
          <w:p>
            <w:r>
              <w:rPr>
                <w:rFonts w:ascii="Arial" w:hAnsi="Arial"/>
                <w:b/>
                <w:i w:val="0"/>
                <w:color w:val="0059D1"/>
                <w:sz w:val="18"/>
              </w:rPr>
              <w:t>[INSERT: add further responsibilities as required]</w:t>
            </w:r>
          </w:p>
        </w:tc>
        <w:tc>
          <w:tcPr>
            <w:tcW w:type="dxa" w:w="2256"/>
          </w:tcPr>
          <w:p/>
        </w:tc>
        <w:tc>
          <w:tcPr>
            <w:tcW w:type="dxa" w:w="2256"/>
          </w:tcPr>
          <w:p/>
        </w:tc>
        <w:tc>
          <w:tcPr>
            <w:tcW w:type="dxa" w:w="2256"/>
          </w:tcPr>
          <w:p/>
        </w:tc>
      </w:tr>
      <w:tr>
        <w:tc>
          <w:tcPr>
            <w:tcW w:type="dxa" w:w="9024"/>
            <w:gridSpan w:val="4"/>
            <w:shd w:val="clear" w:color="auto" w:fill="D6E4F0"/>
          </w:tcPr>
          <w:p>
            <w:r>
              <w:rPr>
                <w:rFonts w:ascii="Arial" w:hAnsi="Arial"/>
                <w:b/>
                <w:i w:val="0"/>
                <w:color w:val="1F3864"/>
                <w:sz w:val="18"/>
              </w:rPr>
              <w:t>All Project Personnel / Workers</w:t>
            </w:r>
          </w:p>
        </w:tc>
      </w:tr>
      <w:tr>
        <w:tc>
          <w:tcPr>
            <w:tcW w:type="dxa" w:w="2256"/>
          </w:tcPr>
          <w:p>
            <w:r>
              <w:rPr>
                <w:rFonts w:ascii="Arial" w:hAnsi="Arial"/>
                <w:b w:val="0"/>
                <w:i w:val="0"/>
                <w:color w:val="2D2D2D"/>
                <w:sz w:val="18"/>
              </w:rPr>
              <w:t>Complies with the requirements of this procedure in all relevant work activities.</w:t>
            </w:r>
          </w:p>
        </w:tc>
        <w:tc>
          <w:tcPr>
            <w:tcW w:type="dxa" w:w="2256"/>
          </w:tcPr>
          <w:p>
            <w:r>
              <w:rPr>
                <w:rFonts w:ascii="Arial" w:hAnsi="Arial"/>
                <w:b/>
                <w:i w:val="0"/>
                <w:color w:val="2D2D2D"/>
                <w:sz w:val="18"/>
              </w:rPr>
              <w:t>✓</w:t>
            </w:r>
          </w:p>
        </w:tc>
        <w:tc>
          <w:tcPr>
            <w:tcW w:type="dxa" w:w="2256"/>
          </w:tcPr>
          <w:p>
            <w:r>
              <w:rPr>
                <w:rFonts w:ascii="Arial" w:hAnsi="Arial"/>
                <w:b/>
                <w:i w:val="0"/>
                <w:color w:val="2D2D2D"/>
                <w:sz w:val="18"/>
              </w:rPr>
              <w:t>✓</w:t>
            </w:r>
          </w:p>
        </w:tc>
        <w:tc>
          <w:tcPr>
            <w:tcW w:type="dxa" w:w="2256"/>
          </w:tcPr>
          <w:p/>
        </w:tc>
      </w:tr>
      <w:tr>
        <w:tc>
          <w:tcPr>
            <w:tcW w:type="dxa" w:w="2256"/>
          </w:tcPr>
          <w:p>
            <w:r>
              <w:rPr>
                <w:rFonts w:ascii="Arial" w:hAnsi="Arial"/>
                <w:b w:val="0"/>
                <w:i w:val="0"/>
                <w:color w:val="2D2D2D"/>
                <w:sz w:val="18"/>
              </w:rPr>
              <w:t>Reports any non-compliance with this procedure immediately to their supervisor.</w:t>
            </w:r>
          </w:p>
        </w:tc>
        <w:tc>
          <w:tcPr>
            <w:tcW w:type="dxa" w:w="2256"/>
          </w:tcPr>
          <w:p>
            <w:r>
              <w:rPr>
                <w:rFonts w:ascii="Arial" w:hAnsi="Arial"/>
                <w:b/>
                <w:i w:val="0"/>
                <w:color w:val="2D2D2D"/>
                <w:sz w:val="18"/>
              </w:rPr>
              <w:t>✓</w:t>
            </w:r>
          </w:p>
        </w:tc>
        <w:tc>
          <w:tcPr>
            <w:tcW w:type="dxa" w:w="2256"/>
          </w:tcPr>
          <w:p>
            <w:r>
              <w:rPr>
                <w:rFonts w:ascii="Arial" w:hAnsi="Arial"/>
                <w:b/>
                <w:i w:val="0"/>
                <w:color w:val="2D2D2D"/>
                <w:sz w:val="18"/>
              </w:rPr>
              <w:t>✓</w:t>
            </w:r>
          </w:p>
        </w:tc>
        <w:tc>
          <w:tcPr>
            <w:tcW w:type="dxa" w:w="2256"/>
          </w:tcPr>
          <w:p/>
        </w:tc>
      </w:tr>
      <w:tr>
        <w:tc>
          <w:tcPr>
            <w:tcW w:type="dxa" w:w="2256"/>
          </w:tcPr>
          <w:p>
            <w:r>
              <w:rPr>
                <w:rFonts w:ascii="Arial" w:hAnsi="Arial"/>
                <w:b/>
                <w:i w:val="0"/>
                <w:color w:val="0059D1"/>
                <w:sz w:val="18"/>
              </w:rPr>
              <w:t>[INSERT: add further responsibilities as required]</w:t>
            </w:r>
          </w:p>
        </w:tc>
        <w:tc>
          <w:tcPr>
            <w:tcW w:type="dxa" w:w="2256"/>
          </w:tcPr>
          <w:p/>
        </w:tc>
        <w:tc>
          <w:tcPr>
            <w:tcW w:type="dxa" w:w="2256"/>
          </w:tcPr>
          <w:p/>
        </w:tc>
        <w:tc>
          <w:tcPr>
            <w:tcW w:type="dxa" w:w="2256"/>
          </w:tcPr>
          <w:p/>
        </w:tc>
      </w:tr>
    </w:tbl>
    <w:p/>
    <w:p>
      <w:pPr>
        <w:spacing w:before="360" w:after="120"/>
        <w:pBdr>
          <w:bottom w:val="single" w:sz="6" w:space="4" w:color="2E75B6"/>
        </w:pBdr>
      </w:pPr>
      <w:r>
        <w:rPr>
          <w:rFonts w:ascii="Arial" w:hAnsi="Arial"/>
          <w:b/>
          <w:i w:val="0"/>
          <w:color w:val="1F3864"/>
          <w:sz w:val="26"/>
        </w:rPr>
        <w:t>3  Purpose, Scope and Register</w:t>
      </w:r>
    </w:p>
    <w:p>
      <w:pPr>
        <w:spacing w:before="60" w:after="120"/>
      </w:pPr>
      <w:r>
        <w:rPr>
          <w:rFonts w:ascii="Arial" w:hAnsi="Arial"/>
          <w:b w:val="0"/>
          <w:i w:val="0"/>
          <w:color w:val="2D2D2D"/>
          <w:sz w:val="20"/>
        </w:rPr>
        <w:t>This section defines the purpose of this procedure, the scope of legal and other requirements it governs, and the structure and content requirements of the project Legal and Other Requirements Register.</w:t>
      </w:r>
    </w:p>
    <w:p>
      <w:pPr>
        <w:spacing w:before="200" w:after="80"/>
      </w:pPr>
      <w:r>
        <w:rPr>
          <w:rFonts w:ascii="Arial" w:hAnsi="Arial"/>
          <w:b/>
          <w:i w:val="0"/>
          <w:color w:val="1F3864"/>
          <w:sz w:val="22"/>
        </w:rPr>
        <w:t>3.1  Purpose of This Document</w:t>
      </w:r>
    </w:p>
    <w:p>
      <w:pPr>
        <w:spacing w:before="60" w:after="120"/>
      </w:pPr>
      <w:r>
        <w:rPr>
          <w:rFonts w:ascii="Arial" w:hAnsi="Arial"/>
          <w:b w:val="0"/>
          <w:i w:val="0"/>
          <w:color w:val="2D2D2D"/>
          <w:sz w:val="20"/>
        </w:rPr>
        <w:t>This subsection states the purpose of this procedure and the compliance commitments it operationalises across all project locations.</w:t>
      </w:r>
    </w:p>
    <w:p>
      <w:pPr>
        <w:spacing w:before="60" w:after="120"/>
      </w:pPr>
      <w:r>
        <w:rPr>
          <w:rFonts w:ascii="Arial" w:hAnsi="Arial"/>
          <w:b w:val="0"/>
          <w:i w:val="0"/>
          <w:color w:val="2D2D2D"/>
          <w:sz w:val="20"/>
        </w:rPr>
        <w:t>This procedure defines the method for continuously identifying, tracking, and updating legal and other requirements across all locations where Work is performed on this project. It establishes the Legal and Other Requirements Register (RTPR-HSE-REG-0001) as the primary compliance management tool for the project, and defines the processes for monitoring, communicating, and acting on compliance obligations throughout the project lifecycle.</w:t>
      </w:r>
    </w:p>
    <w:p>
      <w:pPr>
        <w:spacing w:before="60" w:after="120"/>
      </w:pPr>
      <w:r>
        <w:rPr>
          <w:rFonts w:ascii="Arial" w:hAnsi="Arial"/>
          <w:b w:val="0"/>
          <w:i w:val="0"/>
          <w:color w:val="2D2D2D"/>
          <w:sz w:val="20"/>
        </w:rPr>
        <w:t>This project commits to full compliance with all applicable national and international laws, regulations, and other requirements to which Rio Tinto subscribes, including voluntary commitments made through industry initiatives, codes of practice, and community engagement processes. This commitment extends to all contractor organisations performing Work under the project management system.</w:t>
      </w:r>
    </w:p>
    <w:p>
      <w:pPr>
        <w:spacing w:before="60" w:after="120"/>
      </w:pPr>
      <w:r>
        <w:rPr>
          <w:rFonts w:ascii="Arial" w:hAnsi="Arial"/>
          <w:b w:val="0"/>
          <w:i w:val="0"/>
          <w:color w:val="2D2D2D"/>
          <w:sz w:val="20"/>
        </w:rPr>
        <w:t>This procedure meets the requirements of the Rio Tinto Management and Compliance Standard, IFC Performance Standard 1, ICMM Principle 1 on Ethical Business, the TSM Safe, Healthy and Respectful Workplaces Protocol, and the applicable provisions of the project contract documents including Appendix C.</w:t>
      </w:r>
    </w:p>
    <w:p>
      <w:pPr>
        <w:spacing w:before="200" w:after="80"/>
      </w:pPr>
      <w:r>
        <w:rPr>
          <w:rFonts w:ascii="Arial" w:hAnsi="Arial"/>
          <w:b/>
          <w:i w:val="0"/>
          <w:color w:val="1F3864"/>
          <w:sz w:val="22"/>
        </w:rPr>
        <w:t>3.2  Scope of This Document</w:t>
      </w:r>
    </w:p>
    <w:p>
      <w:pPr>
        <w:spacing w:before="60" w:after="120"/>
      </w:pPr>
      <w:r>
        <w:rPr>
          <w:rFonts w:ascii="Arial" w:hAnsi="Arial"/>
          <w:b w:val="0"/>
          <w:i w:val="0"/>
          <w:color w:val="2D2D2D"/>
          <w:sz w:val="20"/>
        </w:rPr>
        <w:t>This subsection defines the types of requirements captured within scope and the project phases and locations to which this procedure applies.</w:t>
      </w:r>
    </w:p>
    <w:p>
      <w:pPr>
        <w:spacing w:before="60" w:after="120"/>
      </w:pPr>
      <w:r>
        <w:rPr>
          <w:rFonts w:ascii="Arial" w:hAnsi="Arial"/>
          <w:b w:val="0"/>
          <w:i w:val="0"/>
          <w:color w:val="2D2D2D"/>
          <w:sz w:val="20"/>
        </w:rPr>
        <w:t>This procedure applies from the commencement of project execution through to project handover or closure and covers all locations where Work is performed. The scope of legal and other requirements captured within this procedure includes all applicable obligations arising from legislation, regulation, licence conditions, permits, approvals, conditions of consent, and commitments made through Environmental and Social Impact Assessment processes.</w:t>
      </w:r>
    </w:p>
    <w:p>
      <w:pPr>
        <w:spacing w:before="60" w:after="120"/>
      </w:pPr>
      <w:r>
        <w:rPr>
          <w:rFonts w:ascii="Arial" w:hAnsi="Arial"/>
          <w:b w:val="0"/>
          <w:i w:val="0"/>
          <w:color w:val="2D2D2D"/>
          <w:sz w:val="20"/>
        </w:rPr>
        <w:t>Permits, approvals, conditions of consent, and ESIA commitments carry equal standing to legislation and are tracked as binding obligations within the register throughout the project lifecycle. Where these obligations impose more specific or more stringent requirements than applicable legislation, the more stringent requirement is documented in the register as the project standard.</w:t>
      </w:r>
    </w:p>
    <w:p>
      <w:pPr>
        <w:spacing w:before="60" w:after="120"/>
      </w:pPr>
      <w:r>
        <w:rPr>
          <w:rFonts w:ascii="Arial" w:hAnsi="Arial"/>
          <w:b w:val="0"/>
          <w:i w:val="0"/>
          <w:color w:val="2D2D2D"/>
          <w:sz w:val="20"/>
        </w:rPr>
        <w:t>Where host country laws and regulations are less stringent than IFC Performance Standards or World Bank Group Environmental, Health and Safety Guidelines, the more stringent requirement is documented in the Legal and Other Requirements Register as the applicable project standard. The HSESC Manager ensures this assessment is made explicitly for each jurisdiction at register establishment and at each formal review.</w:t>
      </w:r>
    </w:p>
    <w:p>
      <w:pPr>
        <w:spacing w:before="60" w:after="120"/>
      </w:pPr>
      <w:r>
        <w:rPr>
          <w:rFonts w:ascii="Arial" w:hAnsi="Arial"/>
          <w:b w:val="0"/>
          <w:i w:val="0"/>
          <w:color w:val="2D2D2D"/>
          <w:sz w:val="20"/>
        </w:rPr>
        <w:t>The following categories of requirement are within scope of this procedure:</w:t>
      </w:r>
    </w:p>
    <w:p>
      <w:pPr>
        <w:pStyle w:val="ListBullet"/>
        <w:spacing w:before="40" w:after="40"/>
        <w:ind w:left="567"/>
      </w:pPr>
      <w:r>
        <w:rPr>
          <w:rFonts w:ascii="Arial" w:hAnsi="Arial"/>
          <w:b w:val="0"/>
          <w:i w:val="0"/>
          <w:color w:val="2D2D2D"/>
          <w:sz w:val="20"/>
        </w:rPr>
        <w:t>Federal, state or territory, and local government legislation applicable to the project jurisdiction or jurisdictions</w:t>
      </w:r>
    </w:p>
    <w:p>
      <w:pPr>
        <w:pStyle w:val="ListBullet"/>
        <w:spacing w:before="40" w:after="40"/>
        <w:ind w:left="567"/>
      </w:pPr>
      <w:r>
        <w:rPr>
          <w:rFonts w:ascii="Arial" w:hAnsi="Arial"/>
          <w:b w:val="0"/>
          <w:i w:val="0"/>
          <w:color w:val="2D2D2D"/>
          <w:sz w:val="20"/>
        </w:rPr>
        <w:t>Conditions attached to environmental approvals, development consents, mining leases, and other statutory permits</w:t>
      </w:r>
    </w:p>
    <w:p>
      <w:pPr>
        <w:pStyle w:val="ListBullet"/>
        <w:spacing w:before="40" w:after="40"/>
        <w:ind w:left="567"/>
      </w:pPr>
      <w:r>
        <w:rPr>
          <w:rFonts w:ascii="Arial" w:hAnsi="Arial"/>
          <w:b w:val="0"/>
          <w:i w:val="0"/>
          <w:color w:val="2D2D2D"/>
          <w:sz w:val="20"/>
        </w:rPr>
        <w:t>Commitments recorded in Environmental and Social Impact Assessment documentation and associated management plans</w:t>
      </w:r>
    </w:p>
    <w:p>
      <w:pPr>
        <w:pStyle w:val="ListBullet"/>
        <w:spacing w:before="40" w:after="40"/>
        <w:ind w:left="567"/>
      </w:pPr>
      <w:r>
        <w:rPr>
          <w:rFonts w:ascii="Arial" w:hAnsi="Arial"/>
          <w:b w:val="0"/>
          <w:i w:val="0"/>
          <w:color w:val="2D2D2D"/>
          <w:sz w:val="20"/>
        </w:rPr>
        <w:t>Licence and permit conditions imposed by regulatory authorities applicable to project activities</w:t>
      </w:r>
    </w:p>
    <w:p>
      <w:pPr>
        <w:pStyle w:val="ListBullet"/>
        <w:spacing w:before="40" w:after="40"/>
        <w:ind w:left="567"/>
      </w:pPr>
      <w:r>
        <w:rPr>
          <w:rFonts w:ascii="Arial" w:hAnsi="Arial"/>
          <w:b w:val="0"/>
          <w:i w:val="0"/>
          <w:color w:val="2D2D2D"/>
          <w:sz w:val="20"/>
        </w:rPr>
        <w:t>IFC Performance Standards and World Bank Group EHS Guidelines where applicable as project standards</w:t>
      </w:r>
    </w:p>
    <w:p>
      <w:pPr>
        <w:pStyle w:val="ListBullet"/>
        <w:spacing w:before="40" w:after="40"/>
        <w:ind w:left="567"/>
      </w:pPr>
      <w:r>
        <w:rPr>
          <w:rFonts w:ascii="Arial" w:hAnsi="Arial"/>
          <w:b w:val="0"/>
          <w:i w:val="0"/>
          <w:color w:val="2D2D2D"/>
          <w:sz w:val="20"/>
        </w:rPr>
        <w:t>Voluntary commitments arising from ICMM membership, TSM participation, and equivalent industry frameworks</w:t>
      </w:r>
    </w:p>
    <w:p>
      <w:pPr>
        <w:pStyle w:val="ListBullet"/>
        <w:spacing w:before="40" w:after="40"/>
        <w:ind w:left="567"/>
      </w:pPr>
      <w:r>
        <w:rPr>
          <w:rFonts w:ascii="Arial" w:hAnsi="Arial"/>
          <w:b w:val="0"/>
          <w:i w:val="0"/>
          <w:color w:val="C55A11"/>
          <w:sz w:val="20"/>
        </w:rPr>
        <w:t>Requirements arising from international conventions or treaties ratified by the host country that apply to project activities</w:t>
      </w:r>
    </w:p>
    <w:p>
      <w:pPr>
        <w:spacing w:before="60" w:after="120"/>
      </w:pPr>
      <w:r>
        <w:rPr>
          <w:rFonts w:ascii="Arial" w:hAnsi="Arial"/>
          <w:b w:val="0"/>
          <w:i w:val="0"/>
          <w:color w:val="2D2D2D"/>
          <w:sz w:val="20"/>
        </w:rPr>
        <w:t>Document control, register format, and retention requirements for the Legal and Other Requirements Register are governed by RTPR-HSE-PRO-0010 — Document Control. Records retention periods are governed by RTPR-HSE-PRO-0043 — Records Management.</w:t>
      </w:r>
    </w:p>
    <w:p>
      <w:pPr>
        <w:spacing w:before="200" w:after="80"/>
      </w:pPr>
      <w:r>
        <w:rPr>
          <w:rFonts w:ascii="Arial" w:hAnsi="Arial"/>
          <w:b/>
          <w:i w:val="0"/>
          <w:color w:val="1F3864"/>
          <w:sz w:val="22"/>
        </w:rPr>
        <w:t>3.3  Legal and Other Requirements Register</w:t>
      </w:r>
    </w:p>
    <w:p>
      <w:pPr>
        <w:spacing w:before="60" w:after="120"/>
      </w:pPr>
      <w:r>
        <w:rPr>
          <w:rFonts w:ascii="Arial" w:hAnsi="Arial"/>
          <w:b w:val="0"/>
          <w:i w:val="0"/>
          <w:color w:val="2D2D2D"/>
          <w:sz w:val="20"/>
        </w:rPr>
        <w:t>This subsection defines the structure, mandatory content, roles, and initial submission requirements for the Legal and Other Requirements Register.</w:t>
      </w:r>
    </w:p>
    <w:p>
      <w:pPr>
        <w:spacing w:before="60" w:after="120"/>
      </w:pPr>
      <w:r>
        <w:rPr>
          <w:rFonts w:ascii="Arial" w:hAnsi="Arial"/>
          <w:b w:val="0"/>
          <w:i w:val="0"/>
          <w:color w:val="2D2D2D"/>
          <w:sz w:val="20"/>
        </w:rPr>
        <w:t>The Legal and Other Requirements Register (RTPR-HSE-REG-0001) is the primary compliance management tool for this project. The register provides a consolidated record of all applicable legal and other requirements, the obligations they impose on the project, the project controls or management measures that address each obligation, and the role accountable for compliance with each obligation.</w:t>
      </w:r>
    </w:p>
    <w:p>
      <w:pPr>
        <w:spacing w:before="60" w:after="120"/>
      </w:pPr>
      <w:r>
        <w:rPr>
          <w:rFonts w:ascii="Arial" w:hAnsi="Arial"/>
          <w:b w:val="0"/>
          <w:i w:val="0"/>
          <w:color w:val="2D2D2D"/>
          <w:sz w:val="20"/>
        </w:rPr>
        <w:t>The register must be submitted to the relevant project authority within 30 days of the Effective Date of this procedure, or within the timeline confirmed in the project Deliverables Schedule. Roles and responsibilities for compliance are clearly defined within the register for all applicable obligations, with a single accountable role nominated against each requirement.</w:t>
      </w:r>
    </w:p>
    <w:p>
      <w:pPr>
        <w:spacing w:before="40" w:after="120"/>
      </w:pPr>
      <w:r>
        <w:rPr>
          <w:rFonts w:ascii="Arial" w:hAnsi="Arial"/>
          <w:b/>
          <w:i w:val="0"/>
          <w:color w:val="0059D1"/>
          <w:sz w:val="20"/>
        </w:rPr>
        <w:t>[INSERT: Initial submission deadline] — Confirm the specific submission date or milestone from the project Deliverables Schedule (RTPR-HSE-REG-0002) and insert here.</w:t>
      </w:r>
    </w:p>
    <w:p>
      <w:pPr>
        <w:spacing w:before="60" w:after="120"/>
      </w:pPr>
      <w:r>
        <w:rPr>
          <w:rFonts w:ascii="Arial" w:hAnsi="Arial"/>
          <w:b w:val="0"/>
          <w:i w:val="0"/>
          <w:color w:val="2D2D2D"/>
          <w:sz w:val="20"/>
        </w:rPr>
        <w:t>The register captures all occupational health and safety legislation relevant to the project jurisdiction, and senior management accountability for the currency of OHS obligations within the register is clearly assigned. The role accountable for maintaining the register is identified in Table 1 of this procedure.</w:t>
      </w:r>
    </w:p>
    <w:p>
      <w:pPr>
        <w:spacing w:before="60" w:after="120"/>
      </w:pPr>
      <w:r>
        <w:rPr>
          <w:rFonts w:ascii="Arial" w:hAnsi="Arial"/>
          <w:b w:val="0"/>
          <w:i w:val="0"/>
          <w:color w:val="2D2D2D"/>
          <w:sz w:val="20"/>
        </w:rPr>
        <w:t xml:space="preserve">The register is maintained in </w:t>
      </w:r>
    </w:p>
    <w:p>
      <w:pPr>
        <w:spacing w:before="40" w:after="120"/>
      </w:pPr>
      <w:r>
        <w:rPr>
          <w:rFonts w:ascii="Arial" w:hAnsi="Arial"/>
          <w:b/>
          <w:i w:val="0"/>
          <w:color w:val="0059D1"/>
          <w:sz w:val="20"/>
        </w:rPr>
        <w:t>[INSERT: Register location and access method] — Identify the document management system or platform where RTPR-HSE-REG-0001 is stored and how project personnel access it.</w:t>
      </w:r>
    </w:p>
    <w:p>
      <w:pPr>
        <w:spacing w:before="60" w:after="120"/>
      </w:pPr>
      <w:r>
        <w:rPr>
          <w:rFonts w:ascii="Arial" w:hAnsi="Arial"/>
          <w:b w:val="0"/>
          <w:i w:val="0"/>
          <w:color w:val="2D2D2D"/>
          <w:sz w:val="20"/>
        </w:rPr>
        <w:t>The minimum required content for each record in the register is defined in Table 2. The register template format is controlled under RTPR-HSE-PRO-0010 — Document Control and must not be modified without approval through the document control process.</w:t>
      </w:r>
    </w:p>
    <w:p>
      <w:pPr>
        <w:spacing w:before="60" w:after="120"/>
      </w:pPr>
      <w:r>
        <w:rPr>
          <w:rFonts w:ascii="Arial" w:hAnsi="Arial"/>
          <w:b w:val="0"/>
          <w:i w:val="0"/>
          <w:color w:val="2D2D2D"/>
          <w:sz w:val="20"/>
        </w:rPr>
        <w:t>Table 1: Register Roles and Accountabilities</w:t>
      </w:r>
    </w:p>
    <w:tbl>
      <w:tblPr>
        <w:tblStyle w:val="TableGrid"/>
        <w:tblW w:type="auto" w:w="0"/>
        <w:tblLook w:firstColumn="1" w:firstRow="1" w:lastColumn="0" w:lastRow="0" w:noHBand="0" w:noVBand="1" w:val="04A0"/>
      </w:tblPr>
      <w:tblGrid>
        <w:gridCol w:w="3009"/>
        <w:gridCol w:w="3009"/>
        <w:gridCol w:w="3009"/>
      </w:tblGrid>
      <w:tr>
        <w:tc>
          <w:tcPr>
            <w:tcW w:type="dxa" w:w="3024"/>
            <w:shd w:val="clear" w:color="auto" w:fill="1F3864"/>
          </w:tcPr>
          <w:p>
            <w:r>
              <w:rPr>
                <w:rFonts w:ascii="Arial" w:hAnsi="Arial"/>
                <w:b/>
                <w:i w:val="0"/>
                <w:color w:val="FFFFFF"/>
                <w:sz w:val="18"/>
              </w:rPr>
              <w:t>Role</w:t>
            </w:r>
          </w:p>
        </w:tc>
        <w:tc>
          <w:tcPr>
            <w:tcW w:type="dxa" w:w="3024"/>
            <w:shd w:val="clear" w:color="auto" w:fill="1F3864"/>
          </w:tcPr>
          <w:p>
            <w:r>
              <w:rPr>
                <w:rFonts w:ascii="Arial" w:hAnsi="Arial"/>
                <w:b/>
                <w:i w:val="0"/>
                <w:color w:val="FFFFFF"/>
                <w:sz w:val="18"/>
              </w:rPr>
              <w:t>Responsibility</w:t>
            </w:r>
          </w:p>
        </w:tc>
        <w:tc>
          <w:tcPr>
            <w:tcW w:type="dxa" w:w="3024"/>
            <w:shd w:val="clear" w:color="auto" w:fill="1F3864"/>
          </w:tcPr>
          <w:p>
            <w:r>
              <w:rPr>
                <w:rFonts w:ascii="Arial" w:hAnsi="Arial"/>
                <w:b/>
                <w:i w:val="0"/>
                <w:color w:val="FFFFFF"/>
                <w:sz w:val="18"/>
              </w:rPr>
              <w:t>Position Title (Project-Specific)</w:t>
            </w:r>
          </w:p>
        </w:tc>
      </w:tr>
      <w:tr>
        <w:tc>
          <w:tcPr>
            <w:tcW w:type="dxa" w:w="3024"/>
          </w:tcPr>
          <w:p>
            <w:r>
              <w:rPr>
                <w:rFonts w:ascii="Arial" w:hAnsi="Arial"/>
                <w:b w:val="0"/>
                <w:i w:val="0"/>
                <w:color w:val="2D2D2D"/>
                <w:sz w:val="18"/>
              </w:rPr>
              <w:t>Register Owner</w:t>
            </w:r>
          </w:p>
        </w:tc>
        <w:tc>
          <w:tcPr>
            <w:tcW w:type="dxa" w:w="3024"/>
          </w:tcPr>
          <w:p>
            <w:r>
              <w:rPr>
                <w:rFonts w:ascii="Arial" w:hAnsi="Arial"/>
                <w:b w:val="0"/>
                <w:i w:val="0"/>
                <w:color w:val="2D2D2D"/>
                <w:sz w:val="18"/>
              </w:rPr>
              <w:t>Accountable for the overall currency, completeness, and accuracy of the register; approves all updates</w:t>
            </w:r>
          </w:p>
        </w:tc>
        <w:tc>
          <w:tcPr>
            <w:tcW w:type="dxa" w:w="3024"/>
          </w:tcPr>
          <w:p>
            <w:r>
              <w:rPr>
                <w:rFonts w:ascii="Arial" w:hAnsi="Arial"/>
                <w:b/>
                <w:i w:val="0"/>
                <w:color w:val="0059D1"/>
                <w:sz w:val="18"/>
              </w:rPr>
              <w:t>[INSERT: position title]</w:t>
            </w:r>
          </w:p>
        </w:tc>
      </w:tr>
      <w:tr>
        <w:tc>
          <w:tcPr>
            <w:tcW w:type="dxa" w:w="3024"/>
          </w:tcPr>
          <w:p>
            <w:r>
              <w:rPr>
                <w:rFonts w:ascii="Arial" w:hAnsi="Arial"/>
                <w:b w:val="0"/>
                <w:i w:val="0"/>
                <w:color w:val="2D2D2D"/>
                <w:sz w:val="18"/>
              </w:rPr>
              <w:t>HSESC Manager</w:t>
            </w:r>
          </w:p>
        </w:tc>
        <w:tc>
          <w:tcPr>
            <w:tcW w:type="dxa" w:w="3024"/>
          </w:tcPr>
          <w:p>
            <w:r>
              <w:rPr>
                <w:rFonts w:ascii="Arial" w:hAnsi="Arial"/>
                <w:b w:val="0"/>
                <w:i w:val="0"/>
                <w:color w:val="2D2D2D"/>
                <w:sz w:val="18"/>
              </w:rPr>
              <w:t>Maintains the register on a day-to-day basis; conducts scheduled reviews; coordinates input from specialist advisors</w:t>
            </w:r>
          </w:p>
        </w:tc>
        <w:tc>
          <w:tcPr>
            <w:tcW w:type="dxa" w:w="3024"/>
          </w:tcPr>
          <w:p>
            <w:r>
              <w:rPr>
                <w:rFonts w:ascii="Arial" w:hAnsi="Arial"/>
                <w:b/>
                <w:i w:val="0"/>
                <w:color w:val="0059D1"/>
                <w:sz w:val="18"/>
              </w:rPr>
              <w:t>[INSERT: position title]</w:t>
            </w:r>
          </w:p>
        </w:tc>
      </w:tr>
      <w:tr>
        <w:tc>
          <w:tcPr>
            <w:tcW w:type="dxa" w:w="3024"/>
          </w:tcPr>
          <w:p>
            <w:r>
              <w:rPr>
                <w:rFonts w:ascii="Arial" w:hAnsi="Arial"/>
                <w:b w:val="0"/>
                <w:i w:val="0"/>
                <w:color w:val="2D2D2D"/>
                <w:sz w:val="18"/>
              </w:rPr>
              <w:t>Legal Counsel or Compliance Advisor</w:t>
            </w:r>
          </w:p>
        </w:tc>
        <w:tc>
          <w:tcPr>
            <w:tcW w:type="dxa" w:w="3024"/>
          </w:tcPr>
          <w:p>
            <w:r>
              <w:rPr>
                <w:rFonts w:ascii="Arial" w:hAnsi="Arial"/>
                <w:b w:val="0"/>
                <w:i w:val="0"/>
                <w:color w:val="2D2D2D"/>
                <w:sz w:val="18"/>
              </w:rPr>
              <w:t>Provides advice on regulatory changes and interpretation of legislative obligations; reviews register at each formal review cycle</w:t>
            </w:r>
          </w:p>
        </w:tc>
        <w:tc>
          <w:tcPr>
            <w:tcW w:type="dxa" w:w="3024"/>
          </w:tcPr>
          <w:p>
            <w:r>
              <w:rPr>
                <w:rFonts w:ascii="Arial" w:hAnsi="Arial"/>
                <w:b/>
                <w:i w:val="0"/>
                <w:color w:val="0059D1"/>
                <w:sz w:val="18"/>
              </w:rPr>
              <w:t>[INSERT: internal or external arrangement]</w:t>
            </w:r>
          </w:p>
        </w:tc>
      </w:tr>
      <w:tr>
        <w:tc>
          <w:tcPr>
            <w:tcW w:type="dxa" w:w="3024"/>
          </w:tcPr>
          <w:p>
            <w:r>
              <w:rPr>
                <w:rFonts w:ascii="Arial" w:hAnsi="Arial"/>
                <w:b w:val="0"/>
                <w:i w:val="0"/>
                <w:color w:val="2D2D2D"/>
                <w:sz w:val="18"/>
              </w:rPr>
              <w:t>Project Director</w:t>
            </w:r>
          </w:p>
        </w:tc>
        <w:tc>
          <w:tcPr>
            <w:tcW w:type="dxa" w:w="3024"/>
          </w:tcPr>
          <w:p>
            <w:r>
              <w:rPr>
                <w:rFonts w:ascii="Arial" w:hAnsi="Arial"/>
                <w:b w:val="0"/>
                <w:i w:val="0"/>
                <w:color w:val="2D2D2D"/>
                <w:sz w:val="18"/>
              </w:rPr>
              <w:t>Senior management accountability for OHS legislative compliance; signs off on register at initial submission and at each annual review</w:t>
            </w:r>
          </w:p>
        </w:tc>
        <w:tc>
          <w:tcPr>
            <w:tcW w:type="dxa" w:w="3024"/>
          </w:tcPr>
          <w:p>
            <w:r>
              <w:rPr>
                <w:rFonts w:ascii="Arial" w:hAnsi="Arial"/>
                <w:b/>
                <w:i w:val="0"/>
                <w:color w:val="0059D1"/>
                <w:sz w:val="18"/>
              </w:rPr>
              <w:t>[INSERT: position title]</w:t>
            </w:r>
          </w:p>
        </w:tc>
      </w:tr>
      <w:tr>
        <w:tc>
          <w:tcPr>
            <w:tcW w:type="dxa" w:w="3024"/>
          </w:tcPr>
          <w:p>
            <w:r>
              <w:rPr>
                <w:rFonts w:ascii="Arial" w:hAnsi="Arial"/>
                <w:b w:val="0"/>
                <w:i w:val="0"/>
                <w:color w:val="2D2D2D"/>
                <w:sz w:val="18"/>
              </w:rPr>
              <w:t>Contractor HSE Representatives</w:t>
            </w:r>
          </w:p>
        </w:tc>
        <w:tc>
          <w:tcPr>
            <w:tcW w:type="dxa" w:w="3024"/>
          </w:tcPr>
          <w:p>
            <w:r>
              <w:rPr>
                <w:rFonts w:ascii="Arial" w:hAnsi="Arial"/>
                <w:b w:val="0"/>
                <w:i w:val="0"/>
                <w:color w:val="2D2D2D"/>
                <w:sz w:val="18"/>
              </w:rPr>
              <w:t>Provide input on obligations applicable to their work scope; confirm contractor compliance with obligations assigned to their organisation</w:t>
            </w:r>
          </w:p>
        </w:tc>
        <w:tc>
          <w:tcPr>
            <w:tcW w:type="dxa" w:w="3024"/>
          </w:tcPr>
          <w:p>
            <w:r>
              <w:rPr>
                <w:rFonts w:ascii="Arial" w:hAnsi="Arial"/>
                <w:b/>
                <w:i w:val="0"/>
                <w:color w:val="0059D1"/>
                <w:sz w:val="18"/>
              </w:rPr>
              <w:t>[INSERT: contractor organisation names]</w:t>
            </w:r>
          </w:p>
        </w:tc>
      </w:tr>
    </w:tbl>
    <w:p/>
    <w:p>
      <w:pPr>
        <w:spacing w:before="60" w:after="120"/>
      </w:pPr>
      <w:r>
        <w:rPr>
          <w:rFonts w:ascii="Arial" w:hAnsi="Arial"/>
          <w:b w:val="0"/>
          <w:i w:val="0"/>
          <w:color w:val="2D2D2D"/>
          <w:sz w:val="20"/>
        </w:rPr>
        <w:t>Table 2: Minimum Required Content for Each Register Record</w:t>
      </w:r>
    </w:p>
    <w:tbl>
      <w:tblPr>
        <w:tblStyle w:val="TableGrid"/>
        <w:tblW w:type="auto" w:w="0"/>
        <w:tblLook w:firstColumn="1" w:firstRow="1" w:lastColumn="0" w:lastRow="0" w:noHBand="0" w:noVBand="1" w:val="04A0"/>
      </w:tblPr>
      <w:tblGrid>
        <w:gridCol w:w="3009"/>
        <w:gridCol w:w="3009"/>
        <w:gridCol w:w="3009"/>
      </w:tblGrid>
      <w:tr>
        <w:tc>
          <w:tcPr>
            <w:tcW w:type="dxa" w:w="3024"/>
            <w:shd w:val="clear" w:color="auto" w:fill="1F3864"/>
          </w:tcPr>
          <w:p>
            <w:r>
              <w:rPr>
                <w:rFonts w:ascii="Arial" w:hAnsi="Arial"/>
                <w:b/>
                <w:i w:val="0"/>
                <w:color w:val="FFFFFF"/>
                <w:sz w:val="18"/>
              </w:rPr>
              <w:t>Field</w:t>
            </w:r>
          </w:p>
        </w:tc>
        <w:tc>
          <w:tcPr>
            <w:tcW w:type="dxa" w:w="3024"/>
            <w:shd w:val="clear" w:color="auto" w:fill="1F3864"/>
          </w:tcPr>
          <w:p>
            <w:r>
              <w:rPr>
                <w:rFonts w:ascii="Arial" w:hAnsi="Arial"/>
                <w:b/>
                <w:i w:val="0"/>
                <w:color w:val="FFFFFF"/>
                <w:sz w:val="18"/>
              </w:rPr>
              <w:t>Description</w:t>
            </w:r>
          </w:p>
        </w:tc>
        <w:tc>
          <w:tcPr>
            <w:tcW w:type="dxa" w:w="3024"/>
            <w:shd w:val="clear" w:color="auto" w:fill="1F3864"/>
          </w:tcPr>
          <w:p>
            <w:r>
              <w:rPr>
                <w:rFonts w:ascii="Arial" w:hAnsi="Arial"/>
                <w:b/>
                <w:i w:val="0"/>
                <w:color w:val="FFFFFF"/>
                <w:sz w:val="18"/>
              </w:rPr>
              <w:t>Mandatory / Suggested</w:t>
            </w:r>
          </w:p>
        </w:tc>
      </w:tr>
      <w:tr>
        <w:tc>
          <w:tcPr>
            <w:tcW w:type="dxa" w:w="3024"/>
          </w:tcPr>
          <w:p>
            <w:r>
              <w:rPr>
                <w:rFonts w:ascii="Arial" w:hAnsi="Arial"/>
                <w:b w:val="0"/>
                <w:i w:val="0"/>
                <w:color w:val="2D2D2D"/>
                <w:sz w:val="18"/>
              </w:rPr>
              <w:t>Requirement reference</w:t>
            </w:r>
          </w:p>
        </w:tc>
        <w:tc>
          <w:tcPr>
            <w:tcW w:type="dxa" w:w="3024"/>
          </w:tcPr>
          <w:p>
            <w:r>
              <w:rPr>
                <w:rFonts w:ascii="Arial" w:hAnsi="Arial"/>
                <w:b w:val="0"/>
                <w:i w:val="0"/>
                <w:color w:val="2D2D2D"/>
                <w:sz w:val="18"/>
              </w:rPr>
              <w:t>Legislation, permit, approval, or commitment title and section or clause number</w:t>
            </w:r>
          </w:p>
        </w:tc>
        <w:tc>
          <w:tcPr>
            <w:tcW w:type="dxa" w:w="3024"/>
          </w:tcPr>
          <w:p>
            <w:r>
              <w:rPr>
                <w:rFonts w:ascii="Arial" w:hAnsi="Arial"/>
                <w:b w:val="0"/>
                <w:i w:val="0"/>
                <w:color w:val="2D2D2D"/>
                <w:sz w:val="18"/>
              </w:rPr>
              <w:t>Mandatory</w:t>
            </w:r>
          </w:p>
        </w:tc>
      </w:tr>
      <w:tr>
        <w:tc>
          <w:tcPr>
            <w:tcW w:type="dxa" w:w="3024"/>
          </w:tcPr>
          <w:p>
            <w:r>
              <w:rPr>
                <w:rFonts w:ascii="Arial" w:hAnsi="Arial"/>
                <w:b w:val="0"/>
                <w:i w:val="0"/>
                <w:color w:val="2D2D2D"/>
                <w:sz w:val="18"/>
              </w:rPr>
              <w:t>Jurisdiction</w:t>
            </w:r>
          </w:p>
        </w:tc>
        <w:tc>
          <w:tcPr>
            <w:tcW w:type="dxa" w:w="3024"/>
          </w:tcPr>
          <w:p>
            <w:r>
              <w:rPr>
                <w:rFonts w:ascii="Arial" w:hAnsi="Arial"/>
                <w:b w:val="0"/>
                <w:i w:val="0"/>
                <w:color w:val="2D2D2D"/>
                <w:sz w:val="18"/>
              </w:rPr>
              <w:t>Federal, state/territory, or local government; or ESIA/permit source</w:t>
            </w:r>
          </w:p>
        </w:tc>
        <w:tc>
          <w:tcPr>
            <w:tcW w:type="dxa" w:w="3024"/>
          </w:tcPr>
          <w:p>
            <w:r>
              <w:rPr>
                <w:rFonts w:ascii="Arial" w:hAnsi="Arial"/>
                <w:b w:val="0"/>
                <w:i w:val="0"/>
                <w:color w:val="2D2D2D"/>
                <w:sz w:val="18"/>
              </w:rPr>
              <w:t>Mandatory</w:t>
            </w:r>
          </w:p>
        </w:tc>
      </w:tr>
      <w:tr>
        <w:tc>
          <w:tcPr>
            <w:tcW w:type="dxa" w:w="3024"/>
          </w:tcPr>
          <w:p>
            <w:r>
              <w:rPr>
                <w:rFonts w:ascii="Arial" w:hAnsi="Arial"/>
                <w:b w:val="0"/>
                <w:i w:val="0"/>
                <w:color w:val="2D2D2D"/>
                <w:sz w:val="18"/>
              </w:rPr>
              <w:t>Obligation summary</w:t>
            </w:r>
          </w:p>
        </w:tc>
        <w:tc>
          <w:tcPr>
            <w:tcW w:type="dxa" w:w="3024"/>
          </w:tcPr>
          <w:p>
            <w:r>
              <w:rPr>
                <w:rFonts w:ascii="Arial" w:hAnsi="Arial"/>
                <w:b w:val="0"/>
                <w:i w:val="0"/>
                <w:color w:val="2D2D2D"/>
                <w:sz w:val="18"/>
              </w:rPr>
              <w:t>Plain-language description of what the project must do or must not do</w:t>
            </w:r>
          </w:p>
        </w:tc>
        <w:tc>
          <w:tcPr>
            <w:tcW w:type="dxa" w:w="3024"/>
          </w:tcPr>
          <w:p>
            <w:r>
              <w:rPr>
                <w:rFonts w:ascii="Arial" w:hAnsi="Arial"/>
                <w:b w:val="0"/>
                <w:i w:val="0"/>
                <w:color w:val="2D2D2D"/>
                <w:sz w:val="18"/>
              </w:rPr>
              <w:t>Mandatory</w:t>
            </w:r>
          </w:p>
        </w:tc>
      </w:tr>
      <w:tr>
        <w:tc>
          <w:tcPr>
            <w:tcW w:type="dxa" w:w="3024"/>
          </w:tcPr>
          <w:p>
            <w:r>
              <w:rPr>
                <w:rFonts w:ascii="Arial" w:hAnsi="Arial"/>
                <w:b w:val="0"/>
                <w:i w:val="0"/>
                <w:color w:val="2D2D2D"/>
                <w:sz w:val="18"/>
              </w:rPr>
              <w:t>Requirement category</w:t>
            </w:r>
          </w:p>
        </w:tc>
        <w:tc>
          <w:tcPr>
            <w:tcW w:type="dxa" w:w="3024"/>
          </w:tcPr>
          <w:p>
            <w:r>
              <w:rPr>
                <w:rFonts w:ascii="Arial" w:hAnsi="Arial"/>
                <w:b w:val="0"/>
                <w:i w:val="0"/>
                <w:color w:val="2D2D2D"/>
                <w:sz w:val="18"/>
              </w:rPr>
              <w:t>Legislation / Permit or Approval / ESIA Commitment / Voluntary Framework</w:t>
            </w:r>
          </w:p>
        </w:tc>
        <w:tc>
          <w:tcPr>
            <w:tcW w:type="dxa" w:w="3024"/>
          </w:tcPr>
          <w:p>
            <w:r>
              <w:rPr>
                <w:rFonts w:ascii="Arial" w:hAnsi="Arial"/>
                <w:b w:val="0"/>
                <w:i w:val="0"/>
                <w:color w:val="2D2D2D"/>
                <w:sz w:val="18"/>
              </w:rPr>
              <w:t>Mandatory</w:t>
            </w:r>
          </w:p>
        </w:tc>
      </w:tr>
      <w:tr>
        <w:tc>
          <w:tcPr>
            <w:tcW w:type="dxa" w:w="3024"/>
          </w:tcPr>
          <w:p>
            <w:r>
              <w:rPr>
                <w:rFonts w:ascii="Arial" w:hAnsi="Arial"/>
                <w:b w:val="0"/>
                <w:i w:val="0"/>
                <w:color w:val="2D2D2D"/>
                <w:sz w:val="18"/>
              </w:rPr>
              <w:t>Applicable project standard</w:t>
            </w:r>
          </w:p>
        </w:tc>
        <w:tc>
          <w:tcPr>
            <w:tcW w:type="dxa" w:w="3024"/>
          </w:tcPr>
          <w:p>
            <w:r>
              <w:rPr>
                <w:rFonts w:ascii="Arial" w:hAnsi="Arial"/>
                <w:b w:val="0"/>
                <w:i w:val="0"/>
                <w:color w:val="2D2D2D"/>
                <w:sz w:val="18"/>
              </w:rPr>
              <w:t>Where IFC PS or WBG EHS Guideline is more stringent than host country law, the more stringent standard is stated here</w:t>
            </w:r>
          </w:p>
        </w:tc>
        <w:tc>
          <w:tcPr>
            <w:tcW w:type="dxa" w:w="3024"/>
          </w:tcPr>
          <w:p>
            <w:r>
              <w:rPr>
                <w:rFonts w:ascii="Arial" w:hAnsi="Arial"/>
                <w:b w:val="0"/>
                <w:i w:val="0"/>
                <w:color w:val="2D2D2D"/>
                <w:sz w:val="18"/>
              </w:rPr>
              <w:t>Mandatory</w:t>
            </w:r>
          </w:p>
        </w:tc>
      </w:tr>
      <w:tr>
        <w:tc>
          <w:tcPr>
            <w:tcW w:type="dxa" w:w="3024"/>
          </w:tcPr>
          <w:p>
            <w:r>
              <w:rPr>
                <w:rFonts w:ascii="Arial" w:hAnsi="Arial"/>
                <w:b w:val="0"/>
                <w:i w:val="0"/>
                <w:color w:val="2D2D2D"/>
                <w:sz w:val="18"/>
              </w:rPr>
              <w:t>Project control or measure</w:t>
            </w:r>
          </w:p>
        </w:tc>
        <w:tc>
          <w:tcPr>
            <w:tcW w:type="dxa" w:w="3024"/>
          </w:tcPr>
          <w:p>
            <w:r>
              <w:rPr>
                <w:rFonts w:ascii="Arial" w:hAnsi="Arial"/>
                <w:b w:val="0"/>
                <w:i w:val="0"/>
                <w:color w:val="2D2D2D"/>
                <w:sz w:val="18"/>
              </w:rPr>
              <w:t>The specific management plan, procedure, monitoring programme, or other control that addresses the obligation</w:t>
            </w:r>
          </w:p>
        </w:tc>
        <w:tc>
          <w:tcPr>
            <w:tcW w:type="dxa" w:w="3024"/>
          </w:tcPr>
          <w:p>
            <w:r>
              <w:rPr>
                <w:rFonts w:ascii="Arial" w:hAnsi="Arial"/>
                <w:b w:val="0"/>
                <w:i w:val="0"/>
                <w:color w:val="2D2D2D"/>
                <w:sz w:val="18"/>
              </w:rPr>
              <w:t>Mandatory</w:t>
            </w:r>
          </w:p>
        </w:tc>
      </w:tr>
      <w:tr>
        <w:tc>
          <w:tcPr>
            <w:tcW w:type="dxa" w:w="3024"/>
          </w:tcPr>
          <w:p>
            <w:r>
              <w:rPr>
                <w:rFonts w:ascii="Arial" w:hAnsi="Arial"/>
                <w:b w:val="0"/>
                <w:i w:val="0"/>
                <w:color w:val="2D2D2D"/>
                <w:sz w:val="18"/>
              </w:rPr>
              <w:t>Accountable role</w:t>
            </w:r>
          </w:p>
        </w:tc>
        <w:tc>
          <w:tcPr>
            <w:tcW w:type="dxa" w:w="3024"/>
          </w:tcPr>
          <w:p>
            <w:r>
              <w:rPr>
                <w:rFonts w:ascii="Arial" w:hAnsi="Arial"/>
                <w:b w:val="0"/>
                <w:i w:val="0"/>
                <w:color w:val="2D2D2D"/>
                <w:sz w:val="18"/>
              </w:rPr>
              <w:t>The single role responsible for ensuring the obligation is met</w:t>
            </w:r>
          </w:p>
        </w:tc>
        <w:tc>
          <w:tcPr>
            <w:tcW w:type="dxa" w:w="3024"/>
          </w:tcPr>
          <w:p>
            <w:r>
              <w:rPr>
                <w:rFonts w:ascii="Arial" w:hAnsi="Arial"/>
                <w:b w:val="0"/>
                <w:i w:val="0"/>
                <w:color w:val="2D2D2D"/>
                <w:sz w:val="18"/>
              </w:rPr>
              <w:t>Mandatory</w:t>
            </w:r>
          </w:p>
        </w:tc>
      </w:tr>
      <w:tr>
        <w:tc>
          <w:tcPr>
            <w:tcW w:type="dxa" w:w="3024"/>
          </w:tcPr>
          <w:p>
            <w:r>
              <w:rPr>
                <w:rFonts w:ascii="Arial" w:hAnsi="Arial"/>
                <w:b w:val="0"/>
                <w:i w:val="0"/>
                <w:color w:val="2D2D2D"/>
                <w:sz w:val="18"/>
              </w:rPr>
              <w:t>Compliance status</w:t>
            </w:r>
          </w:p>
        </w:tc>
        <w:tc>
          <w:tcPr>
            <w:tcW w:type="dxa" w:w="3024"/>
          </w:tcPr>
          <w:p>
            <w:r>
              <w:rPr>
                <w:rFonts w:ascii="Arial" w:hAnsi="Arial"/>
                <w:b w:val="0"/>
                <w:i w:val="0"/>
                <w:color w:val="2D2D2D"/>
                <w:sz w:val="18"/>
              </w:rPr>
              <w:t>Current, Non-conformance, Action Required, Closed — updated at each review</w:t>
            </w:r>
          </w:p>
        </w:tc>
        <w:tc>
          <w:tcPr>
            <w:tcW w:type="dxa" w:w="3024"/>
          </w:tcPr>
          <w:p>
            <w:r>
              <w:rPr>
                <w:rFonts w:ascii="Arial" w:hAnsi="Arial"/>
                <w:b w:val="0"/>
                <w:i w:val="0"/>
                <w:color w:val="2D2D2D"/>
                <w:sz w:val="18"/>
              </w:rPr>
              <w:t>Mandatory</w:t>
            </w:r>
          </w:p>
        </w:tc>
      </w:tr>
      <w:tr>
        <w:tc>
          <w:tcPr>
            <w:tcW w:type="dxa" w:w="3024"/>
          </w:tcPr>
          <w:p>
            <w:r>
              <w:rPr>
                <w:rFonts w:ascii="Arial" w:hAnsi="Arial"/>
                <w:b w:val="0"/>
                <w:i w:val="0"/>
                <w:color w:val="2D2D2D"/>
                <w:sz w:val="18"/>
              </w:rPr>
              <w:t>Last reviewed date</w:t>
            </w:r>
          </w:p>
        </w:tc>
        <w:tc>
          <w:tcPr>
            <w:tcW w:type="dxa" w:w="3024"/>
          </w:tcPr>
          <w:p>
            <w:r>
              <w:rPr>
                <w:rFonts w:ascii="Arial" w:hAnsi="Arial"/>
                <w:b w:val="0"/>
                <w:i w:val="0"/>
                <w:color w:val="2D2D2D"/>
                <w:sz w:val="18"/>
              </w:rPr>
              <w:t>Date the record was last confirmed as current</w:t>
            </w:r>
          </w:p>
        </w:tc>
        <w:tc>
          <w:tcPr>
            <w:tcW w:type="dxa" w:w="3024"/>
          </w:tcPr>
          <w:p>
            <w:r>
              <w:rPr>
                <w:rFonts w:ascii="Arial" w:hAnsi="Arial"/>
                <w:b w:val="0"/>
                <w:i w:val="0"/>
                <w:color w:val="2D2D2D"/>
                <w:sz w:val="18"/>
              </w:rPr>
              <w:t>Mandatory</w:t>
            </w:r>
          </w:p>
        </w:tc>
      </w:tr>
      <w:tr>
        <w:tc>
          <w:tcPr>
            <w:tcW w:type="dxa" w:w="3024"/>
          </w:tcPr>
          <w:p>
            <w:r>
              <w:rPr>
                <w:rFonts w:ascii="Arial" w:hAnsi="Arial"/>
                <w:b w:val="0"/>
                <w:i w:val="0"/>
                <w:color w:val="2D2D2D"/>
                <w:sz w:val="18"/>
              </w:rPr>
              <w:t>Next review date</w:t>
            </w:r>
          </w:p>
        </w:tc>
        <w:tc>
          <w:tcPr>
            <w:tcW w:type="dxa" w:w="3024"/>
          </w:tcPr>
          <w:p>
            <w:r>
              <w:rPr>
                <w:rFonts w:ascii="Arial" w:hAnsi="Arial"/>
                <w:b w:val="0"/>
                <w:i w:val="0"/>
                <w:color w:val="2D2D2D"/>
                <w:sz w:val="18"/>
              </w:rPr>
              <w:t>Scheduled date for next review of this record</w:t>
            </w:r>
          </w:p>
        </w:tc>
        <w:tc>
          <w:tcPr>
            <w:tcW w:type="dxa" w:w="3024"/>
          </w:tcPr>
          <w:p>
            <w:r>
              <w:rPr>
                <w:rFonts w:ascii="Arial" w:hAnsi="Arial"/>
                <w:b w:val="0"/>
                <w:i w:val="0"/>
                <w:color w:val="2D2D2D"/>
                <w:sz w:val="18"/>
              </w:rPr>
              <w:t>Mandatory</w:t>
            </w:r>
          </w:p>
        </w:tc>
      </w:tr>
      <w:tr>
        <w:tc>
          <w:tcPr>
            <w:tcW w:type="dxa" w:w="3024"/>
          </w:tcPr>
          <w:p>
            <w:r>
              <w:rPr>
                <w:rFonts w:ascii="Arial" w:hAnsi="Arial"/>
                <w:b w:val="0"/>
                <w:i w:val="0"/>
                <w:color w:val="2D2D2D"/>
                <w:sz w:val="18"/>
              </w:rPr>
              <w:t>Notes or conditions</w:t>
            </w:r>
          </w:p>
        </w:tc>
        <w:tc>
          <w:tcPr>
            <w:tcW w:type="dxa" w:w="3024"/>
          </w:tcPr>
          <w:p>
            <w:r>
              <w:rPr>
                <w:rFonts w:ascii="Arial" w:hAnsi="Arial"/>
                <w:b w:val="0"/>
                <w:i w:val="0"/>
                <w:color w:val="2D2D2D"/>
                <w:sz w:val="18"/>
              </w:rPr>
              <w:t>Any additional conditions, reporting frequencies, or notification requirements attached to the obligation</w:t>
            </w:r>
          </w:p>
        </w:tc>
        <w:tc>
          <w:tcPr>
            <w:tcW w:type="dxa" w:w="3024"/>
          </w:tcPr>
          <w:p>
            <w:r>
              <w:rPr>
                <w:rFonts w:ascii="Arial" w:hAnsi="Arial"/>
                <w:b w:val="0"/>
                <w:i w:val="0"/>
                <w:color w:val="2D2D2D"/>
                <w:sz w:val="18"/>
              </w:rPr>
              <w:t>Suggested</w:t>
            </w:r>
          </w:p>
        </w:tc>
      </w:tr>
    </w:tbl>
    <w:p/>
    <w:tbl>
      <w:tblPr>
        <w:tblW w:type="auto" w:w="0"/>
        <w:tblLook w:firstColumn="1" w:firstRow="1" w:lastColumn="0" w:lastRow="0" w:noHBand="0" w:noVBand="1" w:val="04A0"/>
      </w:tblPr>
      <w:tblGrid>
        <w:gridCol w:w="9026"/>
      </w:tblGrid>
      <w:tr>
        <w:tc>
          <w:tcPr>
            <w:tcW w:type="dxa" w:w="9026"/>
            <w:shd w:val="clear" w:color="auto" w:fill="FFF2CC"/>
          </w:tcPr>
          <w:p>
            <w:pPr>
              <w:spacing w:before="80" w:after="80"/>
            </w:pPr>
            <w:r>
              <w:rPr>
                <w:rFonts w:ascii="Arial" w:hAnsi="Arial"/>
                <w:b/>
                <w:i w:val="0"/>
                <w:color w:val="C55A11"/>
                <w:sz w:val="20"/>
              </w:rPr>
              <w:t>PROJECT COMPLETION — JURISDICTIONS: Identify and list all jurisdictions in which this project operates and insert into RTPR-HSE-REG-0001. Consider federal, state or territory, and local government levels for each country of operation. The register must reflect all jurisdictions before initial submission.</w:t>
            </w:r>
          </w:p>
        </w:tc>
      </w:tr>
    </w:tbl>
    <w:p/>
    <w:p>
      <w:pPr>
        <w:spacing w:before="60" w:after="120"/>
      </w:pPr>
      <w:r>
        <w:rPr>
          <w:rFonts w:ascii="Arial" w:hAnsi="Arial"/>
          <w:b w:val="0"/>
          <w:i w:val="0"/>
          <w:color w:val="2D2D2D"/>
          <w:sz w:val="20"/>
        </w:rPr>
        <w:t>Table 3: Project Jurisdictions</w:t>
      </w:r>
    </w:p>
    <w:tbl>
      <w:tblPr>
        <w:tblStyle w:val="TableGrid"/>
        <w:tblW w:type="auto" w:w="0"/>
        <w:tblLook w:firstColumn="1" w:firstRow="1" w:lastColumn="0" w:lastRow="0" w:noHBand="0" w:noVBand="1" w:val="04A0"/>
      </w:tblPr>
      <w:tblGrid>
        <w:gridCol w:w="2256"/>
        <w:gridCol w:w="2256"/>
        <w:gridCol w:w="2256"/>
        <w:gridCol w:w="2256"/>
      </w:tblGrid>
      <w:tr>
        <w:tc>
          <w:tcPr>
            <w:tcW w:type="dxa" w:w="2268"/>
            <w:shd w:val="clear" w:color="auto" w:fill="1F3864"/>
          </w:tcPr>
          <w:p>
            <w:r>
              <w:rPr>
                <w:rFonts w:ascii="Arial" w:hAnsi="Arial"/>
                <w:b/>
                <w:i w:val="0"/>
                <w:color w:val="FFFFFF"/>
                <w:sz w:val="18"/>
              </w:rPr>
              <w:t>Country</w:t>
            </w:r>
          </w:p>
        </w:tc>
        <w:tc>
          <w:tcPr>
            <w:tcW w:type="dxa" w:w="2268"/>
            <w:shd w:val="clear" w:color="auto" w:fill="1F3864"/>
          </w:tcPr>
          <w:p>
            <w:r>
              <w:rPr>
                <w:rFonts w:ascii="Arial" w:hAnsi="Arial"/>
                <w:b/>
                <w:i w:val="0"/>
                <w:color w:val="FFFFFF"/>
                <w:sz w:val="18"/>
              </w:rPr>
              <w:t>Federal / National</w:t>
            </w:r>
          </w:p>
        </w:tc>
        <w:tc>
          <w:tcPr>
            <w:tcW w:type="dxa" w:w="2268"/>
            <w:shd w:val="clear" w:color="auto" w:fill="1F3864"/>
          </w:tcPr>
          <w:p>
            <w:r>
              <w:rPr>
                <w:rFonts w:ascii="Arial" w:hAnsi="Arial"/>
                <w:b/>
                <w:i w:val="0"/>
                <w:color w:val="FFFFFF"/>
                <w:sz w:val="18"/>
              </w:rPr>
              <w:t>State or Territory</w:t>
            </w:r>
          </w:p>
        </w:tc>
        <w:tc>
          <w:tcPr>
            <w:tcW w:type="dxa" w:w="2268"/>
            <w:shd w:val="clear" w:color="auto" w:fill="1F3864"/>
          </w:tcPr>
          <w:p>
            <w:r>
              <w:rPr>
                <w:rFonts w:ascii="Arial" w:hAnsi="Arial"/>
                <w:b/>
                <w:i w:val="0"/>
                <w:color w:val="FFFFFF"/>
                <w:sz w:val="18"/>
              </w:rPr>
              <w:t>Local Government Area</w:t>
            </w:r>
          </w:p>
        </w:tc>
      </w:tr>
      <w:tr>
        <w:tc>
          <w:tcPr>
            <w:tcW w:type="dxa" w:w="2268"/>
          </w:tcPr>
          <w:p>
            <w:r>
              <w:rPr>
                <w:rFonts w:ascii="Arial" w:hAnsi="Arial"/>
                <w:b/>
                <w:i w:val="0"/>
                <w:color w:val="0059D1"/>
                <w:sz w:val="18"/>
              </w:rPr>
              <w:t>[INSERT: country]</w:t>
            </w:r>
          </w:p>
        </w:tc>
        <w:tc>
          <w:tcPr>
            <w:tcW w:type="dxa" w:w="2268"/>
          </w:tcPr>
          <w:p>
            <w:r>
              <w:rPr>
                <w:rFonts w:ascii="Arial" w:hAnsi="Arial"/>
                <w:b/>
                <w:i w:val="0"/>
                <w:color w:val="0059D1"/>
                <w:sz w:val="18"/>
              </w:rPr>
              <w:t>[INSERT: federal legislation framework]</w:t>
            </w:r>
          </w:p>
        </w:tc>
        <w:tc>
          <w:tcPr>
            <w:tcW w:type="dxa" w:w="2268"/>
          </w:tcPr>
          <w:p>
            <w:r>
              <w:rPr>
                <w:rFonts w:ascii="Arial" w:hAnsi="Arial"/>
                <w:b/>
                <w:i w:val="0"/>
                <w:color w:val="0059D1"/>
                <w:sz w:val="18"/>
              </w:rPr>
              <w:t>[INSERT: state or territory]</w:t>
            </w:r>
          </w:p>
        </w:tc>
        <w:tc>
          <w:tcPr>
            <w:tcW w:type="dxa" w:w="2268"/>
          </w:tcPr>
          <w:p>
            <w:r>
              <w:rPr>
                <w:rFonts w:ascii="Arial" w:hAnsi="Arial"/>
                <w:b/>
                <w:i w:val="0"/>
                <w:color w:val="0059D1"/>
                <w:sz w:val="18"/>
              </w:rPr>
              <w:t>[INSERT: LGA or municipal authority]</w:t>
            </w:r>
          </w:p>
        </w:tc>
      </w:tr>
      <w:tr>
        <w:tc>
          <w:tcPr>
            <w:tcW w:type="dxa" w:w="2268"/>
          </w:tcPr>
          <w:p>
            <w:r>
              <w:rPr>
                <w:rFonts w:ascii="Arial" w:hAnsi="Arial"/>
                <w:b/>
                <w:i w:val="0"/>
                <w:color w:val="0059D1"/>
                <w:sz w:val="18"/>
              </w:rPr>
              <w:t>[INSERT: country]</w:t>
            </w:r>
          </w:p>
        </w:tc>
        <w:tc>
          <w:tcPr>
            <w:tcW w:type="dxa" w:w="2268"/>
          </w:tcPr>
          <w:p>
            <w:r>
              <w:rPr>
                <w:rFonts w:ascii="Arial" w:hAnsi="Arial"/>
                <w:b/>
                <w:i w:val="0"/>
                <w:color w:val="0059D1"/>
                <w:sz w:val="18"/>
              </w:rPr>
              <w:t>[INSERT: federal legislation framework]</w:t>
            </w:r>
          </w:p>
        </w:tc>
        <w:tc>
          <w:tcPr>
            <w:tcW w:type="dxa" w:w="2268"/>
          </w:tcPr>
          <w:p>
            <w:r>
              <w:rPr>
                <w:rFonts w:ascii="Arial" w:hAnsi="Arial"/>
                <w:b/>
                <w:i w:val="0"/>
                <w:color w:val="0059D1"/>
                <w:sz w:val="18"/>
              </w:rPr>
              <w:t>[INSERT: state or territory]</w:t>
            </w:r>
          </w:p>
        </w:tc>
        <w:tc>
          <w:tcPr>
            <w:tcW w:type="dxa" w:w="2268"/>
          </w:tcPr>
          <w:p>
            <w:r>
              <w:rPr>
                <w:rFonts w:ascii="Arial" w:hAnsi="Arial"/>
                <w:b/>
                <w:i w:val="0"/>
                <w:color w:val="0059D1"/>
                <w:sz w:val="18"/>
              </w:rPr>
              <w:t>[INSERT: LGA or municipal authority]</w:t>
            </w:r>
          </w:p>
        </w:tc>
      </w:tr>
    </w:tbl>
    <w:p/>
    <w:p>
      <w:pPr>
        <w:spacing w:before="360" w:after="120"/>
        <w:pBdr>
          <w:bottom w:val="single" w:sz="6" w:space="4" w:color="2E75B6"/>
        </w:pBdr>
      </w:pPr>
      <w:r>
        <w:rPr>
          <w:rFonts w:ascii="Arial" w:hAnsi="Arial"/>
          <w:b/>
          <w:i w:val="0"/>
          <w:color w:val="1F3864"/>
          <w:sz w:val="26"/>
        </w:rPr>
        <w:t>4  Monitoring and Updating</w:t>
      </w:r>
    </w:p>
    <w:p>
      <w:pPr>
        <w:spacing w:before="60" w:after="120"/>
      </w:pPr>
      <w:r>
        <w:rPr>
          <w:rFonts w:ascii="Arial" w:hAnsi="Arial"/>
          <w:b w:val="0"/>
          <w:i w:val="0"/>
          <w:color w:val="2D2D2D"/>
          <w:sz w:val="20"/>
        </w:rPr>
        <w:t>This section defines the process for continuously monitoring regulatory changes, conducting formal register reviews, assigning accountability for register currency, and escalating non-compliance events through a defined notification chain.</w:t>
      </w:r>
    </w:p>
    <w:p>
      <w:pPr>
        <w:spacing w:before="200" w:after="80"/>
      </w:pPr>
      <w:r>
        <w:rPr>
          <w:rFonts w:ascii="Arial" w:hAnsi="Arial"/>
          <w:b/>
          <w:i w:val="0"/>
          <w:color w:val="1F3864"/>
          <w:sz w:val="22"/>
        </w:rPr>
        <w:t>4.1  Regulatory Monitoring Process</w:t>
      </w:r>
    </w:p>
    <w:p>
      <w:pPr>
        <w:spacing w:before="60" w:after="120"/>
      </w:pPr>
      <w:r>
        <w:rPr>
          <w:rFonts w:ascii="Arial" w:hAnsi="Arial"/>
          <w:b w:val="0"/>
          <w:i w:val="0"/>
          <w:color w:val="2D2D2D"/>
          <w:sz w:val="20"/>
        </w:rPr>
        <w:t>This subsection defines the mechanisms used to monitor regulatory changes and the sources consulted to ensure the register remains current.</w:t>
      </w:r>
    </w:p>
    <w:p>
      <w:pPr>
        <w:spacing w:before="60" w:after="120"/>
      </w:pPr>
      <w:r>
        <w:rPr>
          <w:rFonts w:ascii="Arial" w:hAnsi="Arial"/>
          <w:b w:val="0"/>
          <w:i w:val="0"/>
          <w:color w:val="2D2D2D"/>
          <w:sz w:val="20"/>
        </w:rPr>
        <w:t>The HSESC Manager operates a continuous monitoring process to identify changes to legislation, regulations, permit conditions, approval conditions, and other requirements applicable to the project. Monitoring is conducted through a combination of the mechanisms identified in Table 4 and ensures no regulatory change is missed between formal review cycles.</w:t>
      </w:r>
    </w:p>
    <w:p>
      <w:pPr>
        <w:spacing w:before="60" w:after="120"/>
      </w:pPr>
      <w:r>
        <w:rPr>
          <w:rFonts w:ascii="Arial" w:hAnsi="Arial"/>
          <w:b w:val="0"/>
          <w:i w:val="0"/>
          <w:color w:val="2D2D2D"/>
          <w:sz w:val="20"/>
        </w:rPr>
        <w:t>Table 4: Regulatory Monitoring Mechanisms</w:t>
      </w:r>
    </w:p>
    <w:tbl>
      <w:tblPr>
        <w:tblStyle w:val="TableGrid"/>
        <w:tblW w:type="auto" w:w="0"/>
        <w:tblLook w:firstColumn="1" w:firstRow="1" w:lastColumn="0" w:lastRow="0" w:noHBand="0" w:noVBand="1" w:val="04A0"/>
      </w:tblPr>
      <w:tblGrid>
        <w:gridCol w:w="2256"/>
        <w:gridCol w:w="2256"/>
        <w:gridCol w:w="2256"/>
        <w:gridCol w:w="2256"/>
      </w:tblGrid>
      <w:tr>
        <w:tc>
          <w:tcPr>
            <w:tcW w:type="dxa" w:w="2268"/>
            <w:shd w:val="clear" w:color="auto" w:fill="1F3864"/>
          </w:tcPr>
          <w:p>
            <w:r>
              <w:rPr>
                <w:rFonts w:ascii="Arial" w:hAnsi="Arial"/>
                <w:b/>
                <w:i w:val="0"/>
                <w:color w:val="FFFFFF"/>
                <w:sz w:val="18"/>
              </w:rPr>
              <w:t>Mechanism</w:t>
            </w:r>
          </w:p>
        </w:tc>
        <w:tc>
          <w:tcPr>
            <w:tcW w:type="dxa" w:w="2268"/>
            <w:shd w:val="clear" w:color="auto" w:fill="1F3864"/>
          </w:tcPr>
          <w:p>
            <w:r>
              <w:rPr>
                <w:rFonts w:ascii="Arial" w:hAnsi="Arial"/>
                <w:b/>
                <w:i w:val="0"/>
                <w:color w:val="FFFFFF"/>
                <w:sz w:val="18"/>
              </w:rPr>
              <w:t>Description</w:t>
            </w:r>
          </w:p>
        </w:tc>
        <w:tc>
          <w:tcPr>
            <w:tcW w:type="dxa" w:w="2268"/>
            <w:shd w:val="clear" w:color="auto" w:fill="1F3864"/>
          </w:tcPr>
          <w:p>
            <w:r>
              <w:rPr>
                <w:rFonts w:ascii="Arial" w:hAnsi="Arial"/>
                <w:b/>
                <w:i w:val="0"/>
                <w:color w:val="FFFFFF"/>
                <w:sz w:val="18"/>
              </w:rPr>
              <w:t>Frequency</w:t>
            </w:r>
          </w:p>
        </w:tc>
        <w:tc>
          <w:tcPr>
            <w:tcW w:type="dxa" w:w="2268"/>
            <w:shd w:val="clear" w:color="auto" w:fill="1F3864"/>
          </w:tcPr>
          <w:p>
            <w:r>
              <w:rPr>
                <w:rFonts w:ascii="Arial" w:hAnsi="Arial"/>
                <w:b/>
                <w:i w:val="0"/>
                <w:color w:val="FFFFFF"/>
                <w:sz w:val="18"/>
              </w:rPr>
              <w:t>Project-Specific Detail</w:t>
            </w:r>
          </w:p>
        </w:tc>
      </w:tr>
      <w:tr>
        <w:tc>
          <w:tcPr>
            <w:tcW w:type="dxa" w:w="2268"/>
          </w:tcPr>
          <w:p>
            <w:r>
              <w:rPr>
                <w:rFonts w:ascii="Arial" w:hAnsi="Arial"/>
                <w:b w:val="0"/>
                <w:i w:val="0"/>
                <w:color w:val="2D2D2D"/>
                <w:sz w:val="18"/>
              </w:rPr>
              <w:t>Government gazette subscription</w:t>
            </w:r>
          </w:p>
        </w:tc>
        <w:tc>
          <w:tcPr>
            <w:tcW w:type="dxa" w:w="2268"/>
          </w:tcPr>
          <w:p>
            <w:r>
              <w:rPr>
                <w:rFonts w:ascii="Arial" w:hAnsi="Arial"/>
                <w:b w:val="0"/>
                <w:i w:val="0"/>
                <w:color w:val="2D2D2D"/>
                <w:sz w:val="18"/>
              </w:rPr>
              <w:t>Subscription to official government gazette services for each applicable jurisdiction to receive notification of new or amended legislation and regulations</w:t>
            </w:r>
          </w:p>
        </w:tc>
        <w:tc>
          <w:tcPr>
            <w:tcW w:type="dxa" w:w="2268"/>
          </w:tcPr>
          <w:p>
            <w:r>
              <w:rPr>
                <w:rFonts w:ascii="Arial" w:hAnsi="Arial"/>
                <w:b w:val="0"/>
                <w:i w:val="0"/>
                <w:color w:val="2D2D2D"/>
                <w:sz w:val="18"/>
              </w:rPr>
              <w:t>Continuous — alerts reviewed weekly</w:t>
            </w:r>
          </w:p>
        </w:tc>
        <w:tc>
          <w:tcPr>
            <w:tcW w:type="dxa" w:w="2268"/>
          </w:tcPr>
          <w:p>
            <w:r>
              <w:rPr>
                <w:rFonts w:ascii="Arial" w:hAnsi="Arial"/>
                <w:b/>
                <w:i w:val="0"/>
                <w:color w:val="0059D1"/>
                <w:sz w:val="18"/>
              </w:rPr>
              <w:t>[INSERT: subscription service name or arrangement]</w:t>
            </w:r>
          </w:p>
        </w:tc>
      </w:tr>
      <w:tr>
        <w:tc>
          <w:tcPr>
            <w:tcW w:type="dxa" w:w="2268"/>
          </w:tcPr>
          <w:p>
            <w:r>
              <w:rPr>
                <w:rFonts w:ascii="Arial" w:hAnsi="Arial"/>
                <w:b w:val="0"/>
                <w:i w:val="0"/>
                <w:color w:val="2D2D2D"/>
                <w:sz w:val="18"/>
              </w:rPr>
              <w:t>Legal counsel engagement</w:t>
            </w:r>
          </w:p>
        </w:tc>
        <w:tc>
          <w:tcPr>
            <w:tcW w:type="dxa" w:w="2268"/>
          </w:tcPr>
          <w:p>
            <w:r>
              <w:rPr>
                <w:rFonts w:ascii="Arial" w:hAnsi="Arial"/>
                <w:b w:val="0"/>
                <w:i w:val="0"/>
                <w:color w:val="2D2D2D"/>
                <w:sz w:val="18"/>
              </w:rPr>
              <w:t>Engagement with internal or external legal counsel to review and interpret regulatory changes and advise on project compliance implications</w:t>
            </w:r>
          </w:p>
        </w:tc>
        <w:tc>
          <w:tcPr>
            <w:tcW w:type="dxa" w:w="2268"/>
          </w:tcPr>
          <w:p>
            <w:r>
              <w:rPr>
                <w:rFonts w:ascii="Arial" w:hAnsi="Arial"/>
                <w:b w:val="0"/>
                <w:i w:val="0"/>
                <w:color w:val="2D2D2D"/>
                <w:sz w:val="18"/>
              </w:rPr>
              <w:t>As required; minimum at each quarterly review</w:t>
            </w:r>
          </w:p>
        </w:tc>
        <w:tc>
          <w:tcPr>
            <w:tcW w:type="dxa" w:w="2268"/>
          </w:tcPr>
          <w:p>
            <w:r>
              <w:rPr>
                <w:rFonts w:ascii="Arial" w:hAnsi="Arial"/>
                <w:b/>
                <w:i w:val="0"/>
                <w:color w:val="0059D1"/>
                <w:sz w:val="18"/>
              </w:rPr>
              <w:t>[INSERT: legal counsel engagement arrangement — firm name or internal team]</w:t>
            </w:r>
          </w:p>
        </w:tc>
      </w:tr>
      <w:tr>
        <w:tc>
          <w:tcPr>
            <w:tcW w:type="dxa" w:w="2268"/>
          </w:tcPr>
          <w:p>
            <w:r>
              <w:rPr>
                <w:rFonts w:ascii="Arial" w:hAnsi="Arial"/>
                <w:b w:val="0"/>
                <w:i w:val="0"/>
                <w:color w:val="2D2D2D"/>
                <w:sz w:val="18"/>
              </w:rPr>
              <w:t>Industry body participation</w:t>
            </w:r>
          </w:p>
        </w:tc>
        <w:tc>
          <w:tcPr>
            <w:tcW w:type="dxa" w:w="2268"/>
          </w:tcPr>
          <w:p>
            <w:r>
              <w:rPr>
                <w:rFonts w:ascii="Arial" w:hAnsi="Arial"/>
                <w:b w:val="0"/>
                <w:i w:val="0"/>
                <w:color w:val="2D2D2D"/>
                <w:sz w:val="18"/>
              </w:rPr>
              <w:t>Participation in relevant industry bodies, peak associations, or working groups that provide regulatory update notifications to members</w:t>
            </w:r>
          </w:p>
        </w:tc>
        <w:tc>
          <w:tcPr>
            <w:tcW w:type="dxa" w:w="2268"/>
          </w:tcPr>
          <w:p>
            <w:r>
              <w:rPr>
                <w:rFonts w:ascii="Arial" w:hAnsi="Arial"/>
                <w:b w:val="0"/>
                <w:i w:val="0"/>
                <w:color w:val="2D2D2D"/>
                <w:sz w:val="18"/>
              </w:rPr>
              <w:t>As required; notifications reviewed within 5 business days of receipt</w:t>
            </w:r>
          </w:p>
        </w:tc>
        <w:tc>
          <w:tcPr>
            <w:tcW w:type="dxa" w:w="2268"/>
          </w:tcPr>
          <w:p>
            <w:r>
              <w:rPr>
                <w:rFonts w:ascii="Arial" w:hAnsi="Arial"/>
                <w:b/>
                <w:i w:val="0"/>
                <w:color w:val="0059D1"/>
                <w:sz w:val="18"/>
              </w:rPr>
              <w:t>[INSERT: applicable industry body memberships — e.g., MCA, AMMA, or equivalent]</w:t>
            </w:r>
          </w:p>
        </w:tc>
      </w:tr>
      <w:tr>
        <w:tc>
          <w:tcPr>
            <w:tcW w:type="dxa" w:w="2268"/>
          </w:tcPr>
          <w:p>
            <w:r>
              <w:rPr>
                <w:rFonts w:ascii="Arial" w:hAnsi="Arial"/>
                <w:b w:val="0"/>
                <w:i w:val="0"/>
                <w:color w:val="2D2D2D"/>
                <w:sz w:val="18"/>
              </w:rPr>
              <w:t>text</w:t>
            </w:r>
          </w:p>
        </w:tc>
        <w:tc>
          <w:tcPr>
            <w:tcW w:type="dxa" w:w="2268"/>
          </w:tcPr>
          <w:p>
            <w:r>
              <w:rPr>
                <w:rFonts w:ascii="Arial" w:hAnsi="Arial"/>
                <w:b w:val="0"/>
                <w:i w:val="0"/>
                <w:color w:val="2D2D2D"/>
                <w:sz w:val="18"/>
              </w:rPr>
              <w:t>suggested</w:t>
            </w:r>
          </w:p>
        </w:tc>
        <w:tc>
          <w:tcPr>
            <w:tcW w:type="dxa" w:w="2268"/>
          </w:tcPr>
          <w:p/>
        </w:tc>
        <w:tc>
          <w:tcPr>
            <w:tcW w:type="dxa" w:w="2268"/>
          </w:tcPr>
          <w:p/>
        </w:tc>
      </w:tr>
      <w:tr>
        <w:tc>
          <w:tcPr>
            <w:tcW w:type="dxa" w:w="2268"/>
          </w:tcPr>
          <w:p>
            <w:r>
              <w:rPr>
                <w:rFonts w:ascii="Arial" w:hAnsi="Arial"/>
                <w:b w:val="0"/>
                <w:i w:val="0"/>
                <w:color w:val="2D2D2D"/>
                <w:sz w:val="18"/>
              </w:rPr>
              <w:t>text</w:t>
            </w:r>
          </w:p>
        </w:tc>
        <w:tc>
          <w:tcPr>
            <w:tcW w:type="dxa" w:w="2268"/>
          </w:tcPr>
          <w:p>
            <w:r>
              <w:rPr>
                <w:rFonts w:ascii="Arial" w:hAnsi="Arial"/>
                <w:b w:val="0"/>
                <w:i w:val="0"/>
                <w:color w:val="2D2D2D"/>
                <w:sz w:val="18"/>
              </w:rPr>
              <w:t>suggested</w:t>
            </w:r>
          </w:p>
        </w:tc>
        <w:tc>
          <w:tcPr>
            <w:tcW w:type="dxa" w:w="2268"/>
          </w:tcPr>
          <w:p/>
        </w:tc>
        <w:tc>
          <w:tcPr>
            <w:tcW w:type="dxa" w:w="2268"/>
          </w:tcPr>
          <w:p/>
        </w:tc>
      </w:tr>
      <w:tr>
        <w:tc>
          <w:tcPr>
            <w:tcW w:type="dxa" w:w="2268"/>
          </w:tcPr>
          <w:p>
            <w:r>
              <w:rPr>
                <w:rFonts w:ascii="Arial" w:hAnsi="Arial"/>
                <w:b w:val="0"/>
                <w:i w:val="0"/>
                <w:color w:val="2D2D2D"/>
                <w:sz w:val="18"/>
              </w:rPr>
              <w:t>text</w:t>
            </w:r>
          </w:p>
        </w:tc>
        <w:tc>
          <w:tcPr>
            <w:tcW w:type="dxa" w:w="2268"/>
          </w:tcPr>
          <w:p>
            <w:r>
              <w:rPr>
                <w:rFonts w:ascii="Arial" w:hAnsi="Arial"/>
                <w:b w:val="0"/>
                <w:i w:val="0"/>
                <w:color w:val="2D2D2D"/>
                <w:sz w:val="18"/>
              </w:rPr>
              <w:t>suggested</w:t>
            </w:r>
          </w:p>
        </w:tc>
        <w:tc>
          <w:tcPr>
            <w:tcW w:type="dxa" w:w="2268"/>
          </w:tcPr>
          <w:p/>
        </w:tc>
        <w:tc>
          <w:tcPr>
            <w:tcW w:type="dxa" w:w="2268"/>
          </w:tcPr>
          <w:p/>
        </w:tc>
      </w:tr>
      <w:tr>
        <w:tc>
          <w:tcPr>
            <w:tcW w:type="dxa" w:w="2268"/>
          </w:tcPr>
          <w:p>
            <w:r>
              <w:rPr>
                <w:rFonts w:ascii="Arial" w:hAnsi="Arial"/>
                <w:b w:val="0"/>
                <w:i w:val="0"/>
                <w:color w:val="2D2D2D"/>
                <w:sz w:val="18"/>
              </w:rPr>
              <w:t>text</w:t>
            </w:r>
          </w:p>
        </w:tc>
        <w:tc>
          <w:tcPr>
            <w:tcW w:type="dxa" w:w="2268"/>
          </w:tcPr>
          <w:p>
            <w:r>
              <w:rPr>
                <w:rFonts w:ascii="Arial" w:hAnsi="Arial"/>
                <w:b w:val="0"/>
                <w:i w:val="0"/>
                <w:color w:val="2D2D2D"/>
                <w:sz w:val="18"/>
              </w:rPr>
              <w:t>suggested</w:t>
            </w:r>
          </w:p>
        </w:tc>
        <w:tc>
          <w:tcPr>
            <w:tcW w:type="dxa" w:w="2268"/>
          </w:tcPr>
          <w:p/>
        </w:tc>
        <w:tc>
          <w:tcPr>
            <w:tcW w:type="dxa" w:w="2268"/>
          </w:tcPr>
          <w:p/>
        </w:tc>
      </w:tr>
    </w:tbl>
    <w:p/>
    <w:tbl>
      <w:tblPr>
        <w:tblW w:type="auto" w:w="0"/>
        <w:tblLook w:firstColumn="1" w:firstRow="1" w:lastColumn="0" w:lastRow="0" w:noHBand="0" w:noVBand="1" w:val="04A0"/>
      </w:tblPr>
      <w:tblGrid>
        <w:gridCol w:w="9026"/>
      </w:tblGrid>
      <w:tr>
        <w:tc>
          <w:tcPr>
            <w:tcW w:type="dxa" w:w="9026"/>
            <w:shd w:val="clear" w:color="auto" w:fill="FFF2CC"/>
          </w:tcPr>
          <w:p>
            <w:pPr>
              <w:spacing w:before="80" w:after="80"/>
            </w:pPr>
            <w:r>
              <w:rPr>
                <w:rFonts w:ascii="Arial" w:hAnsi="Arial"/>
                <w:b/>
                <w:i w:val="0"/>
                <w:color w:val="C55A11"/>
                <w:sz w:val="20"/>
              </w:rPr>
              <w:t>PROJECT COMPLETION — MONITORING MECHANISM: Define the specific monitoring mechanism to be used for this project. Identify the named subscription service, the legal counsel engagement arrangement, and the peak body memberships. Insert into Table 4 before this document is issued.</w:t>
            </w:r>
          </w:p>
        </w:tc>
      </w:tr>
    </w:tbl>
    <w:p/>
    <w:p>
      <w:pPr>
        <w:spacing w:before="60" w:after="120"/>
      </w:pPr>
      <w:r>
        <w:rPr>
          <w:rFonts w:ascii="Arial" w:hAnsi="Arial"/>
          <w:b w:val="0"/>
          <w:i w:val="0"/>
          <w:color w:val="2D2D2D"/>
          <w:sz w:val="20"/>
        </w:rPr>
        <w:t>When a change to a legislative or regulatory requirement is identified, the HSESC Manager assesses the impact on the register within 10 business days and updates the affected records. Where the change introduces a new obligation or materially alters an existing obligation, the HSESC Manager notifies the Register Owner and initiates a targeted review of affected controls and procedures before the change takes effect.</w:t>
      </w:r>
    </w:p>
    <w:p>
      <w:pPr>
        <w:spacing w:before="200" w:after="80"/>
      </w:pPr>
      <w:r>
        <w:rPr>
          <w:rFonts w:ascii="Arial" w:hAnsi="Arial"/>
          <w:b/>
          <w:i w:val="0"/>
          <w:color w:val="1F3864"/>
          <w:sz w:val="22"/>
        </w:rPr>
        <w:t>4.2  Formal Review Schedule</w:t>
      </w:r>
    </w:p>
    <w:p>
      <w:pPr>
        <w:spacing w:before="60" w:after="120"/>
      </w:pPr>
      <w:r>
        <w:rPr>
          <w:rFonts w:ascii="Arial" w:hAnsi="Arial"/>
          <w:b w:val="0"/>
          <w:i w:val="0"/>
          <w:color w:val="2D2D2D"/>
          <w:sz w:val="20"/>
        </w:rPr>
        <w:t>This subsection defines the minimum frequency for formal register reviews and the triggers that require an unscheduled review to be conducted.</w:t>
      </w:r>
    </w:p>
    <w:p>
      <w:pPr>
        <w:spacing w:before="60" w:after="120"/>
      </w:pPr>
      <w:r>
        <w:rPr>
          <w:rFonts w:ascii="Arial" w:hAnsi="Arial"/>
          <w:b w:val="0"/>
          <w:i w:val="0"/>
          <w:color w:val="2D2D2D"/>
          <w:sz w:val="20"/>
        </w:rPr>
        <w:t>The Register Owner ensures the Legal and Other Requirements Register is formally reviewed at a minimum of quarterly intervals and following any of the triggers listed below. A formal review confirms that all records remain current, that compliance status is accurately recorded, and that any new requirements identified since the last review have been added to the register.</w:t>
      </w:r>
    </w:p>
    <w:p>
      <w:pPr>
        <w:spacing w:before="60" w:after="120"/>
      </w:pPr>
      <w:r>
        <w:rPr>
          <w:rFonts w:ascii="Arial" w:hAnsi="Arial"/>
          <w:b w:val="0"/>
          <w:i w:val="0"/>
          <w:color w:val="2D2D2D"/>
          <w:sz w:val="20"/>
        </w:rPr>
        <w:t>An unscheduled formal review is conducted immediately upon occurrence of any of the following triggers:</w:t>
      </w:r>
    </w:p>
    <w:p>
      <w:pPr>
        <w:pStyle w:val="ListBullet"/>
        <w:spacing w:before="40" w:after="40"/>
        <w:ind w:left="567"/>
      </w:pPr>
      <w:r>
        <w:rPr>
          <w:rFonts w:ascii="Arial" w:hAnsi="Arial"/>
          <w:b w:val="0"/>
          <w:i w:val="0"/>
          <w:color w:val="2D2D2D"/>
          <w:sz w:val="20"/>
        </w:rPr>
        <w:t>A change to applicable legislation or regulation that affects one or more project obligations</w:t>
      </w:r>
    </w:p>
    <w:p>
      <w:pPr>
        <w:pStyle w:val="ListBullet"/>
        <w:spacing w:before="40" w:after="40"/>
        <w:ind w:left="567"/>
      </w:pPr>
      <w:r>
        <w:rPr>
          <w:rFonts w:ascii="Arial" w:hAnsi="Arial"/>
          <w:b w:val="0"/>
          <w:i w:val="0"/>
          <w:color w:val="2D2D2D"/>
          <w:sz w:val="20"/>
        </w:rPr>
        <w:t>An amendment to a permit, licence, approval condition, or consent condition applicable to the project</w:t>
      </w:r>
    </w:p>
    <w:p>
      <w:pPr>
        <w:pStyle w:val="ListBullet"/>
        <w:spacing w:before="40" w:after="40"/>
        <w:ind w:left="567"/>
      </w:pPr>
      <w:r>
        <w:rPr>
          <w:rFonts w:ascii="Arial" w:hAnsi="Arial"/>
          <w:b w:val="0"/>
          <w:i w:val="0"/>
          <w:color w:val="2D2D2D"/>
          <w:sz w:val="20"/>
        </w:rPr>
        <w:t>An update to a relevant IFC Performance Standard, World Bank EHS Guideline, or applicable voluntary framework</w:t>
      </w:r>
    </w:p>
    <w:p>
      <w:pPr>
        <w:pStyle w:val="ListBullet"/>
        <w:spacing w:before="40" w:after="40"/>
        <w:ind w:left="567"/>
      </w:pPr>
      <w:r>
        <w:rPr>
          <w:rFonts w:ascii="Arial" w:hAnsi="Arial"/>
          <w:b w:val="0"/>
          <w:i w:val="0"/>
          <w:color w:val="2D2D2D"/>
          <w:sz w:val="20"/>
        </w:rPr>
        <w:t>A regulatory enforcement action, improvement notice, prohibition notice, or equivalent direction issued to the project</w:t>
      </w:r>
    </w:p>
    <w:p>
      <w:pPr>
        <w:pStyle w:val="ListBullet"/>
        <w:spacing w:before="40" w:after="40"/>
        <w:ind w:left="567"/>
      </w:pPr>
      <w:r>
        <w:rPr>
          <w:rFonts w:ascii="Arial" w:hAnsi="Arial"/>
          <w:b w:val="0"/>
          <w:i w:val="0"/>
          <w:color w:val="2D2D2D"/>
          <w:sz w:val="20"/>
        </w:rPr>
        <w:t>A reportable non-compliance event as defined in the escalation matrix in Table 5</w:t>
      </w:r>
    </w:p>
    <w:p>
      <w:pPr>
        <w:pStyle w:val="ListBullet"/>
        <w:spacing w:before="40" w:after="40"/>
        <w:ind w:left="567"/>
      </w:pPr>
      <w:r>
        <w:rPr>
          <w:rFonts w:ascii="Arial" w:hAnsi="Arial"/>
          <w:b w:val="0"/>
          <w:i w:val="0"/>
          <w:color w:val="2D2D2D"/>
          <w:sz w:val="20"/>
        </w:rPr>
        <w:t>A significant change to project scope, activities, or locations that may introduce new regulatory requirements</w:t>
      </w:r>
    </w:p>
    <w:p>
      <w:pPr>
        <w:pStyle w:val="ListBullet"/>
        <w:spacing w:before="40" w:after="40"/>
        <w:ind w:left="567"/>
      </w:pPr>
      <w:r>
        <w:rPr>
          <w:rFonts w:ascii="Arial" w:hAnsi="Arial"/>
          <w:b w:val="0"/>
          <w:i w:val="0"/>
          <w:color w:val="C55A11"/>
          <w:sz w:val="20"/>
        </w:rPr>
        <w:t>A change in project ownership, operator, or key personnel with compliance accountability</w:t>
      </w:r>
    </w:p>
    <w:p>
      <w:pPr>
        <w:spacing w:before="60" w:after="120"/>
      </w:pPr>
      <w:r>
        <w:rPr>
          <w:rFonts w:ascii="Arial" w:hAnsi="Arial"/>
          <w:b w:val="0"/>
          <w:i w:val="0"/>
          <w:color w:val="2D2D2D"/>
          <w:sz w:val="20"/>
        </w:rPr>
        <w:t>The HSESC Manager records the outcome of each formal review in the register, including the date of review, the reviewer, the scope of records reviewed, and any changes made. Review records are retained in accordance with RTPR-HSE-PRO-0043 — Records Management.</w:t>
      </w:r>
    </w:p>
    <w:p>
      <w:pPr>
        <w:spacing w:before="200" w:after="80"/>
      </w:pPr>
      <w:r>
        <w:rPr>
          <w:rFonts w:ascii="Arial" w:hAnsi="Arial"/>
          <w:b/>
          <w:i w:val="0"/>
          <w:color w:val="1F3864"/>
          <w:sz w:val="22"/>
        </w:rPr>
        <w:t>4.3  Accountability for Register Currency</w:t>
      </w:r>
    </w:p>
    <w:p>
      <w:pPr>
        <w:spacing w:before="60" w:after="120"/>
      </w:pPr>
      <w:r>
        <w:rPr>
          <w:rFonts w:ascii="Arial" w:hAnsi="Arial"/>
          <w:b w:val="0"/>
          <w:i w:val="0"/>
          <w:color w:val="2D2D2D"/>
          <w:sz w:val="20"/>
        </w:rPr>
        <w:t>This subsection assigns a named accountable role with authority to ensure the register is current and that identified compliance obligations are actioned within defined timeframes.</w:t>
      </w:r>
    </w:p>
    <w:p>
      <w:pPr>
        <w:spacing w:before="60" w:after="120"/>
      </w:pPr>
      <w:r>
        <w:rPr>
          <w:rFonts w:ascii="Arial" w:hAnsi="Arial"/>
          <w:b w:val="0"/>
          <w:i w:val="0"/>
          <w:color w:val="2D2D2D"/>
          <w:sz w:val="20"/>
        </w:rPr>
        <w:t>The Register Owner, identified in Table 1, is the accountable role with authority to ensure the Legal and Other Requirements Register is current at all times. This role has authority to direct the HSESC Manager and other project personnel to act on identified compliance obligations and to escalate unresolved non-compliances to the Project Director.</w:t>
      </w:r>
    </w:p>
    <w:p>
      <w:pPr>
        <w:spacing w:before="40" w:after="120"/>
      </w:pPr>
      <w:r>
        <w:rPr>
          <w:rFonts w:ascii="Arial" w:hAnsi="Arial"/>
          <w:b/>
          <w:i w:val="0"/>
          <w:color w:val="0059D1"/>
          <w:sz w:val="20"/>
        </w:rPr>
        <w:t>[INSERT: Register Owner — name and position title] — Identify the role responsible for maintaining the register by name and position title for this project. Insert into Table 1 and reference here.</w:t>
      </w:r>
    </w:p>
    <w:p>
      <w:pPr>
        <w:spacing w:before="60" w:after="120"/>
      </w:pPr>
      <w:r>
        <w:rPr>
          <w:rFonts w:ascii="Arial" w:hAnsi="Arial"/>
          <w:b w:val="0"/>
          <w:i w:val="0"/>
          <w:color w:val="2D2D2D"/>
          <w:sz w:val="20"/>
        </w:rPr>
        <w:t>The Register Owner reviews and endorses the register at each formal quarterly review and at initial submission. Where the Register Owner identifies that a compliance obligation has not been actioned within its defined timeframe, the Register Owner escalates the matter to the Project Director and, where required, to the relevant Rio Tinto corporate function in accordance with the notification chain defined in Table 5.</w:t>
      </w:r>
    </w:p>
    <w:p>
      <w:pPr>
        <w:spacing w:before="200" w:after="80"/>
      </w:pPr>
      <w:r>
        <w:rPr>
          <w:rFonts w:ascii="Arial" w:hAnsi="Arial"/>
          <w:b/>
          <w:i w:val="0"/>
          <w:color w:val="1F3864"/>
          <w:sz w:val="22"/>
        </w:rPr>
        <w:t>4.4  Non-Compliance Escalation Thresholds</w:t>
      </w:r>
    </w:p>
    <w:p>
      <w:pPr>
        <w:spacing w:before="60" w:after="120"/>
      </w:pPr>
      <w:r>
        <w:rPr>
          <w:rFonts w:ascii="Arial" w:hAnsi="Arial"/>
          <w:b w:val="0"/>
          <w:i w:val="0"/>
          <w:color w:val="2D2D2D"/>
          <w:sz w:val="20"/>
        </w:rPr>
        <w:t>This subsection defines the escalation thresholds for non-compliance events, the response timeframes, and the notification chain that applies at each level.</w:t>
      </w:r>
    </w:p>
    <w:p>
      <w:pPr>
        <w:spacing w:before="60" w:after="120"/>
      </w:pPr>
      <w:r>
        <w:rPr>
          <w:rFonts w:ascii="Arial" w:hAnsi="Arial"/>
          <w:b w:val="0"/>
          <w:i w:val="0"/>
          <w:color w:val="2D2D2D"/>
          <w:sz w:val="20"/>
        </w:rPr>
        <w:t>This project defines three levels of regulatory non-compliance for the purposes of escalation and response. The definitions, response timeframes, and notification requirements for each level are set out in Table 5. All non-compliance events, regardless of level, are documented in the project action tracking system and managed through the corrective action process defined in Section 4 of this procedure.</w:t>
      </w:r>
    </w:p>
    <w:tbl>
      <w:tblPr>
        <w:tblW w:type="auto" w:w="0"/>
        <w:tblLook w:firstColumn="1" w:firstRow="1" w:lastColumn="0" w:lastRow="0" w:noHBand="0" w:noVBand="1" w:val="04A0"/>
      </w:tblPr>
      <w:tblGrid>
        <w:gridCol w:w="9026"/>
      </w:tblGrid>
      <w:tr>
        <w:tc>
          <w:tcPr>
            <w:tcW w:type="dxa" w:w="9026"/>
            <w:shd w:val="clear" w:color="auto" w:fill="FFF2CC"/>
          </w:tcPr>
          <w:p>
            <w:pPr>
              <w:spacing w:before="80" w:after="80"/>
            </w:pPr>
            <w:r>
              <w:rPr>
                <w:rFonts w:ascii="Arial" w:hAnsi="Arial"/>
                <w:b/>
                <w:i w:val="0"/>
                <w:color w:val="C55A11"/>
                <w:sz w:val="20"/>
              </w:rPr>
              <w:t>PROJECT COMPLETION — ESCALATION MATRIX: Define the non-compliance escalation matrix for this project. Determine what constitutes a minor non-conformance, a reportable breach, and an enforcement action in the context of this project's regulatory environment. Define who is notified at each level. Insert completed rows into Table 5 before this document is issued.</w:t>
            </w:r>
          </w:p>
        </w:tc>
      </w:tr>
    </w:tbl>
    <w:p/>
    <w:p>
      <w:pPr>
        <w:spacing w:before="60" w:after="120"/>
      </w:pPr>
      <w:r>
        <w:rPr>
          <w:rFonts w:ascii="Arial" w:hAnsi="Arial"/>
          <w:b w:val="0"/>
          <w:i w:val="0"/>
          <w:color w:val="2D2D2D"/>
          <w:sz w:val="20"/>
        </w:rPr>
        <w:t>Table 5: Non-Compliance Escalation Matrix</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14"/>
            <w:shd w:val="clear" w:color="auto" w:fill="1F3864"/>
          </w:tcPr>
          <w:p>
            <w:r>
              <w:rPr>
                <w:rFonts w:ascii="Arial" w:hAnsi="Arial"/>
                <w:b/>
                <w:i w:val="0"/>
                <w:color w:val="FFFFFF"/>
                <w:sz w:val="18"/>
              </w:rPr>
              <w:t>Level</w:t>
            </w:r>
          </w:p>
        </w:tc>
        <w:tc>
          <w:tcPr>
            <w:tcW w:type="dxa" w:w="1814"/>
            <w:shd w:val="clear" w:color="auto" w:fill="1F3864"/>
          </w:tcPr>
          <w:p>
            <w:r>
              <w:rPr>
                <w:rFonts w:ascii="Arial" w:hAnsi="Arial"/>
                <w:b/>
                <w:i w:val="0"/>
                <w:color w:val="FFFFFF"/>
                <w:sz w:val="18"/>
              </w:rPr>
              <w:t>Definition</w:t>
            </w:r>
          </w:p>
        </w:tc>
        <w:tc>
          <w:tcPr>
            <w:tcW w:type="dxa" w:w="1814"/>
            <w:shd w:val="clear" w:color="auto" w:fill="1F3864"/>
          </w:tcPr>
          <w:p>
            <w:r>
              <w:rPr>
                <w:rFonts w:ascii="Arial" w:hAnsi="Arial"/>
                <w:b/>
                <w:i w:val="0"/>
                <w:color w:val="FFFFFF"/>
                <w:sz w:val="18"/>
              </w:rPr>
              <w:t>Examples</w:t>
            </w:r>
          </w:p>
        </w:tc>
        <w:tc>
          <w:tcPr>
            <w:tcW w:type="dxa" w:w="1814"/>
            <w:shd w:val="clear" w:color="auto" w:fill="1F3864"/>
          </w:tcPr>
          <w:p>
            <w:r>
              <w:rPr>
                <w:rFonts w:ascii="Arial" w:hAnsi="Arial"/>
                <w:b/>
                <w:i w:val="0"/>
                <w:color w:val="FFFFFF"/>
                <w:sz w:val="18"/>
              </w:rPr>
              <w:t>Response Timeframe</w:t>
            </w:r>
          </w:p>
        </w:tc>
        <w:tc>
          <w:tcPr>
            <w:tcW w:type="dxa" w:w="1814"/>
            <w:shd w:val="clear" w:color="auto" w:fill="1F3864"/>
          </w:tcPr>
          <w:p>
            <w:r>
              <w:rPr>
                <w:rFonts w:ascii="Arial" w:hAnsi="Arial"/>
                <w:b/>
                <w:i w:val="0"/>
                <w:color w:val="FFFFFF"/>
                <w:sz w:val="18"/>
              </w:rPr>
              <w:t>Notification Chain</w:t>
            </w:r>
          </w:p>
        </w:tc>
      </w:tr>
      <w:tr>
        <w:tc>
          <w:tcPr>
            <w:tcW w:type="dxa" w:w="1814"/>
          </w:tcPr>
          <w:p>
            <w:r>
              <w:rPr>
                <w:rFonts w:ascii="Arial" w:hAnsi="Arial"/>
                <w:b w:val="0"/>
                <w:i w:val="0"/>
                <w:color w:val="2D2D2D"/>
                <w:sz w:val="18"/>
              </w:rPr>
              <w:t>Level 1 — Minor Administrative Non-Conformance</w:t>
            </w:r>
          </w:p>
        </w:tc>
        <w:tc>
          <w:tcPr>
            <w:tcW w:type="dxa" w:w="1814"/>
          </w:tcPr>
          <w:p>
            <w:r>
              <w:rPr>
                <w:rFonts w:ascii="Arial" w:hAnsi="Arial"/>
                <w:b w:val="0"/>
                <w:i w:val="0"/>
                <w:color w:val="2D2D2D"/>
                <w:sz w:val="18"/>
              </w:rPr>
              <w:t>A deviation from a procedural or administrative requirement with no direct regulatory breach and no harm, release, or public exposure. The obligation remains capable of being met within the current reporting period.</w:t>
            </w:r>
          </w:p>
        </w:tc>
        <w:tc>
          <w:tcPr>
            <w:tcW w:type="dxa" w:w="1814"/>
          </w:tcPr>
          <w:p>
            <w:r>
              <w:rPr>
                <w:rFonts w:ascii="Arial" w:hAnsi="Arial"/>
                <w:b w:val="0"/>
                <w:i w:val="0"/>
                <w:color w:val="2D2D2D"/>
                <w:sz w:val="18"/>
              </w:rPr>
              <w:t>Late submission of a routine monitoring report; minor record-keeping gap; a single missed training record</w:t>
            </w:r>
          </w:p>
        </w:tc>
        <w:tc>
          <w:tcPr>
            <w:tcW w:type="dxa" w:w="1814"/>
          </w:tcPr>
          <w:p>
            <w:r>
              <w:rPr>
                <w:rFonts w:ascii="Arial" w:hAnsi="Arial"/>
                <w:b w:val="0"/>
                <w:i w:val="0"/>
                <w:color w:val="2D2D2D"/>
                <w:sz w:val="18"/>
              </w:rPr>
              <w:t>Corrective action raised and owner assigned within 5 business days; closeout within 20 business days</w:t>
            </w:r>
          </w:p>
        </w:tc>
        <w:tc>
          <w:tcPr>
            <w:tcW w:type="dxa" w:w="1814"/>
          </w:tcPr>
          <w:p>
            <w:r>
              <w:rPr>
                <w:rFonts w:ascii="Arial" w:hAnsi="Arial"/>
                <w:b w:val="0"/>
                <w:i w:val="0"/>
                <w:color w:val="2D2D2D"/>
                <w:sz w:val="18"/>
              </w:rPr>
              <w:t>HSESC Manager notified immediately; Register Owner notified within 2 business days; Project Director advised at next monthly review</w:t>
            </w:r>
          </w:p>
        </w:tc>
      </w:tr>
      <w:tr>
        <w:tc>
          <w:tcPr>
            <w:tcW w:type="dxa" w:w="1814"/>
          </w:tcPr>
          <w:p>
            <w:r>
              <w:rPr>
                <w:rFonts w:ascii="Arial" w:hAnsi="Arial"/>
                <w:b w:val="0"/>
                <w:i w:val="0"/>
                <w:color w:val="2D2D2D"/>
                <w:sz w:val="18"/>
              </w:rPr>
              <w:t>Level 2 — Reportable Breach</w:t>
            </w:r>
          </w:p>
        </w:tc>
        <w:tc>
          <w:tcPr>
            <w:tcW w:type="dxa" w:w="1814"/>
          </w:tcPr>
          <w:p>
            <w:r>
              <w:rPr>
                <w:rFonts w:ascii="Arial" w:hAnsi="Arial"/>
                <w:b w:val="0"/>
                <w:i w:val="0"/>
                <w:color w:val="2D2D2D"/>
                <w:sz w:val="18"/>
              </w:rPr>
              <w:t>A breach of a specific legislative provision, permit condition, licence condition, or approval condition that is required to be notified to a regulatory authority, or that has resulted in or could result in environmental harm, injury, community impact, or public exposure.</w:t>
            </w:r>
          </w:p>
        </w:tc>
        <w:tc>
          <w:tcPr>
            <w:tcW w:type="dxa" w:w="1814"/>
          </w:tcPr>
          <w:p>
            <w:r>
              <w:rPr>
                <w:rFonts w:ascii="Arial" w:hAnsi="Arial"/>
                <w:b/>
                <w:i w:val="0"/>
                <w:color w:val="0059D1"/>
                <w:sz w:val="18"/>
              </w:rPr>
              <w:t>[INSERT: project-specific examples — e.g., exceedance of a discharge licence limit; breach of a heritage clearance condition; failure to provide statutory notification within required timeframe]</w:t>
            </w:r>
          </w:p>
        </w:tc>
        <w:tc>
          <w:tcPr>
            <w:tcW w:type="dxa" w:w="1814"/>
          </w:tcPr>
          <w:p>
            <w:r>
              <w:rPr>
                <w:rFonts w:ascii="Arial" w:hAnsi="Arial"/>
                <w:b w:val="0"/>
                <w:i w:val="0"/>
                <w:color w:val="2D2D2D"/>
                <w:sz w:val="18"/>
              </w:rPr>
              <w:t>Register Owner and Project Director notified within 24 hours; regulator notification submitted within the timeframe required by the applicable legislation or permit condition; corrective action raised and owner assigned within 2 business days</w:t>
            </w:r>
          </w:p>
        </w:tc>
        <w:tc>
          <w:tcPr>
            <w:tcW w:type="dxa" w:w="1814"/>
          </w:tcPr>
          <w:p>
            <w:r>
              <w:rPr>
                <w:rFonts w:ascii="Arial" w:hAnsi="Arial"/>
                <w:b/>
                <w:i w:val="0"/>
                <w:color w:val="0059D1"/>
                <w:sz w:val="18"/>
              </w:rPr>
              <w:t>[INSERT: project-specific notification chain — Project Director, Rio Tinto corporate HSE/Legal, regulator as required]</w:t>
            </w:r>
          </w:p>
        </w:tc>
      </w:tr>
      <w:tr>
        <w:tc>
          <w:tcPr>
            <w:tcW w:type="dxa" w:w="1814"/>
          </w:tcPr>
          <w:p>
            <w:r>
              <w:rPr>
                <w:rFonts w:ascii="Arial" w:hAnsi="Arial"/>
                <w:b w:val="0"/>
                <w:i w:val="0"/>
                <w:color w:val="2D2D2D"/>
                <w:sz w:val="18"/>
              </w:rPr>
              <w:t>Level 3 — Enforcement Action</w:t>
            </w:r>
          </w:p>
        </w:tc>
        <w:tc>
          <w:tcPr>
            <w:tcW w:type="dxa" w:w="1814"/>
          </w:tcPr>
          <w:p>
            <w:r>
              <w:rPr>
                <w:rFonts w:ascii="Arial" w:hAnsi="Arial"/>
                <w:b w:val="0"/>
                <w:i w:val="0"/>
                <w:color w:val="2D2D2D"/>
                <w:sz w:val="18"/>
              </w:rPr>
              <w:t>A formal enforcement action taken by a regulatory authority including an improvement notice, prohibition notice, infringement notice, stop-work order, prosecution, or equivalent direction imposing obligations on the project.</w:t>
            </w:r>
          </w:p>
        </w:tc>
        <w:tc>
          <w:tcPr>
            <w:tcW w:type="dxa" w:w="1814"/>
          </w:tcPr>
          <w:p>
            <w:r>
              <w:rPr>
                <w:rFonts w:ascii="Arial" w:hAnsi="Arial"/>
                <w:b/>
                <w:i w:val="0"/>
                <w:color w:val="0059D1"/>
                <w:sz w:val="18"/>
              </w:rPr>
              <w:t>[INSERT: project-specific examples — e.g., EPA prohibition notice; WorkSafe improvement notice; heritage stop-work direction]</w:t>
            </w:r>
          </w:p>
        </w:tc>
        <w:tc>
          <w:tcPr>
            <w:tcW w:type="dxa" w:w="1814"/>
          </w:tcPr>
          <w:p>
            <w:r>
              <w:rPr>
                <w:rFonts w:ascii="Arial" w:hAnsi="Arial"/>
                <w:b w:val="0"/>
                <w:i w:val="0"/>
                <w:color w:val="2D2D2D"/>
                <w:sz w:val="18"/>
              </w:rPr>
              <w:t>Project Director and Rio Tinto corporate function notified immediately upon receipt; legal counsel engaged within 24 hours; formal response prepared within the timeframe specified in the enforcement notice; corrective action raised and owner assigned within 1 business day</w:t>
            </w:r>
          </w:p>
        </w:tc>
        <w:tc>
          <w:tcPr>
            <w:tcW w:type="dxa" w:w="1814"/>
          </w:tcPr>
          <w:p>
            <w:r>
              <w:rPr>
                <w:rFonts w:ascii="Arial" w:hAnsi="Arial"/>
                <w:b/>
                <w:i w:val="0"/>
                <w:color w:val="0059D1"/>
                <w:sz w:val="18"/>
              </w:rPr>
              <w:t>[INSERT: project-specific notification chain — Project Director, Rio Tinto corporate Legal and HSE, Rio Tinto Group as required by internal escalation protocols]</w:t>
            </w:r>
          </w:p>
        </w:tc>
      </w:tr>
    </w:tbl>
    <w:p/>
    <w:p>
      <w:pPr>
        <w:spacing w:before="60" w:after="120"/>
      </w:pPr>
      <w:r>
        <w:rPr>
          <w:rFonts w:ascii="Arial" w:hAnsi="Arial"/>
          <w:b w:val="0"/>
          <w:i w:val="0"/>
          <w:color w:val="2D2D2D"/>
          <w:sz w:val="20"/>
        </w:rPr>
        <w:t>All Level 2 and Level 3 non-compliance events are reported as incidents under the project incident management process. Refer RTPR-HSE-PRO-0009 — Incident Management for classification and notification requirements applicable to regulatory enforcement incidents.</w:t>
      </w:r>
    </w:p>
    <w:p>
      <w:pPr>
        <w:spacing w:before="360" w:after="120"/>
        <w:pBdr>
          <w:bottom w:val="single" w:sz="6" w:space="4" w:color="2E75B6"/>
        </w:pBdr>
      </w:pPr>
      <w:r>
        <w:rPr>
          <w:rFonts w:ascii="Arial" w:hAnsi="Arial"/>
          <w:b/>
          <w:i w:val="0"/>
          <w:color w:val="1F3864"/>
          <w:sz w:val="26"/>
        </w:rPr>
        <w:t>5  Communication and Contractor Obligations</w:t>
      </w:r>
    </w:p>
    <w:p>
      <w:pPr>
        <w:spacing w:before="60" w:after="120"/>
      </w:pPr>
      <w:r>
        <w:rPr>
          <w:rFonts w:ascii="Arial" w:hAnsi="Arial"/>
          <w:b w:val="0"/>
          <w:i w:val="0"/>
          <w:color w:val="2D2D2D"/>
          <w:sz w:val="20"/>
        </w:rPr>
        <w:t>This section defines how newly identified or changed legal requirements are communicated to project personnel and contractor organisations, and how contractor compliance with applicable obligations is monitored through the project ESMS.</w:t>
      </w:r>
    </w:p>
    <w:p>
      <w:pPr>
        <w:spacing w:before="200" w:after="80"/>
      </w:pPr>
      <w:r>
        <w:rPr>
          <w:rFonts w:ascii="Arial" w:hAnsi="Arial"/>
          <w:b/>
          <w:i w:val="0"/>
          <w:color w:val="1F3864"/>
          <w:sz w:val="22"/>
        </w:rPr>
        <w:t>5.1  Internal Communication of Legal Requirements</w:t>
      </w:r>
    </w:p>
    <w:p>
      <w:pPr>
        <w:spacing w:before="60" w:after="120"/>
      </w:pPr>
      <w:r>
        <w:rPr>
          <w:rFonts w:ascii="Arial" w:hAnsi="Arial"/>
          <w:b w:val="0"/>
          <w:i w:val="0"/>
          <w:color w:val="2D2D2D"/>
          <w:sz w:val="20"/>
        </w:rPr>
        <w:t>This subsection defines the process for communicating new or changed legal requirements to project personnel and supervisors.</w:t>
      </w:r>
    </w:p>
    <w:p>
      <w:pPr>
        <w:spacing w:before="60" w:after="120"/>
      </w:pPr>
      <w:r>
        <w:rPr>
          <w:rFonts w:ascii="Arial" w:hAnsi="Arial"/>
          <w:b w:val="0"/>
          <w:i w:val="0"/>
          <w:color w:val="2D2D2D"/>
          <w:sz w:val="20"/>
        </w:rPr>
        <w:t>The HSESC Manager communicates newly identified or changed legal and other requirements to all affected project personnel and supervisors within 10 business days of the change being confirmed and the register being updated. Communication is targeted to the roles and work groups directly affected by the changed obligation and is proportionate to the significance of the change.</w:t>
      </w:r>
    </w:p>
    <w:p>
      <w:pPr>
        <w:spacing w:before="60" w:after="120"/>
      </w:pPr>
      <w:r>
        <w:rPr>
          <w:rFonts w:ascii="Arial" w:hAnsi="Arial"/>
          <w:b w:val="0"/>
          <w:i w:val="0"/>
          <w:color w:val="2D2D2D"/>
          <w:sz w:val="20"/>
        </w:rPr>
        <w:t>Communication of new or changed legal requirements is delivered through the following mechanisms, selected according to the significance and urgency of the change:</w:t>
      </w:r>
    </w:p>
    <w:p>
      <w:pPr>
        <w:pStyle w:val="ListBullet"/>
        <w:spacing w:before="40" w:after="40"/>
        <w:ind w:left="567"/>
      </w:pPr>
      <w:r>
        <w:rPr>
          <w:rFonts w:ascii="Arial" w:hAnsi="Arial"/>
          <w:b w:val="0"/>
          <w:i w:val="0"/>
          <w:color w:val="2D2D2D"/>
          <w:sz w:val="20"/>
        </w:rPr>
        <w:t>HSESC toolbox talk or pre-start briefing for changes that directly affect workface activities or worker rights and obligations</w:t>
      </w:r>
    </w:p>
    <w:p>
      <w:pPr>
        <w:pStyle w:val="ListBullet"/>
        <w:spacing w:before="40" w:after="40"/>
        <w:ind w:left="567"/>
      </w:pPr>
      <w:r>
        <w:rPr>
          <w:rFonts w:ascii="Arial" w:hAnsi="Arial"/>
          <w:b w:val="0"/>
          <w:i w:val="0"/>
          <w:color w:val="2D2D2D"/>
          <w:sz w:val="20"/>
        </w:rPr>
        <w:t>Written notification to supervisors and contractor HSE representatives for changes affecting work procedures, permit conditions, or monitoring requirements</w:t>
      </w:r>
    </w:p>
    <w:p>
      <w:pPr>
        <w:pStyle w:val="ListBullet"/>
        <w:spacing w:before="40" w:after="40"/>
        <w:ind w:left="567"/>
      </w:pPr>
      <w:r>
        <w:rPr>
          <w:rFonts w:ascii="Arial" w:hAnsi="Arial"/>
          <w:b w:val="0"/>
          <w:i w:val="0"/>
          <w:color w:val="2D2D2D"/>
          <w:sz w:val="20"/>
        </w:rPr>
        <w:t>Update to the relevant project procedure, work instruction, or management plan where the change requires a documented control revision</w:t>
      </w:r>
    </w:p>
    <w:p>
      <w:pPr>
        <w:pStyle w:val="ListBullet"/>
        <w:spacing w:before="40" w:after="40"/>
        <w:ind w:left="567"/>
      </w:pPr>
      <w:r>
        <w:rPr>
          <w:rFonts w:ascii="Arial" w:hAnsi="Arial"/>
          <w:b w:val="0"/>
          <w:i w:val="0"/>
          <w:color w:val="C55A11"/>
          <w:sz w:val="20"/>
        </w:rPr>
        <w:t>HSESC Manager presentation at the monthly project leadership meeting for changes with broad project-wide compliance implications</w:t>
      </w:r>
    </w:p>
    <w:p>
      <w:pPr>
        <w:pStyle w:val="ListBullet"/>
        <w:spacing w:before="40" w:after="40"/>
        <w:ind w:left="567"/>
      </w:pPr>
      <w:r>
        <w:rPr>
          <w:rFonts w:ascii="Arial" w:hAnsi="Arial"/>
          <w:b w:val="0"/>
          <w:i w:val="0"/>
          <w:color w:val="C55A11"/>
          <w:sz w:val="20"/>
        </w:rPr>
        <w:t>Formal management of change process initiated where the legislative change requires a revision to project design, scope, or method of work</w:t>
      </w:r>
    </w:p>
    <w:p>
      <w:pPr>
        <w:spacing w:before="60" w:after="120"/>
      </w:pPr>
      <w:r>
        <w:rPr>
          <w:rFonts w:ascii="Arial" w:hAnsi="Arial"/>
          <w:b w:val="0"/>
          <w:i w:val="0"/>
          <w:color w:val="2D2D2D"/>
          <w:sz w:val="20"/>
        </w:rPr>
        <w:t>Workers have access to information about the legal and regulatory requirements applicable to their work, including their rights under applicable health and safety law. The HSESC Manager ensures a summary of applicable worker rights and key OHS legislative obligations is available to all workers at site, in plain language and, where practicable, in languages relevant to the project workforce.</w:t>
      </w:r>
    </w:p>
    <w:p>
      <w:pPr>
        <w:spacing w:before="60" w:after="120"/>
      </w:pPr>
      <w:r>
        <w:rPr>
          <w:rFonts w:ascii="Arial" w:hAnsi="Arial"/>
          <w:b w:val="0"/>
          <w:i w:val="0"/>
          <w:color w:val="2D2D2D"/>
          <w:sz w:val="20"/>
        </w:rPr>
        <w:t>The project induction for all personnel, including contractors and visitors, includes a summary of the key legal obligations applicable to the project and an explanation of how those obligations are managed through the project management system. The induction content is reviewed and updated at each formal register review cycle to reflect any changes.</w:t>
      </w:r>
    </w:p>
    <w:p>
      <w:pPr>
        <w:spacing w:before="200" w:after="80"/>
      </w:pPr>
      <w:r>
        <w:rPr>
          <w:rFonts w:ascii="Arial" w:hAnsi="Arial"/>
          <w:b/>
          <w:i w:val="0"/>
          <w:color w:val="1F3864"/>
          <w:sz w:val="22"/>
        </w:rPr>
        <w:t>5.2  Contractor Obligations</w:t>
      </w:r>
    </w:p>
    <w:p>
      <w:pPr>
        <w:spacing w:before="60" w:after="120"/>
      </w:pPr>
      <w:r>
        <w:rPr>
          <w:rFonts w:ascii="Arial" w:hAnsi="Arial"/>
          <w:b w:val="0"/>
          <w:i w:val="0"/>
          <w:color w:val="2D2D2D"/>
          <w:sz w:val="20"/>
        </w:rPr>
        <w:t>This subsection defines how legal requirements are communicated to contractor organisations and how contractor compliance is monitored through the project ESMS.</w:t>
      </w:r>
    </w:p>
    <w:p>
      <w:pPr>
        <w:spacing w:before="60" w:after="120"/>
      </w:pPr>
      <w:r>
        <w:rPr>
          <w:rFonts w:ascii="Arial" w:hAnsi="Arial"/>
          <w:b w:val="0"/>
          <w:i w:val="0"/>
          <w:color w:val="2D2D2D"/>
          <w:sz w:val="20"/>
        </w:rPr>
        <w:t>Relevant legal and other requirements are communicated to all contractor organisations performing Work under the project management system through contractual clauses and through the project ESMS. Each contractor agreement includes provisions requiring the contractor to comply with all applicable legislation, permit conditions, and project standards, and to notify the project immediately of any actual or potential regulatory non-compliance arising from their activities.</w:t>
      </w:r>
    </w:p>
    <w:p>
      <w:pPr>
        <w:spacing w:before="60" w:after="120"/>
      </w:pPr>
      <w:r>
        <w:rPr>
          <w:rFonts w:ascii="Arial" w:hAnsi="Arial"/>
          <w:b w:val="0"/>
          <w:i w:val="0"/>
          <w:color w:val="2D2D2D"/>
          <w:sz w:val="20"/>
        </w:rPr>
        <w:t>The HSESC Manager ensures that contractor HSE management plans and associated procedures reflect the legal and other requirements applicable to the contractor's scope of work. Where a contractor's scope involves obligations recorded in the Legal and Other Requirements Register, the relevant register records are shared with the contractor at mobilisation and whenever those records are updated.</w:t>
      </w:r>
    </w:p>
    <w:p>
      <w:pPr>
        <w:spacing w:before="60" w:after="120"/>
      </w:pPr>
      <w:r>
        <w:rPr>
          <w:rFonts w:ascii="Arial" w:hAnsi="Arial"/>
          <w:b w:val="0"/>
          <w:i w:val="0"/>
          <w:color w:val="2D2D2D"/>
          <w:sz w:val="20"/>
        </w:rPr>
        <w:t>Contractor compliance with applicable legal and other requirements is monitored through the project ESMS, including through site inspections, audit activities, and review of contractor HSE performance reports. Where a contractor non-compliance with a legal or other requirement is identified, the non-compliance is escalated in accordance with the escalation matrix in Table 5 and managed through the corrective action process in Section 4.</w:t>
      </w:r>
    </w:p>
    <w:p>
      <w:pPr>
        <w:spacing w:before="60" w:after="120"/>
      </w:pPr>
      <w:r>
        <w:rPr>
          <w:rFonts w:ascii="Arial" w:hAnsi="Arial"/>
          <w:b w:val="0"/>
          <w:i w:val="0"/>
          <w:color w:val="2D2D2D"/>
          <w:sz w:val="20"/>
        </w:rPr>
        <w:t>The following contractual and ESMS mechanisms are used to ensure contractor compliance with legal and other requirements:</w:t>
      </w:r>
    </w:p>
    <w:p>
      <w:pPr>
        <w:pStyle w:val="ListBullet"/>
        <w:spacing w:before="40" w:after="40"/>
        <w:ind w:left="567"/>
      </w:pPr>
      <w:r>
        <w:rPr>
          <w:rFonts w:ascii="Arial" w:hAnsi="Arial"/>
          <w:b w:val="0"/>
          <w:i w:val="0"/>
          <w:color w:val="2D2D2D"/>
          <w:sz w:val="20"/>
        </w:rPr>
        <w:t>Contract clauses requiring compliance with all applicable legislation, regulations, permit conditions, and project standards</w:t>
      </w:r>
    </w:p>
    <w:p>
      <w:pPr>
        <w:pStyle w:val="ListBullet"/>
        <w:spacing w:before="40" w:after="40"/>
        <w:ind w:left="567"/>
      </w:pPr>
      <w:r>
        <w:rPr>
          <w:rFonts w:ascii="Arial" w:hAnsi="Arial"/>
          <w:b w:val="0"/>
          <w:i w:val="0"/>
          <w:color w:val="2D2D2D"/>
          <w:sz w:val="20"/>
        </w:rPr>
        <w:t>Pre-mobilisation HSESC induction that includes communication of all applicable legal obligations relevant to the contractor's scope</w:t>
      </w:r>
    </w:p>
    <w:p>
      <w:pPr>
        <w:pStyle w:val="ListBullet"/>
        <w:spacing w:before="40" w:after="40"/>
        <w:ind w:left="567"/>
      </w:pPr>
      <w:r>
        <w:rPr>
          <w:rFonts w:ascii="Arial" w:hAnsi="Arial"/>
          <w:b w:val="0"/>
          <w:i w:val="0"/>
          <w:color w:val="2D2D2D"/>
          <w:sz w:val="20"/>
        </w:rPr>
        <w:t>Inclusion of contractor activities and obligations within the scope of the Legal and Other Requirements Register</w:t>
      </w:r>
    </w:p>
    <w:p>
      <w:pPr>
        <w:pStyle w:val="ListBullet"/>
        <w:spacing w:before="40" w:after="40"/>
        <w:ind w:left="567"/>
      </w:pPr>
      <w:r>
        <w:rPr>
          <w:rFonts w:ascii="Arial" w:hAnsi="Arial"/>
          <w:b w:val="0"/>
          <w:i w:val="0"/>
          <w:color w:val="2D2D2D"/>
          <w:sz w:val="20"/>
        </w:rPr>
        <w:t>Regular contractor HSE performance reviews that include a standing agenda item on regulatory compliance status</w:t>
      </w:r>
    </w:p>
    <w:p>
      <w:pPr>
        <w:pStyle w:val="ListBullet"/>
        <w:spacing w:before="40" w:after="40"/>
        <w:ind w:left="567"/>
      </w:pPr>
      <w:r>
        <w:rPr>
          <w:rFonts w:ascii="Arial" w:hAnsi="Arial"/>
          <w:b w:val="0"/>
          <w:i w:val="0"/>
          <w:color w:val="C55A11"/>
          <w:sz w:val="20"/>
        </w:rPr>
        <w:t>Periodic audit of contractor HSE management plans against applicable legal requirements, conducted by the project HSESC team at a frequency determined by the contractor's risk profile and scope</w:t>
      </w:r>
    </w:p>
    <w:p>
      <w:pPr>
        <w:spacing w:before="60" w:after="120"/>
      </w:pPr>
      <w:r>
        <w:rPr>
          <w:rFonts w:ascii="Arial" w:hAnsi="Arial"/>
          <w:b w:val="0"/>
          <w:i w:val="0"/>
          <w:color w:val="2D2D2D"/>
          <w:sz w:val="20"/>
        </w:rPr>
        <w:t>Contractor organisations are required to communicate applicable legal requirements to their own sub-contractors and workforce. The prime contractor is accountable for the compliance of their sub-contractors with all obligations applicable to the work scope.</w:t>
      </w:r>
    </w:p>
    <w:p>
      <w:pPr>
        <w:spacing w:before="360" w:after="120"/>
        <w:pBdr>
          <w:bottom w:val="single" w:sz="6" w:space="4" w:color="2E75B6"/>
        </w:pBdr>
      </w:pPr>
      <w:r>
        <w:rPr>
          <w:rFonts w:ascii="Arial" w:hAnsi="Arial"/>
          <w:b/>
          <w:i w:val="0"/>
          <w:color w:val="1F3864"/>
          <w:sz w:val="26"/>
        </w:rPr>
        <w:t>6  Non-Compliance Management</w:t>
      </w:r>
    </w:p>
    <w:p>
      <w:pPr>
        <w:spacing w:before="60" w:after="120"/>
      </w:pPr>
      <w:r>
        <w:rPr>
          <w:rFonts w:ascii="Arial" w:hAnsi="Arial"/>
          <w:b w:val="0"/>
          <w:i w:val="0"/>
          <w:color w:val="2D2D2D"/>
          <w:sz w:val="20"/>
        </w:rPr>
        <w:t>This section defines the process for reporting, recording, and resolving regulatory non-compliances, government notices, and enforcement actions, and ensures all identified non-compliances are tracked through to verified closeout.</w:t>
      </w:r>
    </w:p>
    <w:p>
      <w:pPr>
        <w:spacing w:before="200" w:after="80"/>
      </w:pPr>
      <w:r>
        <w:rPr>
          <w:rFonts w:ascii="Arial" w:hAnsi="Arial"/>
          <w:b/>
          <w:i w:val="0"/>
          <w:color w:val="1F3864"/>
          <w:sz w:val="22"/>
        </w:rPr>
        <w:t>6.1  Reporting Requirements</w:t>
      </w:r>
    </w:p>
    <w:p>
      <w:pPr>
        <w:spacing w:before="60" w:after="120"/>
      </w:pPr>
      <w:r>
        <w:rPr>
          <w:rFonts w:ascii="Arial" w:hAnsi="Arial"/>
          <w:b w:val="0"/>
          <w:i w:val="0"/>
          <w:color w:val="2D2D2D"/>
          <w:sz w:val="20"/>
        </w:rPr>
        <w:t>This subsection defines the reporting obligations for all regulatory non-compliances, government notices, and enforcement actions identified on the project.</w:t>
      </w:r>
    </w:p>
    <w:p>
      <w:pPr>
        <w:spacing w:before="60" w:after="120"/>
      </w:pPr>
      <w:r>
        <w:rPr>
          <w:rFonts w:ascii="Arial" w:hAnsi="Arial"/>
          <w:b w:val="0"/>
          <w:i w:val="0"/>
          <w:color w:val="2D2D2D"/>
          <w:sz w:val="20"/>
        </w:rPr>
        <w:t>All regulatory non-compliances, government notices, improvement notices, prohibition notices, infringement notices, and enforcement actions must be reported promptly to the project leadership team and to the relevant Rio Tinto corporate function. Prompt reporting means within the timeframes defined in the escalation matrix in Table 5, and in no case later than 24 hours after the non-compliance or notice is identified or received.</w:t>
      </w:r>
    </w:p>
    <w:p>
      <w:pPr>
        <w:spacing w:before="60" w:after="120"/>
      </w:pPr>
      <w:r>
        <w:rPr>
          <w:rFonts w:ascii="Arial" w:hAnsi="Arial"/>
          <w:b w:val="0"/>
          <w:i w:val="0"/>
          <w:color w:val="2D2D2D"/>
          <w:sz w:val="20"/>
        </w:rPr>
        <w:t>Any person who identifies a regulatory non-compliance or receives a government notice or enforcement action is responsible for immediately notifying their supervisor and the HSESC Manager. The HSESC Manager is responsible for ensuring the matter is escalated in accordance with Table 5 and that no regulatory notification deadline is missed while the internal notification process is in progress.</w:t>
      </w:r>
    </w:p>
    <w:p>
      <w:pPr>
        <w:spacing w:before="60" w:after="120"/>
      </w:pPr>
      <w:r>
        <w:rPr>
          <w:rFonts w:ascii="Arial" w:hAnsi="Arial"/>
          <w:b w:val="0"/>
          <w:i w:val="0"/>
          <w:color w:val="2D2D2D"/>
          <w:sz w:val="20"/>
        </w:rPr>
        <w:t>All Level 2 and Level 3 non-compliance events are reported as incidents in the project incident management system. Report all regulatory non-compliance incidents and enforcement actions per the project incident classification and notification requirements, refer RTPR-HSE-PRO-0009 — Incident Management.</w:t>
      </w:r>
    </w:p>
    <w:p>
      <w:pPr>
        <w:spacing w:before="200" w:after="80"/>
      </w:pPr>
      <w:r>
        <w:rPr>
          <w:rFonts w:ascii="Arial" w:hAnsi="Arial"/>
          <w:b/>
          <w:i w:val="0"/>
          <w:color w:val="1F3864"/>
          <w:sz w:val="22"/>
        </w:rPr>
        <w:t>6.2  Corrective Action Process</w:t>
      </w:r>
    </w:p>
    <w:p>
      <w:pPr>
        <w:spacing w:before="60" w:after="120"/>
      </w:pPr>
      <w:r>
        <w:rPr>
          <w:rFonts w:ascii="Arial" w:hAnsi="Arial"/>
          <w:b w:val="0"/>
          <w:i w:val="0"/>
          <w:color w:val="2D2D2D"/>
          <w:sz w:val="20"/>
        </w:rPr>
        <w:t>This subsection defines the corrective action requirements triggered by any identified non-compliance with applicable laws, regulations, or permit conditions.</w:t>
      </w:r>
    </w:p>
    <w:p>
      <w:pPr>
        <w:spacing w:before="60" w:after="120"/>
      </w:pPr>
      <w:r>
        <w:rPr>
          <w:rFonts w:ascii="Arial" w:hAnsi="Arial"/>
          <w:b w:val="0"/>
          <w:i w:val="0"/>
          <w:color w:val="2D2D2D"/>
          <w:sz w:val="20"/>
        </w:rPr>
        <w:t>Any identified non-compliance with applicable laws, regulations, permit conditions, or other requirements triggers a corrective action process. The corrective action is documented in the project action tracking system with a defined closeout date, an assigned owner, and a description of the root cause and corrective measures to be implemented. The Register Owner reviews and approves the corrective action plan for all Level 2 and Level 3 events.</w:t>
      </w:r>
    </w:p>
    <w:p>
      <w:pPr>
        <w:spacing w:before="60" w:after="120"/>
      </w:pPr>
      <w:r>
        <w:rPr>
          <w:rFonts w:ascii="Arial" w:hAnsi="Arial"/>
          <w:b w:val="0"/>
          <w:i w:val="0"/>
          <w:color w:val="2D2D2D"/>
          <w:sz w:val="20"/>
        </w:rPr>
        <w:t>The corrective action process addresses the immediate non-compliance, the root cause, and any systemic issues that may affect compliance with related obligations. Where the non-compliance identifies a gap in the Legal and Other Requirements Register — including a missing obligation, an inaccurate compliance status, or an ineffective control — the HSESC Manager updates the register as part of the corrective action.</w:t>
      </w:r>
    </w:p>
    <w:p>
      <w:pPr>
        <w:spacing w:before="60" w:after="120"/>
      </w:pPr>
      <w:r>
        <w:rPr>
          <w:rFonts w:ascii="Arial" w:hAnsi="Arial"/>
          <w:b w:val="0"/>
          <w:i w:val="0"/>
          <w:color w:val="2D2D2D"/>
          <w:sz w:val="20"/>
        </w:rPr>
        <w:t>Table 6: Corrective Action Requirements by Escalation Level</w:t>
      </w:r>
    </w:p>
    <w:tbl>
      <w:tblPr>
        <w:tblStyle w:val="TableGrid"/>
        <w:tblW w:type="auto" w:w="0"/>
        <w:tblLook w:firstColumn="1" w:firstRow="1" w:lastColumn="0" w:lastRow="0" w:noHBand="0" w:noVBand="1" w:val="04A0"/>
      </w:tblPr>
      <w:tblGrid>
        <w:gridCol w:w="2256"/>
        <w:gridCol w:w="2256"/>
        <w:gridCol w:w="2256"/>
        <w:gridCol w:w="2256"/>
      </w:tblGrid>
      <w:tr>
        <w:tc>
          <w:tcPr>
            <w:tcW w:type="dxa" w:w="2268"/>
            <w:shd w:val="clear" w:color="auto" w:fill="1F3864"/>
          </w:tcPr>
          <w:p>
            <w:r>
              <w:rPr>
                <w:rFonts w:ascii="Arial" w:hAnsi="Arial"/>
                <w:b/>
                <w:i w:val="0"/>
                <w:color w:val="FFFFFF"/>
                <w:sz w:val="18"/>
              </w:rPr>
              <w:t>Escalation Level</w:t>
            </w:r>
          </w:p>
        </w:tc>
        <w:tc>
          <w:tcPr>
            <w:tcW w:type="dxa" w:w="2268"/>
            <w:shd w:val="clear" w:color="auto" w:fill="1F3864"/>
          </w:tcPr>
          <w:p>
            <w:r>
              <w:rPr>
                <w:rFonts w:ascii="Arial" w:hAnsi="Arial"/>
                <w:b/>
                <w:i w:val="0"/>
                <w:color w:val="FFFFFF"/>
                <w:sz w:val="18"/>
              </w:rPr>
              <w:t>Corrective Action Requirement</w:t>
            </w:r>
          </w:p>
        </w:tc>
        <w:tc>
          <w:tcPr>
            <w:tcW w:type="dxa" w:w="2268"/>
            <w:shd w:val="clear" w:color="auto" w:fill="1F3864"/>
          </w:tcPr>
          <w:p>
            <w:r>
              <w:rPr>
                <w:rFonts w:ascii="Arial" w:hAnsi="Arial"/>
                <w:b/>
                <w:i w:val="0"/>
                <w:color w:val="FFFFFF"/>
                <w:sz w:val="18"/>
              </w:rPr>
              <w:t>Action Tracking</w:t>
            </w:r>
          </w:p>
        </w:tc>
        <w:tc>
          <w:tcPr>
            <w:tcW w:type="dxa" w:w="2268"/>
            <w:shd w:val="clear" w:color="auto" w:fill="1F3864"/>
          </w:tcPr>
          <w:p>
            <w:r>
              <w:rPr>
                <w:rFonts w:ascii="Arial" w:hAnsi="Arial"/>
                <w:b/>
                <w:i w:val="0"/>
                <w:color w:val="FFFFFF"/>
                <w:sz w:val="18"/>
              </w:rPr>
              <w:t>Closeout Verification</w:t>
            </w:r>
          </w:p>
        </w:tc>
      </w:tr>
      <w:tr>
        <w:tc>
          <w:tcPr>
            <w:tcW w:type="dxa" w:w="2268"/>
          </w:tcPr>
          <w:p>
            <w:r>
              <w:rPr>
                <w:rFonts w:ascii="Arial" w:hAnsi="Arial"/>
                <w:b w:val="0"/>
                <w:i w:val="0"/>
                <w:color w:val="2D2D2D"/>
                <w:sz w:val="18"/>
              </w:rPr>
              <w:t>Level 1 — Minor Administrative Non-Conformance</w:t>
            </w:r>
          </w:p>
        </w:tc>
        <w:tc>
          <w:tcPr>
            <w:tcW w:type="dxa" w:w="2268"/>
          </w:tcPr>
          <w:p>
            <w:r>
              <w:rPr>
                <w:rFonts w:ascii="Arial" w:hAnsi="Arial"/>
                <w:b w:val="0"/>
                <w:i w:val="0"/>
                <w:color w:val="2D2D2D"/>
                <w:sz w:val="18"/>
              </w:rPr>
              <w:t>Root cause analysis completed; corrective action raised in action tracking system; register updated where required; preventive measures identified</w:t>
            </w:r>
          </w:p>
        </w:tc>
        <w:tc>
          <w:tcPr>
            <w:tcW w:type="dxa" w:w="2268"/>
          </w:tcPr>
          <w:p>
            <w:r>
              <w:rPr>
                <w:rFonts w:ascii="Arial" w:hAnsi="Arial"/>
                <w:b w:val="0"/>
                <w:i w:val="0"/>
                <w:color w:val="2D2D2D"/>
                <w:sz w:val="18"/>
              </w:rPr>
              <w:t>Recorded in project action tracking system; assigned to HSESC Manager or nominated role; closeout within 20 business days</w:t>
            </w:r>
          </w:p>
        </w:tc>
        <w:tc>
          <w:tcPr>
            <w:tcW w:type="dxa" w:w="2268"/>
          </w:tcPr>
          <w:p>
            <w:r>
              <w:rPr>
                <w:rFonts w:ascii="Arial" w:hAnsi="Arial"/>
                <w:b w:val="0"/>
                <w:i w:val="0"/>
                <w:color w:val="2D2D2D"/>
                <w:sz w:val="18"/>
              </w:rPr>
              <w:t>HSESC Manager confirms closeout; Register Owner endorses register update at next formal review</w:t>
            </w:r>
          </w:p>
        </w:tc>
      </w:tr>
      <w:tr>
        <w:tc>
          <w:tcPr>
            <w:tcW w:type="dxa" w:w="2268"/>
          </w:tcPr>
          <w:p>
            <w:r>
              <w:rPr>
                <w:rFonts w:ascii="Arial" w:hAnsi="Arial"/>
                <w:b w:val="0"/>
                <w:i w:val="0"/>
                <w:color w:val="2D2D2D"/>
                <w:sz w:val="18"/>
              </w:rPr>
              <w:t>Level 2 — Reportable Breach</w:t>
            </w:r>
          </w:p>
        </w:tc>
        <w:tc>
          <w:tcPr>
            <w:tcW w:type="dxa" w:w="2268"/>
          </w:tcPr>
          <w:p>
            <w:r>
              <w:rPr>
                <w:rFonts w:ascii="Arial" w:hAnsi="Arial"/>
                <w:b w:val="0"/>
                <w:i w:val="0"/>
                <w:color w:val="2D2D2D"/>
                <w:sz w:val="18"/>
              </w:rPr>
              <w:t>Formal root cause analysis completed; corrective action plan prepared and approved by Register Owner; regulator notification submitted if required; register updated; affected procedures reviewed and revised</w:t>
            </w:r>
          </w:p>
        </w:tc>
        <w:tc>
          <w:tcPr>
            <w:tcW w:type="dxa" w:w="2268"/>
          </w:tcPr>
          <w:p>
            <w:r>
              <w:rPr>
                <w:rFonts w:ascii="Arial" w:hAnsi="Arial"/>
                <w:b w:val="0"/>
                <w:i w:val="0"/>
                <w:color w:val="2D2D2D"/>
                <w:sz w:val="18"/>
              </w:rPr>
              <w:t>Recorded in project action tracking system and incident management system; assigned owner nominated by Project Director; closeout date set at time of investigation</w:t>
            </w:r>
          </w:p>
        </w:tc>
        <w:tc>
          <w:tcPr>
            <w:tcW w:type="dxa" w:w="2268"/>
          </w:tcPr>
          <w:p>
            <w:r>
              <w:rPr>
                <w:rFonts w:ascii="Arial" w:hAnsi="Arial"/>
                <w:b w:val="0"/>
                <w:i w:val="0"/>
                <w:color w:val="2D2D2D"/>
                <w:sz w:val="18"/>
              </w:rPr>
              <w:t>Register Owner and Project Director confirm closeout; evidence of corrective action retained; regulator notified of corrective actions taken if required</w:t>
            </w:r>
          </w:p>
        </w:tc>
      </w:tr>
      <w:tr>
        <w:tc>
          <w:tcPr>
            <w:tcW w:type="dxa" w:w="2268"/>
          </w:tcPr>
          <w:p>
            <w:r>
              <w:rPr>
                <w:rFonts w:ascii="Arial" w:hAnsi="Arial"/>
                <w:b w:val="0"/>
                <w:i w:val="0"/>
                <w:color w:val="2D2D2D"/>
                <w:sz w:val="18"/>
              </w:rPr>
              <w:t>Level 3 — Enforcement Action</w:t>
            </w:r>
          </w:p>
        </w:tc>
        <w:tc>
          <w:tcPr>
            <w:tcW w:type="dxa" w:w="2268"/>
          </w:tcPr>
          <w:p>
            <w:r>
              <w:rPr>
                <w:rFonts w:ascii="Arial" w:hAnsi="Arial"/>
                <w:b w:val="0"/>
                <w:i w:val="0"/>
                <w:color w:val="2D2D2D"/>
                <w:sz w:val="18"/>
              </w:rPr>
              <w:t>Legal counsel engaged; formal response to enforcement authority prepared; root cause analysis completed; corrective action plan approved by Project Director; register and relevant procedures updated; lessons learned communicated to project</w:t>
            </w:r>
          </w:p>
        </w:tc>
        <w:tc>
          <w:tcPr>
            <w:tcW w:type="dxa" w:w="2268"/>
          </w:tcPr>
          <w:p>
            <w:r>
              <w:rPr>
                <w:rFonts w:ascii="Arial" w:hAnsi="Arial"/>
                <w:b w:val="0"/>
                <w:i w:val="0"/>
                <w:color w:val="2D2D2D"/>
                <w:sz w:val="18"/>
              </w:rPr>
              <w:t>Recorded in project action tracking system and incident management system; assigned owner nominated by Project Director; closeout date aligned to enforcement notice requirements</w:t>
            </w:r>
          </w:p>
        </w:tc>
        <w:tc>
          <w:tcPr>
            <w:tcW w:type="dxa" w:w="2268"/>
          </w:tcPr>
          <w:p>
            <w:r>
              <w:rPr>
                <w:rFonts w:ascii="Arial" w:hAnsi="Arial"/>
                <w:b w:val="0"/>
                <w:i w:val="0"/>
                <w:color w:val="2D2D2D"/>
                <w:sz w:val="18"/>
              </w:rPr>
              <w:t>Project Director and Rio Tinto corporate function confirm closeout; regulator notified of corrective actions taken; formal closeout letter or equivalent obtained from regulator where applicable</w:t>
            </w:r>
          </w:p>
        </w:tc>
      </w:tr>
    </w:tbl>
    <w:p/>
    <w:p>
      <w:pPr>
        <w:spacing w:before="60" w:after="120"/>
      </w:pPr>
      <w:r>
        <w:rPr>
          <w:rFonts w:ascii="Arial" w:hAnsi="Arial"/>
          <w:b w:val="0"/>
          <w:i w:val="0"/>
          <w:color w:val="2D2D2D"/>
          <w:sz w:val="20"/>
        </w:rPr>
        <w:t>The HSESC Manager reports the status of all open corrective actions arising from non-compliance events at the monthly project HSESC performance review. Overdue corrective actions are escalated to the Register Owner and Project Director at the point they become overdue. No corrective action is closed without verified evidence that the required action has been completed.</w:t>
      </w:r>
    </w:p>
    <w:p>
      <w:pPr>
        <w:spacing w:before="60" w:after="120"/>
      </w:pPr>
      <w:r>
        <w:rPr>
          <w:rFonts w:ascii="Arial" w:hAnsi="Arial"/>
          <w:b w:val="0"/>
          <w:i w:val="0"/>
          <w:color w:val="2D2D2D"/>
          <w:sz w:val="20"/>
        </w:rPr>
        <w:t>Where a non-compliance event reveals that the Legal and Other Requirements Register does not capture an applicable obligation, the HSESC Manager adds the obligation to the register within 5 business days of the non-compliance being identified, and notifies the Register Owner. The HSESC Manager also reviews adjacent register records to confirm no similar gap exists for related obligations.</w:t>
      </w:r>
    </w:p>
    <w:p>
      <w:pPr>
        <w:spacing w:before="360" w:after="120"/>
        <w:pBdr>
          <w:bottom w:val="single" w:sz="6" w:space="4" w:color="2E75B6"/>
        </w:pBdr>
      </w:pPr>
      <w:r>
        <w:rPr>
          <w:rFonts w:ascii="Arial" w:hAnsi="Arial"/>
          <w:b/>
          <w:i w:val="0"/>
          <w:color w:val="1F3864"/>
          <w:sz w:val="26"/>
        </w:rPr>
        <w:t>7  Definitions and Acronyms</w:t>
      </w:r>
    </w:p>
    <w:p>
      <w:pPr>
        <w:spacing w:before="60" w:after="120"/>
      </w:pPr>
      <w:r>
        <w:rPr>
          <w:rFonts w:ascii="Arial" w:hAnsi="Arial"/>
          <w:b w:val="0"/>
          <w:i w:val="0"/>
          <w:color w:val="2D2D2D"/>
          <w:sz w:val="20"/>
        </w:rPr>
        <w:t>The following terms are used throughout this procedure. Where a term is also used in other project HSESC procedures, the definition below applies consistently across the system.</w:t>
      </w:r>
    </w:p>
    <w:tbl>
      <w:tblPr>
        <w:tblStyle w:val="TableGrid"/>
        <w:tblW w:type="auto" w:w="0"/>
        <w:tblLook w:firstColumn="1" w:firstRow="1" w:lastColumn="0" w:lastRow="0" w:noHBand="0" w:noVBand="1" w:val="04A0"/>
      </w:tblPr>
      <w:tblGrid>
        <w:gridCol w:w="4513"/>
        <w:gridCol w:w="4513"/>
      </w:tblGrid>
      <w:tr>
        <w:tc>
          <w:tcPr>
            <w:tcW w:type="dxa" w:w="2268"/>
            <w:shd w:val="clear" w:color="auto" w:fill="1F3864"/>
          </w:tcPr>
          <w:p>
            <w:r>
              <w:rPr>
                <w:rFonts w:ascii="Arial" w:hAnsi="Arial"/>
                <w:b/>
                <w:i w:val="0"/>
                <w:color w:val="FFFFFF"/>
                <w:sz w:val="18"/>
              </w:rPr>
              <w:t>Term</w:t>
            </w:r>
          </w:p>
        </w:tc>
        <w:tc>
          <w:tcPr>
            <w:tcW w:type="dxa" w:w="6803"/>
            <w:shd w:val="clear" w:color="auto" w:fill="1F3864"/>
          </w:tcPr>
          <w:p>
            <w:r>
              <w:rPr>
                <w:rFonts w:ascii="Arial" w:hAnsi="Arial"/>
                <w:b/>
                <w:i w:val="0"/>
                <w:color w:val="FFFFFF"/>
                <w:sz w:val="18"/>
              </w:rPr>
              <w:t>Definition</w:t>
            </w:r>
          </w:p>
        </w:tc>
      </w:tr>
      <w:tr>
        <w:tc>
          <w:tcPr>
            <w:tcW w:type="dxa" w:w="4513"/>
          </w:tcPr>
          <w:p>
            <w:r>
              <w:rPr>
                <w:rFonts w:ascii="Arial" w:hAnsi="Arial"/>
                <w:b/>
                <w:i w:val="0"/>
                <w:color w:val="2D2D2D"/>
                <w:sz w:val="18"/>
              </w:rPr>
              <w:t>ALARP</w:t>
            </w:r>
          </w:p>
        </w:tc>
        <w:tc>
          <w:tcPr>
            <w:tcW w:type="dxa" w:w="4513"/>
          </w:tcPr>
          <w:p>
            <w:r>
              <w:rPr>
                <w:rFonts w:ascii="Arial" w:hAnsi="Arial"/>
                <w:b w:val="0"/>
                <w:i w:val="0"/>
                <w:color w:val="2D2D2D"/>
                <w:sz w:val="18"/>
              </w:rPr>
              <w:t>As Low As Reasonably Practicable — a principle requiring that residual risk be reduced to the lowest level achievable without the cost or effort being grossly disproportionate to the benefit gained.</w:t>
            </w:r>
          </w:p>
        </w:tc>
      </w:tr>
      <w:tr>
        <w:tc>
          <w:tcPr>
            <w:tcW w:type="dxa" w:w="4513"/>
          </w:tcPr>
          <w:p>
            <w:r>
              <w:rPr>
                <w:rFonts w:ascii="Arial" w:hAnsi="Arial"/>
                <w:b/>
                <w:i w:val="0"/>
                <w:color w:val="2D2D2D"/>
                <w:sz w:val="18"/>
              </w:rPr>
              <w:t>Competent Authority</w:t>
            </w:r>
          </w:p>
        </w:tc>
        <w:tc>
          <w:tcPr>
            <w:tcW w:type="dxa" w:w="4513"/>
          </w:tcPr>
          <w:p>
            <w:r>
              <w:rPr>
                <w:rFonts w:ascii="Arial" w:hAnsi="Arial"/>
                <w:b w:val="0"/>
                <w:i w:val="0"/>
                <w:color w:val="2D2D2D"/>
                <w:sz w:val="18"/>
              </w:rPr>
              <w:t>A government body, regulator, or statutory agency with legal jurisdiction over activities conducted on the project site, including the power to inspect, enforce, and prosecute.</w:t>
            </w:r>
          </w:p>
        </w:tc>
      </w:tr>
      <w:tr>
        <w:tc>
          <w:tcPr>
            <w:tcW w:type="dxa" w:w="4513"/>
          </w:tcPr>
          <w:p>
            <w:r>
              <w:rPr>
                <w:rFonts w:ascii="Arial" w:hAnsi="Arial"/>
                <w:b/>
                <w:i w:val="0"/>
                <w:color w:val="2D2D2D"/>
                <w:sz w:val="18"/>
              </w:rPr>
              <w:t>Compliance Obligation</w:t>
            </w:r>
          </w:p>
        </w:tc>
        <w:tc>
          <w:tcPr>
            <w:tcW w:type="dxa" w:w="4513"/>
          </w:tcPr>
          <w:p>
            <w:r>
              <w:rPr>
                <w:rFonts w:ascii="Arial" w:hAnsi="Arial"/>
                <w:b w:val="0"/>
                <w:i w:val="0"/>
                <w:color w:val="2D2D2D"/>
                <w:sz w:val="18"/>
              </w:rPr>
              <w:t>Any legally binding requirement (e.g., legislation, regulation, permit, licence, consent, or court order) or voluntary commitment (e.g., standards, codes, agreements) that applies to the project and its operations.</w:t>
            </w:r>
          </w:p>
        </w:tc>
      </w:tr>
      <w:tr>
        <w:tc>
          <w:tcPr>
            <w:tcW w:type="dxa" w:w="4513"/>
          </w:tcPr>
          <w:p>
            <w:r>
              <w:rPr>
                <w:rFonts w:ascii="Arial" w:hAnsi="Arial"/>
                <w:b/>
                <w:i w:val="0"/>
                <w:color w:val="2D2D2D"/>
                <w:sz w:val="18"/>
              </w:rPr>
              <w:t>Contractor</w:t>
            </w:r>
          </w:p>
        </w:tc>
        <w:tc>
          <w:tcPr>
            <w:tcW w:type="dxa" w:w="4513"/>
          </w:tcPr>
          <w:p>
            <w:r>
              <w:rPr>
                <w:rFonts w:ascii="Arial" w:hAnsi="Arial"/>
                <w:b w:val="0"/>
                <w:i w:val="0"/>
                <w:color w:val="2D2D2D"/>
                <w:sz w:val="18"/>
              </w:rPr>
              <w:t>Any entity engaged by Rio Tinto under a contract to perform works or services on the project site, including subcontractors at all tiers.</w:t>
            </w:r>
          </w:p>
        </w:tc>
      </w:tr>
      <w:tr>
        <w:tc>
          <w:tcPr>
            <w:tcW w:type="dxa" w:w="4513"/>
          </w:tcPr>
          <w:p>
            <w:r>
              <w:rPr>
                <w:rFonts w:ascii="Arial" w:hAnsi="Arial"/>
                <w:b/>
                <w:i w:val="0"/>
                <w:color w:val="2D2D2D"/>
                <w:sz w:val="18"/>
              </w:rPr>
              <w:t>HSESC</w:t>
            </w:r>
          </w:p>
        </w:tc>
        <w:tc>
          <w:tcPr>
            <w:tcW w:type="dxa" w:w="4513"/>
          </w:tcPr>
          <w:p>
            <w:r>
              <w:rPr>
                <w:rFonts w:ascii="Arial" w:hAnsi="Arial"/>
                <w:b w:val="0"/>
                <w:i w:val="0"/>
                <w:color w:val="2D2D2D"/>
                <w:sz w:val="18"/>
              </w:rPr>
              <w:t>Health, Safety, Environment, and Social and Community — the integrated discipline framework governing all health, safety, environmental, and community risk and compliance activities on Rio Tinto owner-led projects.</w:t>
            </w:r>
          </w:p>
        </w:tc>
      </w:tr>
      <w:tr>
        <w:tc>
          <w:tcPr>
            <w:tcW w:type="dxa" w:w="4513"/>
          </w:tcPr>
          <w:p>
            <w:r>
              <w:rPr>
                <w:rFonts w:ascii="Arial" w:hAnsi="Arial"/>
                <w:b/>
                <w:i w:val="0"/>
                <w:color w:val="2D2D2D"/>
                <w:sz w:val="18"/>
              </w:rPr>
              <w:t>IFC</w:t>
            </w:r>
          </w:p>
        </w:tc>
        <w:tc>
          <w:tcPr>
            <w:tcW w:type="dxa" w:w="4513"/>
          </w:tcPr>
          <w:p>
            <w:r>
              <w:rPr>
                <w:rFonts w:ascii="Arial" w:hAnsi="Arial"/>
                <w:b w:val="0"/>
                <w:i w:val="0"/>
                <w:color w:val="2D2D2D"/>
                <w:sz w:val="18"/>
              </w:rPr>
              <w:t>International Finance Corporation — the private-sector arm of the World Bank Group, whose Performance Standards establish internationally recognised environmental and social risk management benchmarks.</w:t>
            </w:r>
          </w:p>
        </w:tc>
      </w:tr>
      <w:tr>
        <w:tc>
          <w:tcPr>
            <w:tcW w:type="dxa" w:w="4513"/>
          </w:tcPr>
          <w:p>
            <w:r>
              <w:rPr>
                <w:rFonts w:ascii="Arial" w:hAnsi="Arial"/>
                <w:b/>
                <w:i w:val="0"/>
                <w:color w:val="2D2D2D"/>
                <w:sz w:val="18"/>
              </w:rPr>
              <w:t>ICMM</w:t>
            </w:r>
          </w:p>
        </w:tc>
        <w:tc>
          <w:tcPr>
            <w:tcW w:type="dxa" w:w="4513"/>
          </w:tcPr>
          <w:p>
            <w:r>
              <w:rPr>
                <w:rFonts w:ascii="Arial" w:hAnsi="Arial"/>
                <w:b w:val="0"/>
                <w:i w:val="0"/>
                <w:color w:val="2D2D2D"/>
                <w:sz w:val="18"/>
              </w:rPr>
              <w:t>International Council on Mining and Metals — an industry body whose Mining Principles and supporting guidance set sustainability and responsible-practice expectations for member companies, including Rio Tinto.</w:t>
            </w:r>
          </w:p>
        </w:tc>
      </w:tr>
      <w:tr>
        <w:tc>
          <w:tcPr>
            <w:tcW w:type="dxa" w:w="4513"/>
          </w:tcPr>
          <w:p>
            <w:r>
              <w:rPr>
                <w:rFonts w:ascii="Arial" w:hAnsi="Arial"/>
                <w:b/>
                <w:i w:val="0"/>
                <w:color w:val="2D2D2D"/>
                <w:sz w:val="18"/>
              </w:rPr>
              <w:t>JHA</w:t>
            </w:r>
          </w:p>
        </w:tc>
        <w:tc>
          <w:tcPr>
            <w:tcW w:type="dxa" w:w="4513"/>
          </w:tcPr>
          <w:p>
            <w:r>
              <w:rPr>
                <w:rFonts w:ascii="Arial" w:hAnsi="Arial"/>
                <w:b w:val="0"/>
                <w:i w:val="0"/>
                <w:color w:val="2D2D2D"/>
                <w:sz w:val="18"/>
              </w:rPr>
              <w:t>Job Hazard Analysis — a systematic technique for identifying hazards associated with specific tasks and determining appropriate controls before work commences.</w:t>
            </w:r>
          </w:p>
        </w:tc>
      </w:tr>
      <w:tr>
        <w:tc>
          <w:tcPr>
            <w:tcW w:type="dxa" w:w="4513"/>
          </w:tcPr>
          <w:p>
            <w:r>
              <w:rPr>
                <w:rFonts w:ascii="Arial" w:hAnsi="Arial"/>
                <w:b/>
                <w:i w:val="0"/>
                <w:color w:val="2D2D2D"/>
                <w:sz w:val="18"/>
              </w:rPr>
              <w:t>Legal Register</w:t>
            </w:r>
          </w:p>
        </w:tc>
        <w:tc>
          <w:tcPr>
            <w:tcW w:type="dxa" w:w="4513"/>
          </w:tcPr>
          <w:p>
            <w:r>
              <w:rPr>
                <w:rFonts w:ascii="Arial" w:hAnsi="Arial"/>
                <w:b w:val="0"/>
                <w:i w:val="0"/>
                <w:color w:val="2D2D2D"/>
                <w:sz w:val="18"/>
              </w:rPr>
              <w:t>A controlled document that identifies, records, and tracks all applicable legal and other requirements relevant to the project, including the compliance status and responsible owner for each obligation.</w:t>
            </w:r>
          </w:p>
        </w:tc>
      </w:tr>
      <w:tr>
        <w:tc>
          <w:tcPr>
            <w:tcW w:type="dxa" w:w="4513"/>
          </w:tcPr>
          <w:p>
            <w:r>
              <w:rPr>
                <w:rFonts w:ascii="Arial" w:hAnsi="Arial"/>
                <w:b/>
                <w:i w:val="0"/>
                <w:color w:val="2D2D2D"/>
                <w:sz w:val="18"/>
              </w:rPr>
              <w:t>MoC</w:t>
            </w:r>
          </w:p>
        </w:tc>
        <w:tc>
          <w:tcPr>
            <w:tcW w:type="dxa" w:w="4513"/>
          </w:tcPr>
          <w:p>
            <w:r>
              <w:rPr>
                <w:rFonts w:ascii="Arial" w:hAnsi="Arial"/>
                <w:b w:val="0"/>
                <w:i w:val="0"/>
                <w:color w:val="2D2D2D"/>
                <w:sz w:val="18"/>
              </w:rPr>
              <w:t>Management of Change — a structured process for identifying, assessing, approving, and communicating changes to scope, design, personnel, processes, or materials that may affect HSESC risk or compliance status.</w:t>
            </w:r>
          </w:p>
        </w:tc>
      </w:tr>
      <w:tr>
        <w:tc>
          <w:tcPr>
            <w:tcW w:type="dxa" w:w="4513"/>
          </w:tcPr>
          <w:p>
            <w:r>
              <w:rPr>
                <w:rFonts w:ascii="Arial" w:hAnsi="Arial"/>
                <w:b/>
                <w:i w:val="0"/>
                <w:color w:val="2D2D2D"/>
                <w:sz w:val="18"/>
              </w:rPr>
              <w:t>Non-Compliance</w:t>
            </w:r>
          </w:p>
        </w:tc>
        <w:tc>
          <w:tcPr>
            <w:tcW w:type="dxa" w:w="4513"/>
          </w:tcPr>
          <w:p>
            <w:r>
              <w:rPr>
                <w:rFonts w:ascii="Arial" w:hAnsi="Arial"/>
                <w:b w:val="0"/>
                <w:i w:val="0"/>
                <w:color w:val="2D2D2D"/>
                <w:sz w:val="18"/>
              </w:rPr>
              <w:t>A failure to meet a legal requirement, permit condition, regulatory standard, or internal compliance obligation applicable to the project.</w:t>
            </w:r>
          </w:p>
        </w:tc>
      </w:tr>
      <w:tr>
        <w:tc>
          <w:tcPr>
            <w:tcW w:type="dxa" w:w="4513"/>
          </w:tcPr>
          <w:p>
            <w:r>
              <w:rPr>
                <w:rFonts w:ascii="Arial" w:hAnsi="Arial"/>
                <w:b/>
                <w:i w:val="0"/>
                <w:color w:val="2D2D2D"/>
                <w:sz w:val="18"/>
              </w:rPr>
              <w:t>Other Requirements</w:t>
            </w:r>
          </w:p>
        </w:tc>
        <w:tc>
          <w:tcPr>
            <w:tcW w:type="dxa" w:w="4513"/>
          </w:tcPr>
          <w:p>
            <w:r>
              <w:rPr>
                <w:rFonts w:ascii="Arial" w:hAnsi="Arial"/>
                <w:b w:val="0"/>
                <w:i w:val="0"/>
                <w:color w:val="2D2D2D"/>
                <w:sz w:val="18"/>
              </w:rPr>
              <w:t>Voluntary or contractual commitments applicable to the project that are not legally binding but are adopted as obligatory by Rio Tinto, including RT standards, ICMM Principles, and IFC Performance Standards.</w:t>
            </w:r>
          </w:p>
        </w:tc>
      </w:tr>
      <w:tr>
        <w:tc>
          <w:tcPr>
            <w:tcW w:type="dxa" w:w="4513"/>
          </w:tcPr>
          <w:p>
            <w:r>
              <w:rPr>
                <w:rFonts w:ascii="Arial" w:hAnsi="Arial"/>
                <w:b/>
                <w:i w:val="0"/>
                <w:color w:val="2D2D2D"/>
                <w:sz w:val="18"/>
              </w:rPr>
              <w:t>PCG</w:t>
            </w:r>
          </w:p>
        </w:tc>
        <w:tc>
          <w:tcPr>
            <w:tcW w:type="dxa" w:w="4513"/>
          </w:tcPr>
          <w:p>
            <w:r>
              <w:rPr>
                <w:rFonts w:ascii="Arial" w:hAnsi="Arial"/>
                <w:b w:val="0"/>
                <w:i w:val="0"/>
                <w:color w:val="2D2D2D"/>
                <w:sz w:val="18"/>
              </w:rPr>
              <w:t>Project Control Group — the senior governance body responsible for project oversight, strategic decision-making, and escalation of material compliance, safety, and risk issues.</w:t>
            </w:r>
          </w:p>
        </w:tc>
      </w:tr>
      <w:tr>
        <w:tc>
          <w:tcPr>
            <w:tcW w:type="dxa" w:w="4513"/>
          </w:tcPr>
          <w:p>
            <w:r>
              <w:rPr>
                <w:rFonts w:ascii="Arial" w:hAnsi="Arial"/>
                <w:b/>
                <w:i w:val="0"/>
                <w:color w:val="2D2D2D"/>
                <w:sz w:val="18"/>
              </w:rPr>
              <w:t>Permit</w:t>
            </w:r>
          </w:p>
        </w:tc>
        <w:tc>
          <w:tcPr>
            <w:tcW w:type="dxa" w:w="4513"/>
          </w:tcPr>
          <w:p>
            <w:r>
              <w:rPr>
                <w:rFonts w:ascii="Arial" w:hAnsi="Arial"/>
                <w:b w:val="0"/>
                <w:i w:val="0"/>
                <w:color w:val="2D2D2D"/>
                <w:sz w:val="18"/>
              </w:rPr>
              <w:t>A statutory or regulatory authorisation issued by a Competent Authority that specifies conditions under which the project or a component of it may operate, construct, or discharge.</w:t>
            </w:r>
          </w:p>
        </w:tc>
      </w:tr>
      <w:tr>
        <w:tc>
          <w:tcPr>
            <w:tcW w:type="dxa" w:w="4513"/>
          </w:tcPr>
          <w:p>
            <w:r>
              <w:rPr>
                <w:rFonts w:ascii="Arial" w:hAnsi="Arial"/>
                <w:b/>
                <w:i w:val="0"/>
                <w:color w:val="2D2D2D"/>
                <w:sz w:val="18"/>
              </w:rPr>
              <w:t>PPE</w:t>
            </w:r>
          </w:p>
        </w:tc>
        <w:tc>
          <w:tcPr>
            <w:tcW w:type="dxa" w:w="4513"/>
          </w:tcPr>
          <w:p>
            <w:r>
              <w:rPr>
                <w:rFonts w:ascii="Arial" w:hAnsi="Arial"/>
                <w:b w:val="0"/>
                <w:i w:val="0"/>
                <w:color w:val="2D2D2D"/>
                <w:sz w:val="18"/>
              </w:rPr>
              <w:t>Personal Protective Equipment — equipment worn or carried by a person to minimise exposure to occupational hazards, used as a last-resort control measure in the hierarchy of controls.</w:t>
            </w:r>
          </w:p>
        </w:tc>
      </w:tr>
      <w:tr>
        <w:tc>
          <w:tcPr>
            <w:tcW w:type="dxa" w:w="4513"/>
          </w:tcPr>
          <w:p>
            <w:r>
              <w:rPr>
                <w:rFonts w:ascii="Arial" w:hAnsi="Arial"/>
                <w:b/>
                <w:i w:val="0"/>
                <w:color w:val="2D2D2D"/>
                <w:sz w:val="18"/>
              </w:rPr>
              <w:t>PTW</w:t>
            </w:r>
          </w:p>
        </w:tc>
        <w:tc>
          <w:tcPr>
            <w:tcW w:type="dxa" w:w="4513"/>
          </w:tcPr>
          <w:p>
            <w:r>
              <w:rPr>
                <w:rFonts w:ascii="Arial" w:hAnsi="Arial"/>
                <w:b w:val="0"/>
                <w:i w:val="0"/>
                <w:color w:val="2D2D2D"/>
                <w:sz w:val="18"/>
              </w:rPr>
              <w:t>Permit to Work — a formal documented system that authorises certain categories of high-risk work within a defined scope, time period, and set of preconditions and controls.</w:t>
            </w:r>
          </w:p>
        </w:tc>
      </w:tr>
      <w:tr>
        <w:tc>
          <w:tcPr>
            <w:tcW w:type="dxa" w:w="4513"/>
          </w:tcPr>
          <w:p>
            <w:r>
              <w:rPr>
                <w:rFonts w:ascii="Arial" w:hAnsi="Arial"/>
                <w:b/>
                <w:i w:val="0"/>
                <w:color w:val="2D2D2D"/>
                <w:sz w:val="18"/>
              </w:rPr>
              <w:t>Regulatory Enforcement Incident</w:t>
            </w:r>
          </w:p>
        </w:tc>
        <w:tc>
          <w:tcPr>
            <w:tcW w:type="dxa" w:w="4513"/>
          </w:tcPr>
          <w:p>
            <w:r>
              <w:rPr>
                <w:rFonts w:ascii="Arial" w:hAnsi="Arial"/>
                <w:b w:val="0"/>
                <w:i w:val="0"/>
                <w:color w:val="2D2D2D"/>
                <w:sz w:val="18"/>
              </w:rPr>
              <w:t>Any interaction with a regulatory authority that results in, or has the potential to result in, formal enforcement action, including notices, infringements, prosecutions, or licence suspensions.</w:t>
            </w:r>
          </w:p>
        </w:tc>
      </w:tr>
      <w:tr>
        <w:tc>
          <w:tcPr>
            <w:tcW w:type="dxa" w:w="4513"/>
          </w:tcPr>
          <w:p>
            <w:r>
              <w:rPr>
                <w:rFonts w:ascii="Arial" w:hAnsi="Arial"/>
                <w:b/>
                <w:i w:val="0"/>
                <w:color w:val="2D2D2D"/>
                <w:sz w:val="18"/>
              </w:rPr>
              <w:t>RT</w:t>
            </w:r>
          </w:p>
        </w:tc>
        <w:tc>
          <w:tcPr>
            <w:tcW w:type="dxa" w:w="4513"/>
          </w:tcPr>
          <w:p>
            <w:r>
              <w:rPr>
                <w:rFonts w:ascii="Arial" w:hAnsi="Arial"/>
                <w:b w:val="0"/>
                <w:i w:val="0"/>
                <w:color w:val="2D2D2D"/>
                <w:sz w:val="18"/>
              </w:rPr>
              <w:t>Rio Tinto — the parent company and project owner, whose corporate standards, frameworks, and requirements apply to all owner-led project activities.</w:t>
            </w:r>
          </w:p>
        </w:tc>
      </w:tr>
      <w:tr>
        <w:tc>
          <w:tcPr>
            <w:tcW w:type="dxa" w:w="4513"/>
          </w:tcPr>
          <w:p>
            <w:r>
              <w:rPr>
                <w:rFonts w:ascii="Arial" w:hAnsi="Arial"/>
                <w:b/>
                <w:i w:val="0"/>
                <w:color w:val="2D2D2D"/>
                <w:sz w:val="18"/>
              </w:rPr>
              <w:t>SWMS</w:t>
            </w:r>
          </w:p>
        </w:tc>
        <w:tc>
          <w:tcPr>
            <w:tcW w:type="dxa" w:w="4513"/>
          </w:tcPr>
          <w:p>
            <w:r>
              <w:rPr>
                <w:rFonts w:ascii="Arial" w:hAnsi="Arial"/>
                <w:b w:val="0"/>
                <w:i w:val="0"/>
                <w:color w:val="2D2D2D"/>
                <w:sz w:val="18"/>
              </w:rPr>
              <w:t>Safe Work Method Statement — a document that describes how high-risk construction work will be carried out safely, identifying the hazards, risks, and control measures in sequence of work steps.</w:t>
            </w:r>
          </w:p>
        </w:tc>
      </w:tr>
      <w:tr>
        <w:tc>
          <w:tcPr>
            <w:tcW w:type="dxa" w:w="4513"/>
          </w:tcPr>
          <w:p>
            <w:r>
              <w:rPr>
                <w:rFonts w:ascii="Arial" w:hAnsi="Arial"/>
                <w:b/>
                <w:i w:val="0"/>
                <w:color w:val="0059D1"/>
                <w:sz w:val="18"/>
              </w:rPr>
              <w:t>[INSERT: add project-specific terms]</w:t>
            </w:r>
          </w:p>
        </w:tc>
        <w:tc>
          <w:tcPr>
            <w:tcW w:type="dxa" w:w="4513"/>
          </w:tcPr>
          <w:p>
            <w:r>
              <w:rPr>
                <w:rFonts w:ascii="Arial" w:hAnsi="Arial"/>
                <w:b/>
                <w:i w:val="0"/>
                <w:color w:val="0059D1"/>
                <w:sz w:val="18"/>
              </w:rPr>
              <w:t>[INSERT: definition]</w:t>
            </w:r>
          </w:p>
        </w:tc>
      </w:tr>
    </w:tbl>
    <w:p/>
    <w:p>
      <w:pPr>
        <w:spacing w:before="360" w:after="120"/>
        <w:pBdr>
          <w:bottom w:val="single" w:sz="6" w:space="4" w:color="2E75B6"/>
        </w:pBdr>
      </w:pPr>
      <w:r>
        <w:rPr>
          <w:rFonts w:ascii="Arial" w:hAnsi="Arial"/>
          <w:b/>
          <w:i w:val="0"/>
          <w:color w:val="1F3864"/>
          <w:sz w:val="26"/>
        </w:rPr>
        <w:t>8  References and Source Information</w:t>
      </w:r>
    </w:p>
    <w:p>
      <w:pPr>
        <w:spacing w:before="60" w:after="120"/>
      </w:pPr>
      <w:r>
        <w:rPr>
          <w:rFonts w:ascii="Arial" w:hAnsi="Arial"/>
          <w:b w:val="0"/>
          <w:i w:val="0"/>
          <w:color w:val="2D2D2D"/>
          <w:sz w:val="20"/>
        </w:rP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Grid"/>
        <w:tblW w:type="auto" w:w="0"/>
        <w:tblLook w:firstColumn="1" w:firstRow="1" w:lastColumn="0" w:lastRow="0" w:noHBand="0" w:noVBand="1" w:val="04A0"/>
      </w:tblPr>
      <w:tblGrid>
        <w:gridCol w:w="3009"/>
        <w:gridCol w:w="3009"/>
        <w:gridCol w:w="3009"/>
      </w:tblGrid>
      <w:tr>
        <w:tc>
          <w:tcPr>
            <w:tcW w:type="dxa" w:w="4535"/>
            <w:shd w:val="clear" w:color="auto" w:fill="1F3864"/>
          </w:tcPr>
          <w:p>
            <w:r>
              <w:rPr>
                <w:rFonts w:ascii="Arial" w:hAnsi="Arial"/>
                <w:b/>
                <w:i w:val="0"/>
                <w:color w:val="FFFFFF"/>
                <w:sz w:val="18"/>
              </w:rPr>
              <w:t>Document</w:t>
            </w:r>
          </w:p>
        </w:tc>
        <w:tc>
          <w:tcPr>
            <w:tcW w:type="dxa" w:w="2268"/>
            <w:shd w:val="clear" w:color="auto" w:fill="1F3864"/>
          </w:tcPr>
          <w:p>
            <w:r>
              <w:rPr>
                <w:rFonts w:ascii="Arial" w:hAnsi="Arial"/>
                <w:b/>
                <w:i w:val="0"/>
                <w:color w:val="FFFFFF"/>
                <w:sz w:val="18"/>
              </w:rPr>
              <w:t>Reference</w:t>
            </w:r>
          </w:p>
        </w:tc>
        <w:tc>
          <w:tcPr>
            <w:tcW w:type="dxa" w:w="2268"/>
            <w:shd w:val="clear" w:color="auto" w:fill="1F3864"/>
          </w:tcPr>
          <w:p>
            <w:r>
              <w:rPr>
                <w:rFonts w:ascii="Arial" w:hAnsi="Arial"/>
                <w:b/>
                <w:i w:val="0"/>
                <w:color w:val="FFFFFF"/>
                <w:sz w:val="18"/>
              </w:rPr>
              <w:t>Type</w:t>
            </w:r>
          </w:p>
        </w:tc>
      </w:tr>
      <w:tr>
        <w:tc>
          <w:tcPr>
            <w:tcW w:type="dxa" w:w="3009"/>
          </w:tcPr>
          <w:p>
            <w:r>
              <w:rPr>
                <w:rFonts w:ascii="Arial" w:hAnsi="Arial"/>
                <w:b w:val="0"/>
                <w:i w:val="0"/>
                <w:color w:val="2D2D2D"/>
                <w:sz w:val="18"/>
              </w:rPr>
              <w:t>Document Control Procedure</w:t>
            </w:r>
          </w:p>
        </w:tc>
        <w:tc>
          <w:tcPr>
            <w:tcW w:type="dxa" w:w="3009"/>
          </w:tcPr>
          <w:p>
            <w:r>
              <w:rPr>
                <w:rFonts w:ascii="Arial" w:hAnsi="Arial"/>
                <w:b w:val="0"/>
                <w:i w:val="0"/>
                <w:color w:val="2D2D2D"/>
                <w:sz w:val="18"/>
              </w:rPr>
              <w:t>RTPR-HSE-PRO-0010</w:t>
            </w:r>
          </w:p>
        </w:tc>
        <w:tc>
          <w:tcPr>
            <w:tcW w:type="dxa" w:w="3009"/>
          </w:tcPr>
          <w:p>
            <w:r>
              <w:rPr>
                <w:rFonts w:ascii="Arial" w:hAnsi="Arial"/>
                <w:b w:val="0"/>
                <w:i w:val="0"/>
                <w:color w:val="2D2D2D"/>
                <w:sz w:val="18"/>
              </w:rPr>
              <w:t>Internal procedure</w:t>
            </w:r>
          </w:p>
        </w:tc>
      </w:tr>
      <w:tr>
        <w:tc>
          <w:tcPr>
            <w:tcW w:type="dxa" w:w="3009"/>
          </w:tcPr>
          <w:p>
            <w:r>
              <w:rPr>
                <w:rFonts w:ascii="Arial" w:hAnsi="Arial"/>
                <w:b w:val="0"/>
                <w:i w:val="0"/>
                <w:color w:val="2D2D2D"/>
                <w:sz w:val="18"/>
              </w:rPr>
              <w:t>Incident Management Procedure</w:t>
            </w:r>
          </w:p>
        </w:tc>
        <w:tc>
          <w:tcPr>
            <w:tcW w:type="dxa" w:w="3009"/>
          </w:tcPr>
          <w:p>
            <w:r>
              <w:rPr>
                <w:rFonts w:ascii="Arial" w:hAnsi="Arial"/>
                <w:b w:val="0"/>
                <w:i w:val="0"/>
                <w:color w:val="2D2D2D"/>
                <w:sz w:val="18"/>
              </w:rPr>
              <w:t>RTPR-HSE-PRO-0009</w:t>
            </w:r>
          </w:p>
        </w:tc>
        <w:tc>
          <w:tcPr>
            <w:tcW w:type="dxa" w:w="3009"/>
          </w:tcPr>
          <w:p>
            <w:r>
              <w:rPr>
                <w:rFonts w:ascii="Arial" w:hAnsi="Arial"/>
                <w:b w:val="0"/>
                <w:i w:val="0"/>
                <w:color w:val="2D2D2D"/>
                <w:sz w:val="18"/>
              </w:rPr>
              <w:t>Internal procedure</w:t>
            </w:r>
          </w:p>
        </w:tc>
      </w:tr>
      <w:tr>
        <w:tc>
          <w:tcPr>
            <w:tcW w:type="dxa" w:w="3009"/>
          </w:tcPr>
          <w:p>
            <w:r>
              <w:rPr>
                <w:rFonts w:ascii="Arial" w:hAnsi="Arial"/>
                <w:b w:val="0"/>
                <w:i w:val="0"/>
                <w:color w:val="2D2D2D"/>
                <w:sz w:val="18"/>
              </w:rPr>
              <w:t>Records Management Procedure</w:t>
            </w:r>
          </w:p>
        </w:tc>
        <w:tc>
          <w:tcPr>
            <w:tcW w:type="dxa" w:w="3009"/>
          </w:tcPr>
          <w:p>
            <w:r>
              <w:rPr>
                <w:rFonts w:ascii="Arial" w:hAnsi="Arial"/>
                <w:b w:val="0"/>
                <w:i w:val="0"/>
                <w:color w:val="2D2D2D"/>
                <w:sz w:val="18"/>
              </w:rPr>
              <w:t>RTPR-HSE-PRO-0043</w:t>
            </w:r>
          </w:p>
        </w:tc>
        <w:tc>
          <w:tcPr>
            <w:tcW w:type="dxa" w:w="3009"/>
          </w:tcPr>
          <w:p>
            <w:r>
              <w:rPr>
                <w:rFonts w:ascii="Arial" w:hAnsi="Arial"/>
                <w:b w:val="0"/>
                <w:i w:val="0"/>
                <w:color w:val="2D2D2D"/>
                <w:sz w:val="18"/>
              </w:rPr>
              <w:t>Internal procedure</w:t>
            </w:r>
          </w:p>
        </w:tc>
      </w:tr>
      <w:tr>
        <w:tc>
          <w:tcPr>
            <w:tcW w:type="dxa" w:w="3009"/>
          </w:tcPr>
          <w:p>
            <w:r>
              <w:rPr>
                <w:rFonts w:ascii="Arial" w:hAnsi="Arial"/>
                <w:b w:val="0"/>
                <w:i w:val="0"/>
                <w:color w:val="2D2D2D"/>
                <w:sz w:val="18"/>
              </w:rPr>
              <w:t>Rio Tinto Risk Management Standard</w:t>
            </w:r>
          </w:p>
        </w:tc>
        <w:tc>
          <w:tcPr>
            <w:tcW w:type="dxa" w:w="3009"/>
          </w:tcPr>
          <w:p>
            <w:r>
              <w:rPr>
                <w:rFonts w:ascii="Arial" w:hAnsi="Arial"/>
                <w:b w:val="0"/>
                <w:i w:val="0"/>
                <w:color w:val="2D2D2D"/>
                <w:sz w:val="18"/>
              </w:rPr>
              <w:t>RT Risk Management Standard</w:t>
            </w:r>
          </w:p>
        </w:tc>
        <w:tc>
          <w:tcPr>
            <w:tcW w:type="dxa" w:w="3009"/>
          </w:tcPr>
          <w:p>
            <w:r>
              <w:rPr>
                <w:rFonts w:ascii="Arial" w:hAnsi="Arial"/>
                <w:b w:val="0"/>
                <w:i w:val="0"/>
                <w:color w:val="2D2D2D"/>
                <w:sz w:val="18"/>
              </w:rPr>
              <w:t>External RT</w:t>
            </w:r>
          </w:p>
        </w:tc>
      </w:tr>
      <w:tr>
        <w:tc>
          <w:tcPr>
            <w:tcW w:type="dxa" w:w="3009"/>
          </w:tcPr>
          <w:p>
            <w:r>
              <w:rPr>
                <w:rFonts w:ascii="Arial" w:hAnsi="Arial"/>
                <w:b w:val="0"/>
                <w:i w:val="0"/>
                <w:color w:val="2D2D2D"/>
                <w:sz w:val="18"/>
              </w:rPr>
              <w:t>Rio Tinto HSEC Management Standards — Appendix C, Requirement C-1: Legal and Other Requirements</w:t>
            </w:r>
          </w:p>
        </w:tc>
        <w:tc>
          <w:tcPr>
            <w:tcW w:type="dxa" w:w="3009"/>
          </w:tcPr>
          <w:p>
            <w:r>
              <w:rPr>
                <w:rFonts w:ascii="Arial" w:hAnsi="Arial"/>
                <w:b w:val="0"/>
                <w:i w:val="0"/>
                <w:color w:val="2D2D2D"/>
                <w:sz w:val="18"/>
              </w:rPr>
              <w:t>RT HSEC Standards Appendix C — C-1</w:t>
            </w:r>
          </w:p>
        </w:tc>
        <w:tc>
          <w:tcPr>
            <w:tcW w:type="dxa" w:w="3009"/>
          </w:tcPr>
          <w:p>
            <w:r>
              <w:rPr>
                <w:rFonts w:ascii="Arial" w:hAnsi="Arial"/>
                <w:b w:val="0"/>
                <w:i w:val="0"/>
                <w:color w:val="2D2D2D"/>
                <w:sz w:val="18"/>
              </w:rPr>
              <w:t>External RT</w:t>
            </w:r>
          </w:p>
        </w:tc>
      </w:tr>
      <w:tr>
        <w:tc>
          <w:tcPr>
            <w:tcW w:type="dxa" w:w="3009"/>
          </w:tcPr>
          <w:p>
            <w:r>
              <w:rPr>
                <w:rFonts w:ascii="Arial" w:hAnsi="Arial"/>
                <w:b w:val="0"/>
                <w:i w:val="0"/>
                <w:color w:val="2D2D2D"/>
                <w:sz w:val="18"/>
              </w:rPr>
              <w:t>Rio Tinto Health, Safety, Environment and Communities (HSEC) Policy</w:t>
            </w:r>
          </w:p>
        </w:tc>
        <w:tc>
          <w:tcPr>
            <w:tcW w:type="dxa" w:w="3009"/>
          </w:tcPr>
          <w:p>
            <w:r>
              <w:rPr>
                <w:rFonts w:ascii="Arial" w:hAnsi="Arial"/>
                <w:b w:val="0"/>
                <w:i w:val="0"/>
                <w:color w:val="2D2D2D"/>
                <w:sz w:val="18"/>
              </w:rPr>
              <w:t>RT HSEC Policy</w:t>
            </w:r>
          </w:p>
        </w:tc>
        <w:tc>
          <w:tcPr>
            <w:tcW w:type="dxa" w:w="3009"/>
          </w:tcPr>
          <w:p>
            <w:r>
              <w:rPr>
                <w:rFonts w:ascii="Arial" w:hAnsi="Arial"/>
                <w:b w:val="0"/>
                <w:i w:val="0"/>
                <w:color w:val="2D2D2D"/>
                <w:sz w:val="18"/>
              </w:rPr>
              <w:t>External RT</w:t>
            </w:r>
          </w:p>
        </w:tc>
      </w:tr>
      <w:tr>
        <w:tc>
          <w:tcPr>
            <w:tcW w:type="dxa" w:w="3009"/>
          </w:tcPr>
          <w:p>
            <w:r>
              <w:rPr>
                <w:rFonts w:ascii="Arial" w:hAnsi="Arial"/>
                <w:b w:val="0"/>
                <w:i w:val="0"/>
                <w:color w:val="2D2D2D"/>
                <w:sz w:val="18"/>
              </w:rPr>
              <w:t>IFC Performance Standards on Environmental and Social Sustainability (2012)</w:t>
            </w:r>
          </w:p>
        </w:tc>
        <w:tc>
          <w:tcPr>
            <w:tcW w:type="dxa" w:w="3009"/>
          </w:tcPr>
          <w:p>
            <w:r>
              <w:rPr>
                <w:rFonts w:ascii="Arial" w:hAnsi="Arial"/>
                <w:b w:val="0"/>
                <w:i w:val="0"/>
                <w:color w:val="2D2D2D"/>
                <w:sz w:val="18"/>
              </w:rPr>
              <w:t>IFC Performance Standards 2012</w:t>
            </w:r>
          </w:p>
        </w:tc>
        <w:tc>
          <w:tcPr>
            <w:tcW w:type="dxa" w:w="3009"/>
          </w:tcPr>
          <w:p>
            <w:r>
              <w:rPr>
                <w:rFonts w:ascii="Arial" w:hAnsi="Arial"/>
                <w:b w:val="0"/>
                <w:i w:val="0"/>
                <w:color w:val="2D2D2D"/>
                <w:sz w:val="18"/>
              </w:rPr>
              <w:t>External framework</w:t>
            </w:r>
          </w:p>
        </w:tc>
      </w:tr>
      <w:tr>
        <w:tc>
          <w:tcPr>
            <w:tcW w:type="dxa" w:w="3009"/>
          </w:tcPr>
          <w:p>
            <w:r>
              <w:rPr>
                <w:rFonts w:ascii="Arial" w:hAnsi="Arial"/>
                <w:b w:val="0"/>
                <w:i w:val="0"/>
                <w:color w:val="2D2D2D"/>
                <w:sz w:val="18"/>
              </w:rPr>
              <w:t>ICMM Mining Principles — Principle 3: Operate Responsibly (Legal Compliance and Risk Management)</w:t>
            </w:r>
          </w:p>
        </w:tc>
        <w:tc>
          <w:tcPr>
            <w:tcW w:type="dxa" w:w="3009"/>
          </w:tcPr>
          <w:p>
            <w:r>
              <w:rPr>
                <w:rFonts w:ascii="Arial" w:hAnsi="Arial"/>
                <w:b w:val="0"/>
                <w:i w:val="0"/>
                <w:color w:val="2D2D2D"/>
                <w:sz w:val="18"/>
              </w:rPr>
              <w:t>ICMM Mining Principles (2020) — Principle 3</w:t>
            </w:r>
          </w:p>
        </w:tc>
        <w:tc>
          <w:tcPr>
            <w:tcW w:type="dxa" w:w="3009"/>
          </w:tcPr>
          <w:p>
            <w:r>
              <w:rPr>
                <w:rFonts w:ascii="Arial" w:hAnsi="Arial"/>
                <w:b w:val="0"/>
                <w:i w:val="0"/>
                <w:color w:val="2D2D2D"/>
                <w:sz w:val="18"/>
              </w:rPr>
              <w:t>External framework</w:t>
            </w:r>
          </w:p>
        </w:tc>
      </w:tr>
      <w:tr>
        <w:tc>
          <w:tcPr>
            <w:tcW w:type="dxa" w:w="3009"/>
          </w:tcPr>
          <w:p>
            <w:r>
              <w:rPr>
                <w:rFonts w:ascii="Arial" w:hAnsi="Arial"/>
                <w:b w:val="0"/>
                <w:i w:val="0"/>
                <w:color w:val="2D2D2D"/>
                <w:sz w:val="18"/>
              </w:rPr>
              <w:t>ISO 14001:2015 — Environmental Management Systems: Requirements with Guidance for Use (Clause 6.1.3 Compliance Obligations)</w:t>
            </w:r>
          </w:p>
        </w:tc>
        <w:tc>
          <w:tcPr>
            <w:tcW w:type="dxa" w:w="3009"/>
          </w:tcPr>
          <w:p>
            <w:r>
              <w:rPr>
                <w:rFonts w:ascii="Arial" w:hAnsi="Arial"/>
                <w:b w:val="0"/>
                <w:i w:val="0"/>
                <w:color w:val="2D2D2D"/>
                <w:sz w:val="18"/>
              </w:rPr>
              <w:t>ISO 14001:2015</w:t>
            </w:r>
          </w:p>
        </w:tc>
        <w:tc>
          <w:tcPr>
            <w:tcW w:type="dxa" w:w="3009"/>
          </w:tcPr>
          <w:p>
            <w:r>
              <w:rPr>
                <w:rFonts w:ascii="Arial" w:hAnsi="Arial"/>
                <w:b w:val="0"/>
                <w:i w:val="0"/>
                <w:color w:val="2D2D2D"/>
                <w:sz w:val="18"/>
              </w:rPr>
              <w:t>External framework</w:t>
            </w:r>
          </w:p>
        </w:tc>
      </w:tr>
      <w:tr>
        <w:tc>
          <w:tcPr>
            <w:tcW w:type="dxa" w:w="3009"/>
          </w:tcPr>
          <w:p>
            <w:r>
              <w:rPr>
                <w:rFonts w:ascii="Arial" w:hAnsi="Arial"/>
                <w:b w:val="0"/>
                <w:i w:val="0"/>
                <w:color w:val="2D2D2D"/>
                <w:sz w:val="18"/>
              </w:rPr>
              <w:t>ISO 45001:2018 — Occupational Health and Safety Management Systems: Requirements with Guidance for Use (Clause 6.1.3 Determination of Legal and Other Requirements)</w:t>
            </w:r>
          </w:p>
        </w:tc>
        <w:tc>
          <w:tcPr>
            <w:tcW w:type="dxa" w:w="3009"/>
          </w:tcPr>
          <w:p>
            <w:r>
              <w:rPr>
                <w:rFonts w:ascii="Arial" w:hAnsi="Arial"/>
                <w:b w:val="0"/>
                <w:i w:val="0"/>
                <w:color w:val="2D2D2D"/>
                <w:sz w:val="18"/>
              </w:rPr>
              <w:t>ISO 45001:2018</w:t>
            </w:r>
          </w:p>
        </w:tc>
        <w:tc>
          <w:tcPr>
            <w:tcW w:type="dxa" w:w="3009"/>
          </w:tcPr>
          <w:p>
            <w:r>
              <w:rPr>
                <w:rFonts w:ascii="Arial" w:hAnsi="Arial"/>
                <w:b w:val="0"/>
                <w:i w:val="0"/>
                <w:color w:val="2D2D2D"/>
                <w:sz w:val="18"/>
              </w:rPr>
              <w:t>External framework</w:t>
            </w:r>
          </w:p>
        </w:tc>
      </w:tr>
      <w:tr>
        <w:tc>
          <w:tcPr>
            <w:tcW w:type="dxa" w:w="3009"/>
          </w:tcPr>
          <w:p>
            <w:r>
              <w:rPr>
                <w:rFonts w:ascii="Arial" w:hAnsi="Arial"/>
                <w:b/>
                <w:i w:val="0"/>
                <w:color w:val="0059D1"/>
                <w:sz w:val="18"/>
              </w:rPr>
              <w:t>[INSERT: further referenced document, where applicable]</w:t>
            </w:r>
          </w:p>
        </w:tc>
        <w:tc>
          <w:tcPr>
            <w:tcW w:type="dxa" w:w="3009"/>
          </w:tcPr>
          <w:p>
            <w:r>
              <w:rPr>
                <w:rFonts w:ascii="Arial" w:hAnsi="Arial"/>
                <w:b/>
                <w:i w:val="0"/>
                <w:color w:val="0059D1"/>
                <w:sz w:val="18"/>
              </w:rPr>
              <w:t>[INSERT: reference]</w:t>
            </w:r>
          </w:p>
        </w:tc>
        <w:tc>
          <w:tcPr>
            <w:tcW w:type="dxa" w:w="3009"/>
          </w:tcPr>
          <w:p>
            <w:r>
              <w:rPr>
                <w:rFonts w:ascii="Arial" w:hAnsi="Arial"/>
                <w:b/>
                <w:i w:val="0"/>
                <w:color w:val="0059D1"/>
                <w:sz w:val="18"/>
              </w:rPr>
              <w:t>[INSERT: type]</w:t>
            </w:r>
          </w:p>
        </w:tc>
      </w:tr>
    </w:tbl>
    <w:p/>
    <w:p>
      <w:pPr>
        <w:spacing w:before="360" w:after="120"/>
        <w:pBdr>
          <w:bottom w:val="single" w:sz="6" w:space="4" w:color="2E75B6"/>
        </w:pBdr>
      </w:pPr>
      <w:r>
        <w:rPr>
          <w:rFonts w:ascii="Arial" w:hAnsi="Arial"/>
          <w:b/>
          <w:i w:val="0"/>
          <w:color w:val="1F3864"/>
          <w:sz w:val="26"/>
        </w:rPr>
        <w:t>9  Project Localisation Edits</w:t>
      </w:r>
    </w:p>
    <w:p>
      <w:pPr>
        <w:spacing w:before="60" w:after="120"/>
      </w:pPr>
      <w:r>
        <w:rPr>
          <w:rFonts w:ascii="Arial" w:hAnsi="Arial"/>
          <w:b w:val="0"/>
          <w:i w:val="0"/>
          <w:color w:val="2D2D2D"/>
          <w:sz w:val="20"/>
        </w:rPr>
        <w:t>This section captures the project-specific edits made to this document as it is prepared for project-specific use. This section stays in the document once published and is updated at each document revision. Record all additions, deletions, and wording changes from the original template.</w:t>
      </w:r>
    </w:p>
    <w:p>
      <w:r>
        <w:rPr>
          <w:rFonts w:ascii="Arial" w:hAnsi="Arial"/>
          <w:b/>
          <w:i w:val="0"/>
          <w:color w:val="2D2D2D"/>
          <w:sz w:val="20"/>
        </w:rPr>
        <w:t>Records of wording changes</w:t>
      </w:r>
    </w:p>
    <w:tbl>
      <w:tblPr>
        <w:tblStyle w:val="TableGrid"/>
        <w:tblW w:type="auto" w:w="0"/>
        <w:tblLook w:firstColumn="1" w:firstRow="1" w:lastColumn="0" w:lastRow="0" w:noHBand="0" w:noVBand="1" w:val="04A0"/>
      </w:tblPr>
      <w:tblGrid>
        <w:gridCol w:w="4513"/>
        <w:gridCol w:w="4513"/>
      </w:tblGrid>
      <w:tr>
        <w:tc>
          <w:tcPr>
            <w:tcW w:type="dxa" w:w="7370"/>
            <w:shd w:val="clear" w:color="auto" w:fill="1F3864"/>
          </w:tcPr>
          <w:p>
            <w:r>
              <w:rPr>
                <w:rFonts w:ascii="Arial" w:hAnsi="Arial"/>
                <w:b/>
                <w:i w:val="0"/>
                <w:color w:val="FFFFFF"/>
                <w:sz w:val="18"/>
              </w:rPr>
              <w:t>Description of the Change</w:t>
            </w:r>
          </w:p>
        </w:tc>
        <w:tc>
          <w:tcPr>
            <w:tcW w:type="dxa" w:w="1701"/>
            <w:shd w:val="clear" w:color="auto" w:fill="1F3864"/>
          </w:tcPr>
          <w:p>
            <w:r>
              <w:rPr>
                <w:rFonts w:ascii="Arial" w:hAnsi="Arial"/>
                <w:b/>
                <w:i w:val="0"/>
                <w:color w:val="FFFFFF"/>
                <w:sz w:val="18"/>
              </w:rPr>
              <w:t>Section</w:t>
            </w:r>
          </w:p>
        </w:tc>
      </w:tr>
      <w:tr>
        <w:tc>
          <w:tcPr>
            <w:tcW w:type="dxa" w:w="7370"/>
          </w:tcPr>
          <w:p>
            <w:r>
              <w:rPr>
                <w:rFonts w:ascii="Arial" w:hAnsi="Arial"/>
                <w:b/>
                <w:i w:val="0"/>
                <w:color w:val="0059D1"/>
                <w:sz w:val="18"/>
              </w:rPr>
              <w:t>[INSERT: description]</w:t>
            </w:r>
          </w:p>
        </w:tc>
        <w:tc>
          <w:tcPr>
            <w:tcW w:type="dxa" w:w="1701"/>
          </w:tcPr>
          <w:p>
            <w:r>
              <w:rPr>
                <w:rFonts w:ascii="Arial" w:hAnsi="Arial"/>
                <w:b/>
                <w:i w:val="0"/>
                <w:color w:val="0059D1"/>
                <w:sz w:val="18"/>
              </w:rPr>
              <w:t>[INSERT: section]</w:t>
            </w:r>
          </w:p>
        </w:tc>
      </w:tr>
      <w:tr>
        <w:tc>
          <w:tcPr>
            <w:tcW w:type="dxa" w:w="7370"/>
          </w:tcPr>
          <w:p>
            <w:r>
              <w:rPr>
                <w:rFonts w:ascii="Arial" w:hAnsi="Arial"/>
                <w:b/>
                <w:i w:val="0"/>
                <w:color w:val="0059D1"/>
                <w:sz w:val="18"/>
              </w:rPr>
              <w:t>[INSERT: description]</w:t>
            </w:r>
          </w:p>
        </w:tc>
        <w:tc>
          <w:tcPr>
            <w:tcW w:type="dxa" w:w="1701"/>
          </w:tcPr>
          <w:p>
            <w:r>
              <w:rPr>
                <w:rFonts w:ascii="Arial" w:hAnsi="Arial"/>
                <w:b/>
                <w:i w:val="0"/>
                <w:color w:val="0059D1"/>
                <w:sz w:val="18"/>
              </w:rPr>
              <w:t>[INSERT: section]</w:t>
            </w:r>
          </w:p>
        </w:tc>
      </w:tr>
      <w:tr>
        <w:tc>
          <w:tcPr>
            <w:tcW w:type="dxa" w:w="7370"/>
          </w:tcPr>
          <w:p>
            <w:r>
              <w:rPr>
                <w:rFonts w:ascii="Arial" w:hAnsi="Arial"/>
                <w:b/>
                <w:i w:val="0"/>
                <w:color w:val="0059D1"/>
                <w:sz w:val="18"/>
              </w:rPr>
              <w:t>[INSERT: description]</w:t>
            </w:r>
          </w:p>
        </w:tc>
        <w:tc>
          <w:tcPr>
            <w:tcW w:type="dxa" w:w="1701"/>
          </w:tcPr>
          <w:p>
            <w:r>
              <w:rPr>
                <w:rFonts w:ascii="Arial" w:hAnsi="Arial"/>
                <w:b/>
                <w:i w:val="0"/>
                <w:color w:val="0059D1"/>
                <w:sz w:val="18"/>
              </w:rPr>
              <w:t>[INSERT: section]</w:t>
            </w:r>
          </w:p>
        </w:tc>
      </w:tr>
    </w:tbl>
    <w:p/>
    <w:p>
      <w:r>
        <w:rPr>
          <w:rFonts w:ascii="Arial" w:hAnsi="Arial"/>
          <w:b/>
          <w:i w:val="0"/>
          <w:color w:val="2D2D2D"/>
          <w:sz w:val="20"/>
        </w:rPr>
        <w:t>Records of new content additions</w:t>
      </w:r>
    </w:p>
    <w:tbl>
      <w:tblPr>
        <w:tblStyle w:val="TableGrid"/>
        <w:tblW w:type="auto" w:w="0"/>
        <w:tblLook w:firstColumn="1" w:firstRow="1" w:lastColumn="0" w:lastRow="0" w:noHBand="0" w:noVBand="1" w:val="04A0"/>
      </w:tblPr>
      <w:tblGrid>
        <w:gridCol w:w="4513"/>
        <w:gridCol w:w="4513"/>
      </w:tblGrid>
      <w:tr>
        <w:tc>
          <w:tcPr>
            <w:tcW w:type="dxa" w:w="7370"/>
            <w:shd w:val="clear" w:color="auto" w:fill="1F3864"/>
          </w:tcPr>
          <w:p>
            <w:r>
              <w:rPr>
                <w:rFonts w:ascii="Arial" w:hAnsi="Arial"/>
                <w:b/>
                <w:i w:val="0"/>
                <w:color w:val="FFFFFF"/>
                <w:sz w:val="18"/>
              </w:rPr>
              <w:t>Description of the Change</w:t>
            </w:r>
          </w:p>
        </w:tc>
        <w:tc>
          <w:tcPr>
            <w:tcW w:type="dxa" w:w="1701"/>
            <w:shd w:val="clear" w:color="auto" w:fill="1F3864"/>
          </w:tcPr>
          <w:p>
            <w:r>
              <w:rPr>
                <w:rFonts w:ascii="Arial" w:hAnsi="Arial"/>
                <w:b/>
                <w:i w:val="0"/>
                <w:color w:val="FFFFFF"/>
                <w:sz w:val="18"/>
              </w:rPr>
              <w:t>Section</w:t>
            </w:r>
          </w:p>
        </w:tc>
      </w:tr>
      <w:tr>
        <w:tc>
          <w:tcPr>
            <w:tcW w:type="dxa" w:w="7370"/>
          </w:tcPr>
          <w:p>
            <w:r>
              <w:rPr>
                <w:rFonts w:ascii="Arial" w:hAnsi="Arial"/>
                <w:b/>
                <w:i w:val="0"/>
                <w:color w:val="0059D1"/>
                <w:sz w:val="18"/>
              </w:rPr>
              <w:t>[INSERT: description]</w:t>
            </w:r>
          </w:p>
        </w:tc>
        <w:tc>
          <w:tcPr>
            <w:tcW w:type="dxa" w:w="1701"/>
          </w:tcPr>
          <w:p>
            <w:r>
              <w:rPr>
                <w:rFonts w:ascii="Arial" w:hAnsi="Arial"/>
                <w:b/>
                <w:i w:val="0"/>
                <w:color w:val="0059D1"/>
                <w:sz w:val="18"/>
              </w:rPr>
              <w:t>[INSERT: section]</w:t>
            </w:r>
          </w:p>
        </w:tc>
      </w:tr>
      <w:tr>
        <w:tc>
          <w:tcPr>
            <w:tcW w:type="dxa" w:w="7370"/>
          </w:tcPr>
          <w:p>
            <w:r>
              <w:rPr>
                <w:rFonts w:ascii="Arial" w:hAnsi="Arial"/>
                <w:b/>
                <w:i w:val="0"/>
                <w:color w:val="0059D1"/>
                <w:sz w:val="18"/>
              </w:rPr>
              <w:t>[INSERT: description]</w:t>
            </w:r>
          </w:p>
        </w:tc>
        <w:tc>
          <w:tcPr>
            <w:tcW w:type="dxa" w:w="1701"/>
          </w:tcPr>
          <w:p>
            <w:r>
              <w:rPr>
                <w:rFonts w:ascii="Arial" w:hAnsi="Arial"/>
                <w:b/>
                <w:i w:val="0"/>
                <w:color w:val="0059D1"/>
                <w:sz w:val="18"/>
              </w:rPr>
              <w:t>[INSERT: section]</w:t>
            </w:r>
          </w:p>
        </w:tc>
      </w:tr>
      <w:tr>
        <w:tc>
          <w:tcPr>
            <w:tcW w:type="dxa" w:w="7370"/>
          </w:tcPr>
          <w:p>
            <w:r>
              <w:rPr>
                <w:rFonts w:ascii="Arial" w:hAnsi="Arial"/>
                <w:b/>
                <w:i w:val="0"/>
                <w:color w:val="0059D1"/>
                <w:sz w:val="18"/>
              </w:rPr>
              <w:t>[INSERT: description]</w:t>
            </w:r>
          </w:p>
        </w:tc>
        <w:tc>
          <w:tcPr>
            <w:tcW w:type="dxa" w:w="1701"/>
          </w:tcPr>
          <w:p>
            <w:r>
              <w:rPr>
                <w:rFonts w:ascii="Arial" w:hAnsi="Arial"/>
                <w:b/>
                <w:i w:val="0"/>
                <w:color w:val="0059D1"/>
                <w:sz w:val="18"/>
              </w:rPr>
              <w:t>[INSERT: section]</w:t>
            </w:r>
          </w:p>
        </w:tc>
      </w:tr>
    </w:tbl>
    <w:p/>
    <w:p>
      <w:r>
        <w:rPr>
          <w:rFonts w:ascii="Arial" w:hAnsi="Arial"/>
          <w:b/>
          <w:i w:val="0"/>
          <w:color w:val="2D2D2D"/>
          <w:sz w:val="20"/>
        </w:rPr>
        <w:t>Records of content removal</w:t>
      </w:r>
    </w:p>
    <w:tbl>
      <w:tblPr>
        <w:tblStyle w:val="TableGrid"/>
        <w:tblW w:type="auto" w:w="0"/>
        <w:tblLook w:firstColumn="1" w:firstRow="1" w:lastColumn="0" w:lastRow="0" w:noHBand="0" w:noVBand="1" w:val="04A0"/>
      </w:tblPr>
      <w:tblGrid>
        <w:gridCol w:w="4513"/>
        <w:gridCol w:w="4513"/>
      </w:tblGrid>
      <w:tr>
        <w:tc>
          <w:tcPr>
            <w:tcW w:type="dxa" w:w="7370"/>
            <w:shd w:val="clear" w:color="auto" w:fill="1F3864"/>
          </w:tcPr>
          <w:p>
            <w:r>
              <w:rPr>
                <w:rFonts w:ascii="Arial" w:hAnsi="Arial"/>
                <w:b/>
                <w:i w:val="0"/>
                <w:color w:val="FFFFFF"/>
                <w:sz w:val="18"/>
              </w:rPr>
              <w:t>Description of the Change</w:t>
            </w:r>
          </w:p>
        </w:tc>
        <w:tc>
          <w:tcPr>
            <w:tcW w:type="dxa" w:w="1701"/>
            <w:shd w:val="clear" w:color="auto" w:fill="1F3864"/>
          </w:tcPr>
          <w:p>
            <w:r>
              <w:rPr>
                <w:rFonts w:ascii="Arial" w:hAnsi="Arial"/>
                <w:b/>
                <w:i w:val="0"/>
                <w:color w:val="FFFFFF"/>
                <w:sz w:val="18"/>
              </w:rPr>
              <w:t>Section</w:t>
            </w:r>
          </w:p>
        </w:tc>
      </w:tr>
      <w:tr>
        <w:tc>
          <w:tcPr>
            <w:tcW w:type="dxa" w:w="7370"/>
          </w:tcPr>
          <w:p>
            <w:r>
              <w:rPr>
                <w:rFonts w:ascii="Arial" w:hAnsi="Arial"/>
                <w:b/>
                <w:i w:val="0"/>
                <w:color w:val="0059D1"/>
                <w:sz w:val="18"/>
              </w:rPr>
              <w:t>[INSERT: description]</w:t>
            </w:r>
          </w:p>
        </w:tc>
        <w:tc>
          <w:tcPr>
            <w:tcW w:type="dxa" w:w="1701"/>
          </w:tcPr>
          <w:p>
            <w:r>
              <w:rPr>
                <w:rFonts w:ascii="Arial" w:hAnsi="Arial"/>
                <w:b/>
                <w:i w:val="0"/>
                <w:color w:val="0059D1"/>
                <w:sz w:val="18"/>
              </w:rPr>
              <w:t>[INSERT: section]</w:t>
            </w:r>
          </w:p>
        </w:tc>
      </w:tr>
      <w:tr>
        <w:tc>
          <w:tcPr>
            <w:tcW w:type="dxa" w:w="7370"/>
          </w:tcPr>
          <w:p>
            <w:r>
              <w:rPr>
                <w:rFonts w:ascii="Arial" w:hAnsi="Arial"/>
                <w:b/>
                <w:i w:val="0"/>
                <w:color w:val="0059D1"/>
                <w:sz w:val="18"/>
              </w:rPr>
              <w:t>[INSERT: description]</w:t>
            </w:r>
          </w:p>
        </w:tc>
        <w:tc>
          <w:tcPr>
            <w:tcW w:type="dxa" w:w="1701"/>
          </w:tcPr>
          <w:p>
            <w:r>
              <w:rPr>
                <w:rFonts w:ascii="Arial" w:hAnsi="Arial"/>
                <w:b/>
                <w:i w:val="0"/>
                <w:color w:val="0059D1"/>
                <w:sz w:val="18"/>
              </w:rPr>
              <w:t>[INSERT: section]</w:t>
            </w:r>
          </w:p>
        </w:tc>
      </w:tr>
      <w:tr>
        <w:tc>
          <w:tcPr>
            <w:tcW w:type="dxa" w:w="7370"/>
          </w:tcPr>
          <w:p>
            <w:r>
              <w:rPr>
                <w:rFonts w:ascii="Arial" w:hAnsi="Arial"/>
                <w:b/>
                <w:i w:val="0"/>
                <w:color w:val="0059D1"/>
                <w:sz w:val="18"/>
              </w:rPr>
              <w:t>[INSERT: description]</w:t>
            </w:r>
          </w:p>
        </w:tc>
        <w:tc>
          <w:tcPr>
            <w:tcW w:type="dxa" w:w="1701"/>
          </w:tcPr>
          <w:p>
            <w:r>
              <w:rPr>
                <w:rFonts w:ascii="Arial" w:hAnsi="Arial"/>
                <w:b/>
                <w:i w:val="0"/>
                <w:color w:val="0059D1"/>
                <w:sz w:val="18"/>
              </w:rPr>
              <w:t>[INSERT: section]</w:t>
            </w:r>
          </w:p>
        </w:tc>
      </w:tr>
    </w:tbl>
    <w:p/>
    <w:p>
      <w:r>
        <w:br w:type="page"/>
      </w:r>
    </w:p>
    <w:tbl>
      <w:tblPr>
        <w:tblW w:type="auto" w:w="0"/>
        <w:tblLook w:firstColumn="1" w:firstRow="1" w:lastColumn="0" w:lastRow="0" w:noHBand="0" w:noVBand="1" w:val="04A0"/>
      </w:tblPr>
      <w:tblGrid>
        <w:gridCol w:w="9026"/>
      </w:tblGrid>
      <w:tr>
        <w:tc>
          <w:tcPr>
            <w:tcW w:type="dxa" w:w="9026"/>
            <w:shd w:val="clear" w:color="auto" w:fill="FCE4D6"/>
          </w:tcPr>
          <w:p>
            <w:pPr>
              <w:spacing w:before="80" w:after="80"/>
            </w:pPr>
            <w:r>
              <w:rPr>
                <w:rFonts w:ascii="Arial" w:hAnsi="Arial"/>
                <w:b/>
                <w:i w:val="0"/>
                <w:color w:val="C55A11"/>
                <w:sz w:val="20"/>
              </w:rPr>
              <w:t>REMOVABLE SECTION — Source Requirements Traceability. Delete this entire section before the document is issued for approval. Table A records requirements addressed in this procedure. Table B records requirements not fully addressed, with written justification for each.</w:t>
            </w:r>
          </w:p>
        </w:tc>
      </w:tr>
    </w:tbl>
    <w:p/>
    <w:p>
      <w:pPr>
        <w:spacing w:before="360" w:after="120"/>
        <w:pBdr>
          <w:bottom w:val="single" w:sz="6" w:space="4" w:color="2E75B6"/>
        </w:pBdr>
      </w:pPr>
      <w:r>
        <w:rPr>
          <w:rFonts w:ascii="Arial" w:hAnsi="Arial"/>
          <w:b/>
          <w:i w:val="0"/>
          <w:color w:val="1F3864"/>
          <w:sz w:val="26"/>
        </w:rPr>
        <w:t>10  Source Requirements Traceability (DELETE BEFORE ISSUE)</w:t>
      </w:r>
    </w:p>
    <w:p>
      <w:pPr>
        <w:spacing w:before="200" w:after="80"/>
      </w:pPr>
      <w:r>
        <w:rPr>
          <w:rFonts w:ascii="Arial" w:hAnsi="Arial"/>
          <w:b/>
          <w:i w:val="0"/>
          <w:color w:val="1F3864"/>
          <w:sz w:val="22"/>
        </w:rPr>
        <w:t>10.1  Requirements Addressed in This Procedure</w:t>
      </w:r>
    </w:p>
    <w:tbl>
      <w:tblPr>
        <w:tblStyle w:val="TableGrid"/>
        <w:tblW w:type="auto" w:w="0"/>
        <w:tblLook w:firstColumn="1" w:firstRow="1" w:lastColumn="0" w:lastRow="0" w:noHBand="0" w:noVBand="1" w:val="04A0"/>
      </w:tblPr>
      <w:tblGrid>
        <w:gridCol w:w="2256"/>
        <w:gridCol w:w="2256"/>
        <w:gridCol w:w="2256"/>
        <w:gridCol w:w="2256"/>
      </w:tblGrid>
      <w:tr>
        <w:tc>
          <w:tcPr>
            <w:tcW w:type="dxa" w:w="850"/>
            <w:shd w:val="clear" w:color="auto" w:fill="1F3864"/>
          </w:tcPr>
          <w:p>
            <w:r>
              <w:rPr>
                <w:rFonts w:ascii="Arial" w:hAnsi="Arial"/>
                <w:b/>
                <w:i w:val="0"/>
                <w:color w:val="FFFFFF"/>
                <w:sz w:val="18"/>
              </w:rPr>
              <w:t>Section</w:t>
            </w:r>
          </w:p>
        </w:tc>
        <w:tc>
          <w:tcPr>
            <w:tcW w:type="dxa" w:w="1417"/>
            <w:shd w:val="clear" w:color="auto" w:fill="1F3864"/>
          </w:tcPr>
          <w:p>
            <w:r>
              <w:rPr>
                <w:rFonts w:ascii="Arial" w:hAnsi="Arial"/>
                <w:b/>
                <w:i w:val="0"/>
                <w:color w:val="FFFFFF"/>
                <w:sz w:val="18"/>
              </w:rPr>
              <w:t>Source</w:t>
            </w:r>
          </w:p>
        </w:tc>
        <w:tc>
          <w:tcPr>
            <w:tcW w:type="dxa" w:w="3402"/>
            <w:shd w:val="clear" w:color="auto" w:fill="1F3864"/>
          </w:tcPr>
          <w:p>
            <w:r>
              <w:rPr>
                <w:rFonts w:ascii="Arial" w:hAnsi="Arial"/>
                <w:b/>
                <w:i w:val="0"/>
                <w:color w:val="FFFFFF"/>
                <w:sz w:val="18"/>
              </w:rPr>
              <w:t>Requirement</w:t>
            </w:r>
          </w:p>
        </w:tc>
        <w:tc>
          <w:tcPr>
            <w:tcW w:type="dxa" w:w="3402"/>
            <w:shd w:val="clear" w:color="auto" w:fill="1F3864"/>
          </w:tcPr>
          <w:p>
            <w:r>
              <w:rPr>
                <w:rFonts w:ascii="Arial" w:hAnsi="Arial"/>
                <w:b/>
                <w:i w:val="0"/>
                <w:color w:val="FFFFFF"/>
                <w:sz w:val="18"/>
              </w:rPr>
              <w:t>Status</w:t>
            </w:r>
          </w:p>
        </w:tc>
      </w:tr>
      <w:tr>
        <w:tc>
          <w:tcPr>
            <w:tcW w:type="dxa" w:w="2256"/>
          </w:tcPr>
          <w:p>
            <w:r>
              <w:rPr>
                <w:rFonts w:ascii="Arial" w:hAnsi="Arial"/>
                <w:b/>
                <w:i w:val="0"/>
                <w:color w:val="0059D1"/>
                <w:sz w:val="18"/>
              </w:rPr>
              <w:t>[INSERT: section]</w:t>
            </w:r>
          </w:p>
        </w:tc>
        <w:tc>
          <w:tcPr>
            <w:tcW w:type="dxa" w:w="2256"/>
          </w:tcPr>
          <w:p>
            <w:r>
              <w:rPr>
                <w:rFonts w:ascii="Arial" w:hAnsi="Arial"/>
                <w:b w:val="0"/>
                <w:i w:val="0"/>
                <w:color w:val="2D2D2D"/>
                <w:sz w:val="18"/>
              </w:rPr>
              <w:t>RT Standard RT – Management &amp; Compliance Standard</w:t>
            </w:r>
          </w:p>
        </w:tc>
        <w:tc>
          <w:tcPr>
            <w:tcW w:type="dxa" w:w="2256"/>
          </w:tcPr>
          <w:p>
            <w:r>
              <w:rPr>
                <w:rFonts w:ascii="Arial" w:hAnsi="Arial"/>
                <w:b w:val="0"/>
                <w:i w:val="0"/>
                <w:color w:val="2D2D2D"/>
                <w:sz w:val="18"/>
              </w:rPr>
              <w:t>Requires a continuous method for identifying, tracking, and updating regulatory requirements, with formal review at minimum quarterly and following any legislative or permit change.</w:t>
            </w:r>
          </w:p>
        </w:tc>
        <w:tc>
          <w:tcPr>
            <w:tcW w:type="dxa" w:w="2256"/>
          </w:tcPr>
          <w:p>
            <w:r>
              <w:rPr>
                <w:rFonts w:ascii="Arial" w:hAnsi="Arial"/>
                <w:b w:val="0"/>
                <w:i w:val="0"/>
                <w:color w:val="2D2D2D"/>
                <w:sz w:val="18"/>
              </w:rPr>
              <w:t>Full</w:t>
            </w:r>
          </w:p>
        </w:tc>
      </w:tr>
      <w:tr>
        <w:tc>
          <w:tcPr>
            <w:tcW w:type="dxa" w:w="2256"/>
          </w:tcPr>
          <w:p>
            <w:r>
              <w:rPr>
                <w:rFonts w:ascii="Arial" w:hAnsi="Arial"/>
                <w:b/>
                <w:i w:val="0"/>
                <w:color w:val="0059D1"/>
                <w:sz w:val="18"/>
              </w:rPr>
              <w:t>[INSERT: section]</w:t>
            </w:r>
          </w:p>
        </w:tc>
        <w:tc>
          <w:tcPr>
            <w:tcW w:type="dxa" w:w="2256"/>
          </w:tcPr>
          <w:p>
            <w:r>
              <w:rPr>
                <w:rFonts w:ascii="Arial" w:hAnsi="Arial"/>
                <w:b w:val="0"/>
                <w:i w:val="0"/>
                <w:color w:val="2D2D2D"/>
                <w:sz w:val="18"/>
              </w:rPr>
              <w:t>Appendix C C-1 §19</w:t>
            </w:r>
          </w:p>
        </w:tc>
        <w:tc>
          <w:tcPr>
            <w:tcW w:type="dxa" w:w="2256"/>
          </w:tcPr>
          <w:p>
            <w:r>
              <w:rPr>
                <w:rFonts w:ascii="Arial" w:hAnsi="Arial"/>
                <w:b w:val="0"/>
                <w:i w:val="0"/>
                <w:color w:val="2D2D2D"/>
                <w:sz w:val="18"/>
              </w:rPr>
              <w:t>Requires submission of the regulatory requirements register to the project authority within 30 days of the Effective Date, with clearly defined roles and responsibilities for compliance, and communication of changed requirements to all project participants.</w:t>
            </w:r>
          </w:p>
        </w:tc>
        <w:tc>
          <w:tcPr>
            <w:tcW w:type="dxa" w:w="2256"/>
          </w:tcPr>
          <w:p>
            <w:r>
              <w:rPr>
                <w:rFonts w:ascii="Arial" w:hAnsi="Arial"/>
                <w:b w:val="0"/>
                <w:i w:val="0"/>
                <w:color w:val="2D2D2D"/>
                <w:sz w:val="18"/>
              </w:rPr>
              <w:t>Full</w:t>
            </w:r>
          </w:p>
        </w:tc>
      </w:tr>
      <w:tr>
        <w:tc>
          <w:tcPr>
            <w:tcW w:type="dxa" w:w="2256"/>
          </w:tcPr>
          <w:p>
            <w:r>
              <w:rPr>
                <w:rFonts w:ascii="Arial" w:hAnsi="Arial"/>
                <w:b/>
                <w:i w:val="0"/>
                <w:color w:val="0059D1"/>
                <w:sz w:val="18"/>
              </w:rPr>
              <w:t>[INSERT: section]</w:t>
            </w:r>
          </w:p>
        </w:tc>
        <w:tc>
          <w:tcPr>
            <w:tcW w:type="dxa" w:w="2256"/>
          </w:tcPr>
          <w:p>
            <w:r>
              <w:rPr>
                <w:rFonts w:ascii="Arial" w:hAnsi="Arial"/>
                <w:b w:val="0"/>
                <w:i w:val="0"/>
                <w:color w:val="2D2D2D"/>
                <w:sz w:val="18"/>
              </w:rPr>
              <w:t>IFC PS1 IFC PS1 §6 and Guidance Note §GN9</w:t>
            </w:r>
          </w:p>
        </w:tc>
        <w:tc>
          <w:tcPr>
            <w:tcW w:type="dxa" w:w="2256"/>
          </w:tcPr>
          <w:p>
            <w:r>
              <w:rPr>
                <w:rFonts w:ascii="Arial" w:hAnsi="Arial"/>
                <w:b w:val="0"/>
                <w:i w:val="0"/>
                <w:color w:val="2D2D2D"/>
                <w:sz w:val="18"/>
              </w:rPr>
              <w:t>Requires that all permits, approvals, conditions of consent, and ESIA commitments are included in the register and tracked as binding obligations throughout the project lifecycle.</w:t>
            </w:r>
          </w:p>
        </w:tc>
        <w:tc>
          <w:tcPr>
            <w:tcW w:type="dxa" w:w="2256"/>
          </w:tcPr>
          <w:p>
            <w:r>
              <w:rPr>
                <w:rFonts w:ascii="Arial" w:hAnsi="Arial"/>
                <w:b w:val="0"/>
                <w:i w:val="0"/>
                <w:color w:val="2D2D2D"/>
                <w:sz w:val="18"/>
              </w:rPr>
              <w:t>Full</w:t>
            </w:r>
          </w:p>
        </w:tc>
      </w:tr>
      <w:tr>
        <w:tc>
          <w:tcPr>
            <w:tcW w:type="dxa" w:w="2256"/>
          </w:tcPr>
          <w:p>
            <w:r>
              <w:rPr>
                <w:rFonts w:ascii="Arial" w:hAnsi="Arial"/>
                <w:b/>
                <w:i w:val="0"/>
                <w:color w:val="0059D1"/>
                <w:sz w:val="18"/>
              </w:rPr>
              <w:t>[INSERT: section]</w:t>
            </w:r>
          </w:p>
        </w:tc>
        <w:tc>
          <w:tcPr>
            <w:tcW w:type="dxa" w:w="2256"/>
          </w:tcPr>
          <w:p>
            <w:r>
              <w:rPr>
                <w:rFonts w:ascii="Arial" w:hAnsi="Arial"/>
                <w:b w:val="0"/>
                <w:i w:val="0"/>
                <w:color w:val="2D2D2D"/>
                <w:sz w:val="18"/>
              </w:rPr>
              <w:t>IFC PS1 IFC PS1 Guidance Note §GN18</w:t>
            </w:r>
          </w:p>
        </w:tc>
        <w:tc>
          <w:tcPr>
            <w:tcW w:type="dxa" w:w="2256"/>
          </w:tcPr>
          <w:p>
            <w:r>
              <w:rPr>
                <w:rFonts w:ascii="Arial" w:hAnsi="Arial"/>
                <w:b w:val="0"/>
                <w:i w:val="0"/>
                <w:color w:val="2D2D2D"/>
                <w:sz w:val="18"/>
              </w:rPr>
              <w:t>Requires that where host country laws are less stringent than IFC Performance Standards or World Bank EHS Guidelines, the more stringent requirement is documented as the project standard.</w:t>
            </w:r>
          </w:p>
        </w:tc>
        <w:tc>
          <w:tcPr>
            <w:tcW w:type="dxa" w:w="2256"/>
          </w:tcPr>
          <w:p>
            <w:r>
              <w:rPr>
                <w:rFonts w:ascii="Arial" w:hAnsi="Arial"/>
                <w:b w:val="0"/>
                <w:i w:val="0"/>
                <w:color w:val="2D2D2D"/>
                <w:sz w:val="18"/>
              </w:rPr>
              <w:t>Full</w:t>
            </w:r>
          </w:p>
        </w:tc>
      </w:tr>
      <w:tr>
        <w:tc>
          <w:tcPr>
            <w:tcW w:type="dxa" w:w="2256"/>
          </w:tcPr>
          <w:p>
            <w:r>
              <w:rPr>
                <w:rFonts w:ascii="Arial" w:hAnsi="Arial"/>
                <w:b/>
                <w:i w:val="0"/>
                <w:color w:val="0059D1"/>
                <w:sz w:val="18"/>
              </w:rPr>
              <w:t>[INSERT: section]</w:t>
            </w:r>
          </w:p>
        </w:tc>
        <w:tc>
          <w:tcPr>
            <w:tcW w:type="dxa" w:w="2256"/>
          </w:tcPr>
          <w:p>
            <w:r>
              <w:rPr>
                <w:rFonts w:ascii="Arial" w:hAnsi="Arial"/>
                <w:b w:val="0"/>
                <w:i w:val="0"/>
                <w:color w:val="2D2D2D"/>
                <w:sz w:val="18"/>
              </w:rPr>
              <w:t>IFC PS1 IFC PS1 Guidance Note §GN33</w:t>
            </w:r>
          </w:p>
        </w:tc>
        <w:tc>
          <w:tcPr>
            <w:tcW w:type="dxa" w:w="2256"/>
          </w:tcPr>
          <w:p>
            <w:r>
              <w:rPr>
                <w:rFonts w:ascii="Arial" w:hAnsi="Arial"/>
                <w:b w:val="0"/>
                <w:i w:val="0"/>
                <w:color w:val="2D2D2D"/>
                <w:sz w:val="18"/>
              </w:rPr>
              <w:t>Requires that legal requirements are communicated to contractors through contractual clauses and that contractor compliance is monitored through the project ESMS.</w:t>
            </w:r>
          </w:p>
        </w:tc>
        <w:tc>
          <w:tcPr>
            <w:tcW w:type="dxa" w:w="2256"/>
          </w:tcPr>
          <w:p>
            <w:r>
              <w:rPr>
                <w:rFonts w:ascii="Arial" w:hAnsi="Arial"/>
                <w:b w:val="0"/>
                <w:i w:val="0"/>
                <w:color w:val="2D2D2D"/>
                <w:sz w:val="18"/>
              </w:rPr>
              <w:t>Full</w:t>
            </w:r>
          </w:p>
        </w:tc>
      </w:tr>
      <w:tr>
        <w:tc>
          <w:tcPr>
            <w:tcW w:type="dxa" w:w="2256"/>
          </w:tcPr>
          <w:p>
            <w:r>
              <w:rPr>
                <w:rFonts w:ascii="Arial" w:hAnsi="Arial"/>
                <w:b/>
                <w:i w:val="0"/>
                <w:color w:val="0059D1"/>
                <w:sz w:val="18"/>
              </w:rPr>
              <w:t>[INSERT: section]</w:t>
            </w:r>
          </w:p>
        </w:tc>
        <w:tc>
          <w:tcPr>
            <w:tcW w:type="dxa" w:w="2256"/>
          </w:tcPr>
          <w:p>
            <w:r>
              <w:rPr>
                <w:rFonts w:ascii="Arial" w:hAnsi="Arial"/>
                <w:b w:val="0"/>
                <w:i w:val="0"/>
                <w:color w:val="2D2D2D"/>
                <w:sz w:val="18"/>
              </w:rPr>
              <w:t>IFC PS1 IFC PS1 §11</w:t>
            </w:r>
          </w:p>
        </w:tc>
        <w:tc>
          <w:tcPr>
            <w:tcW w:type="dxa" w:w="2256"/>
          </w:tcPr>
          <w:p>
            <w:r>
              <w:rPr>
                <w:rFonts w:ascii="Arial" w:hAnsi="Arial"/>
                <w:b w:val="0"/>
                <w:i w:val="0"/>
                <w:color w:val="2D2D2D"/>
                <w:sz w:val="18"/>
              </w:rPr>
              <w:t>Requires that any identified non-compliance with applicable laws, regulations, or permit conditions triggers a corrective action process documented in the project action tracking system with a defined closeout date and owner.</w:t>
            </w:r>
          </w:p>
        </w:tc>
        <w:tc>
          <w:tcPr>
            <w:tcW w:type="dxa" w:w="2256"/>
          </w:tcPr>
          <w:p>
            <w:r>
              <w:rPr>
                <w:rFonts w:ascii="Arial" w:hAnsi="Arial"/>
                <w:b w:val="0"/>
                <w:i w:val="0"/>
                <w:color w:val="2D2D2D"/>
                <w:sz w:val="18"/>
              </w:rPr>
              <w:t>Full</w:t>
            </w:r>
          </w:p>
        </w:tc>
      </w:tr>
      <w:tr>
        <w:tc>
          <w:tcPr>
            <w:tcW w:type="dxa" w:w="2256"/>
          </w:tcPr>
          <w:p>
            <w:r>
              <w:rPr>
                <w:rFonts w:ascii="Arial" w:hAnsi="Arial"/>
                <w:b/>
                <w:i w:val="0"/>
                <w:color w:val="0059D1"/>
                <w:sz w:val="18"/>
              </w:rPr>
              <w:t>[INSERT: section]</w:t>
            </w:r>
          </w:p>
        </w:tc>
        <w:tc>
          <w:tcPr>
            <w:tcW w:type="dxa" w:w="2256"/>
          </w:tcPr>
          <w:p>
            <w:r>
              <w:rPr>
                <w:rFonts w:ascii="Arial" w:hAnsi="Arial"/>
                <w:b w:val="0"/>
                <w:i w:val="0"/>
                <w:color w:val="2D2D2D"/>
                <w:sz w:val="18"/>
              </w:rPr>
              <w:t>ICMM ICMM Principle 1 – Ethical Business</w:t>
            </w:r>
          </w:p>
        </w:tc>
        <w:tc>
          <w:tcPr>
            <w:tcW w:type="dxa" w:w="2256"/>
          </w:tcPr>
          <w:p>
            <w:r>
              <w:rPr>
                <w:rFonts w:ascii="Arial" w:hAnsi="Arial"/>
                <w:b w:val="0"/>
                <w:i w:val="0"/>
                <w:color w:val="2D2D2D"/>
                <w:sz w:val="18"/>
              </w:rPr>
              <w:t>Requires that the project commits to full compliance with applicable national and international laws, regulations, and voluntary commitments to which the organisation subscribes.</w:t>
            </w:r>
          </w:p>
        </w:tc>
        <w:tc>
          <w:tcPr>
            <w:tcW w:type="dxa" w:w="2256"/>
          </w:tcPr>
          <w:p>
            <w:r>
              <w:rPr>
                <w:rFonts w:ascii="Arial" w:hAnsi="Arial"/>
                <w:b w:val="0"/>
                <w:i w:val="0"/>
                <w:color w:val="2D2D2D"/>
                <w:sz w:val="18"/>
              </w:rPr>
              <w:t>Full</w:t>
            </w:r>
          </w:p>
        </w:tc>
      </w:tr>
      <w:tr>
        <w:tc>
          <w:tcPr>
            <w:tcW w:type="dxa" w:w="2256"/>
          </w:tcPr>
          <w:p>
            <w:r>
              <w:rPr>
                <w:rFonts w:ascii="Arial" w:hAnsi="Arial"/>
                <w:b/>
                <w:i w:val="0"/>
                <w:color w:val="0059D1"/>
                <w:sz w:val="18"/>
              </w:rPr>
              <w:t>[INSERT: section]</w:t>
            </w:r>
          </w:p>
        </w:tc>
        <w:tc>
          <w:tcPr>
            <w:tcW w:type="dxa" w:w="2256"/>
          </w:tcPr>
          <w:p>
            <w:r>
              <w:rPr>
                <w:rFonts w:ascii="Arial" w:hAnsi="Arial"/>
                <w:b w:val="0"/>
                <w:i w:val="0"/>
                <w:color w:val="2D2D2D"/>
                <w:sz w:val="18"/>
              </w:rPr>
              <w:t>TSM TSM – Safe, Healthy and Respectful Workplaces Protocol, Indicator SH1</w:t>
            </w:r>
          </w:p>
        </w:tc>
        <w:tc>
          <w:tcPr>
            <w:tcW w:type="dxa" w:w="2256"/>
          </w:tcPr>
          <w:p>
            <w:r>
              <w:rPr>
                <w:rFonts w:ascii="Arial" w:hAnsi="Arial"/>
                <w:b w:val="0"/>
                <w:i w:val="0"/>
                <w:color w:val="2D2D2D"/>
                <w:sz w:val="18"/>
              </w:rPr>
              <w:t>Requires that all applicable occupational health and safety legislation is captured in the register and that senior management accountability for its currency is clearly assigned.</w:t>
            </w:r>
          </w:p>
        </w:tc>
        <w:tc>
          <w:tcPr>
            <w:tcW w:type="dxa" w:w="2256"/>
          </w:tcPr>
          <w:p>
            <w:r>
              <w:rPr>
                <w:rFonts w:ascii="Arial" w:hAnsi="Arial"/>
                <w:b w:val="0"/>
                <w:i w:val="0"/>
                <w:color w:val="2D2D2D"/>
                <w:sz w:val="18"/>
              </w:rPr>
              <w:t>Full</w:t>
            </w:r>
          </w:p>
        </w:tc>
      </w:tr>
      <w:tr>
        <w:tc>
          <w:tcPr>
            <w:tcW w:type="dxa" w:w="2256"/>
          </w:tcPr>
          <w:p>
            <w:r>
              <w:rPr>
                <w:rFonts w:ascii="Arial" w:hAnsi="Arial"/>
                <w:b/>
                <w:i w:val="0"/>
                <w:color w:val="0059D1"/>
                <w:sz w:val="18"/>
              </w:rPr>
              <w:t>[INSERT: section]</w:t>
            </w:r>
          </w:p>
        </w:tc>
        <w:tc>
          <w:tcPr>
            <w:tcW w:type="dxa" w:w="2256"/>
          </w:tcPr>
          <w:p>
            <w:r>
              <w:rPr>
                <w:rFonts w:ascii="Arial" w:hAnsi="Arial"/>
                <w:b w:val="0"/>
                <w:i w:val="0"/>
                <w:color w:val="2D2D2D"/>
                <w:sz w:val="18"/>
              </w:rPr>
              <w:t>OSHA OSHA RP 2016 – Management Leadership</w:t>
            </w:r>
          </w:p>
        </w:tc>
        <w:tc>
          <w:tcPr>
            <w:tcW w:type="dxa" w:w="2256"/>
          </w:tcPr>
          <w:p>
            <w:r>
              <w:rPr>
                <w:rFonts w:ascii="Arial" w:hAnsi="Arial"/>
                <w:b w:val="0"/>
                <w:i w:val="0"/>
                <w:color w:val="2D2D2D"/>
                <w:sz w:val="18"/>
              </w:rPr>
              <w:t>Requires assignment of a named accountable role with authority to ensure the register is current and compliance obligations are actioned within defined timeframes.</w:t>
            </w:r>
          </w:p>
        </w:tc>
        <w:tc>
          <w:tcPr>
            <w:tcW w:type="dxa" w:w="2256"/>
          </w:tcPr>
          <w:p>
            <w:r>
              <w:rPr>
                <w:rFonts w:ascii="Arial" w:hAnsi="Arial"/>
                <w:b w:val="0"/>
                <w:i w:val="0"/>
                <w:color w:val="2D2D2D"/>
                <w:sz w:val="18"/>
              </w:rPr>
              <w:t>Full</w:t>
            </w:r>
          </w:p>
        </w:tc>
      </w:tr>
      <w:tr>
        <w:tc>
          <w:tcPr>
            <w:tcW w:type="dxa" w:w="2256"/>
          </w:tcPr>
          <w:p>
            <w:r>
              <w:rPr>
                <w:rFonts w:ascii="Arial" w:hAnsi="Arial"/>
                <w:b/>
                <w:i w:val="0"/>
                <w:color w:val="0059D1"/>
                <w:sz w:val="18"/>
              </w:rPr>
              <w:t>[INSERT: section]</w:t>
            </w:r>
          </w:p>
        </w:tc>
        <w:tc>
          <w:tcPr>
            <w:tcW w:type="dxa" w:w="2256"/>
          </w:tcPr>
          <w:p>
            <w:r>
              <w:rPr>
                <w:rFonts w:ascii="Arial" w:hAnsi="Arial"/>
                <w:b w:val="0"/>
                <w:i w:val="0"/>
                <w:color w:val="2D2D2D"/>
                <w:sz w:val="18"/>
              </w:rPr>
              <w:t>OSHA OSHA RP 2016 – Worker Participation</w:t>
            </w:r>
          </w:p>
        </w:tc>
        <w:tc>
          <w:tcPr>
            <w:tcW w:type="dxa" w:w="2256"/>
          </w:tcPr>
          <w:p>
            <w:r>
              <w:rPr>
                <w:rFonts w:ascii="Arial" w:hAnsi="Arial"/>
                <w:b w:val="0"/>
                <w:i w:val="0"/>
                <w:color w:val="2D2D2D"/>
                <w:sz w:val="18"/>
              </w:rPr>
              <w:t>Requires that workers have access to information about the legal and regulatory requirements applicable to their work, including their rights under applicable health and safety law.</w:t>
            </w:r>
          </w:p>
        </w:tc>
        <w:tc>
          <w:tcPr>
            <w:tcW w:type="dxa" w:w="2256"/>
          </w:tcPr>
          <w:p>
            <w:r>
              <w:rPr>
                <w:rFonts w:ascii="Arial" w:hAnsi="Arial"/>
                <w:b w:val="0"/>
                <w:i w:val="0"/>
                <w:color w:val="2D2D2D"/>
                <w:sz w:val="18"/>
              </w:rPr>
              <w:t>Full</w:t>
            </w:r>
          </w:p>
        </w:tc>
      </w:tr>
    </w:tbl>
    <w:p/>
    <w:p>
      <w:pPr>
        <w:spacing w:before="200" w:after="80"/>
      </w:pPr>
      <w:r>
        <w:rPr>
          <w:rFonts w:ascii="Arial" w:hAnsi="Arial"/>
          <w:b/>
          <w:i w:val="0"/>
          <w:color w:val="1F3864"/>
          <w:sz w:val="22"/>
        </w:rPr>
        <w:t>10.2  Requirements Not Fully Addressed in This Procedure</w:t>
      </w:r>
    </w:p>
    <w:p>
      <w:pPr>
        <w:spacing w:before="60" w:after="120"/>
      </w:pPr>
      <w:r>
        <w:rPr>
          <w:rFonts w:ascii="Arial" w:hAnsi="Arial"/>
          <w:b w:val="0"/>
          <w:i w:val="0"/>
          <w:color w:val="2D2D2D"/>
          <w:sz w:val="20"/>
        </w:rPr>
        <w:t>List any requirements from the external sources above that are not fully addressed in this document, with a specific written justification for each. Acceptable justifications: (a) the requirement is owned by a named standalone procedure and this document cross-references it; (b) excluded by a specific business decision endorsed by project leadership, named here; or (c) addressed through an operational control outside this document, identified here.</w:t>
      </w:r>
    </w:p>
    <w:tbl>
      <w:tblPr>
        <w:tblStyle w:val="TableGrid"/>
        <w:tblW w:type="auto" w:w="0"/>
        <w:tblLook w:firstColumn="1" w:firstRow="1" w:lastColumn="0" w:lastRow="0" w:noHBand="0" w:noVBand="1" w:val="04A0"/>
      </w:tblPr>
      <w:tblGrid>
        <w:gridCol w:w="3009"/>
        <w:gridCol w:w="3009"/>
        <w:gridCol w:w="3009"/>
      </w:tblGrid>
      <w:tr>
        <w:tc>
          <w:tcPr>
            <w:tcW w:type="dxa" w:w="3402"/>
            <w:shd w:val="clear" w:color="auto" w:fill="1F3864"/>
          </w:tcPr>
          <w:p>
            <w:r>
              <w:rPr>
                <w:rFonts w:ascii="Arial" w:hAnsi="Arial"/>
                <w:b/>
                <w:i w:val="0"/>
                <w:color w:val="FFFFFF"/>
                <w:sz w:val="18"/>
              </w:rPr>
              <w:t>Requirement Not Covered</w:t>
            </w:r>
          </w:p>
        </w:tc>
        <w:tc>
          <w:tcPr>
            <w:tcW w:type="dxa" w:w="1701"/>
            <w:shd w:val="clear" w:color="auto" w:fill="1F3864"/>
          </w:tcPr>
          <w:p>
            <w:r>
              <w:rPr>
                <w:rFonts w:ascii="Arial" w:hAnsi="Arial"/>
                <w:b/>
                <w:i w:val="0"/>
                <w:color w:val="FFFFFF"/>
                <w:sz w:val="18"/>
              </w:rPr>
              <w:t>Source</w:t>
            </w:r>
          </w:p>
        </w:tc>
        <w:tc>
          <w:tcPr>
            <w:tcW w:type="dxa" w:w="3969"/>
            <w:shd w:val="clear" w:color="auto" w:fill="1F3864"/>
          </w:tcPr>
          <w:p>
            <w:r>
              <w:rPr>
                <w:rFonts w:ascii="Arial" w:hAnsi="Arial"/>
                <w:b/>
                <w:i w:val="0"/>
                <w:color w:val="FFFFFF"/>
                <w:sz w:val="18"/>
              </w:rPr>
              <w:t>Justification</w:t>
            </w:r>
          </w:p>
        </w:tc>
      </w:tr>
      <w:tr>
        <w:tc>
          <w:tcPr>
            <w:tcW w:type="dxa" w:w="3402"/>
          </w:tcPr>
          <w:p>
            <w:r>
              <w:rPr>
                <w:rFonts w:ascii="Arial" w:hAnsi="Arial"/>
                <w:b/>
                <w:i w:val="0"/>
                <w:color w:val="0059D1"/>
                <w:sz w:val="18"/>
              </w:rPr>
              <w:t>[INSERT: description of requirement not covered]</w:t>
            </w:r>
          </w:p>
        </w:tc>
        <w:tc>
          <w:tcPr>
            <w:tcW w:type="dxa" w:w="1701"/>
          </w:tcPr>
          <w:p>
            <w:r>
              <w:rPr>
                <w:rFonts w:ascii="Arial" w:hAnsi="Arial"/>
                <w:b/>
                <w:i w:val="0"/>
                <w:color w:val="0059D1"/>
                <w:sz w:val="18"/>
              </w:rPr>
              <w:t>[INSERT: source and clause]</w:t>
            </w:r>
          </w:p>
        </w:tc>
        <w:tc>
          <w:tcPr>
            <w:tcW w:type="dxa" w:w="3969"/>
          </w:tcPr>
          <w:p>
            <w:r>
              <w:rPr>
                <w:rFonts w:ascii="Arial" w:hAnsi="Arial"/>
                <w:b/>
                <w:i w:val="0"/>
                <w:color w:val="0059D1"/>
                <w:sz w:val="18"/>
              </w:rPr>
              <w:t>[INSERT: specific written justification]</w:t>
            </w:r>
          </w:p>
        </w:tc>
      </w:tr>
    </w:tbl>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