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C7248" w14:textId="77777777" w:rsidR="00240E6E" w:rsidRDefault="00E31E85" w:rsidP="004D6E31">
      <w:pPr>
        <w:pStyle w:val="Subtitle"/>
      </w:pPr>
      <w:r>
        <w:t>Procedure</w:t>
      </w:r>
    </w:p>
    <w:p w14:paraId="66A8DEA3" w14:textId="3F068664" w:rsidR="003C2B09" w:rsidRPr="00DF7812" w:rsidRDefault="00B03658" w:rsidP="00240E6E">
      <w:pPr>
        <w:pStyle w:val="FrontcoverHeading"/>
        <w:spacing w:before="0"/>
      </w:pPr>
      <w:r>
        <w:t>Legal and Other Requirements</w:t>
      </w:r>
    </w:p>
    <w:p w14:paraId="7772130A" w14:textId="77777777" w:rsidR="00194B94" w:rsidRPr="005157BB" w:rsidRDefault="00194B94" w:rsidP="005157BB">
      <w:pPr>
        <w:pStyle w:val="AutomatedProjectName"/>
        <w:spacing w:before="120" w:after="360"/>
        <w:rPr>
          <w:noProof/>
          <w:color w:val="404040" w:themeColor="text1" w:themeTint="BF"/>
          <w:sz w:val="36"/>
          <w:szCs w:val="36"/>
        </w:rPr>
      </w:pPr>
      <w:r>
        <w:rPr>
          <w:noProof/>
          <w:color w:val="404040" w:themeColor="text1" w:themeTint="BF"/>
          <w:sz w:val="36"/>
          <w:szCs w:val="36"/>
        </w:rPr>
        <mc:AlternateContent>
          <mc:Choice Requires="wps">
            <w:drawing>
              <wp:anchor distT="0" distB="0" distL="114300" distR="114300" simplePos="0" relativeHeight="251666944" behindDoc="1" locked="0" layoutInCell="1" allowOverlap="1" wp14:anchorId="56037885" wp14:editId="12603C25">
                <wp:simplePos x="0" y="0"/>
                <wp:positionH relativeFrom="column">
                  <wp:posOffset>3810</wp:posOffset>
                </wp:positionH>
                <wp:positionV relativeFrom="paragraph">
                  <wp:posOffset>498475</wp:posOffset>
                </wp:positionV>
                <wp:extent cx="6120130" cy="0"/>
                <wp:effectExtent l="0" t="19050" r="52070" b="38100"/>
                <wp:wrapTight wrapText="bothSides">
                  <wp:wrapPolygon edited="0">
                    <wp:start x="0" y="-1"/>
                    <wp:lineTo x="0" y="-1"/>
                    <wp:lineTo x="21717" y="-1"/>
                    <wp:lineTo x="21717" y="-1"/>
                    <wp:lineTo x="0" y="-1"/>
                  </wp:wrapPolygon>
                </wp:wrapTight>
                <wp:docPr id="220367452" name="Straight Connector 6"/>
                <wp:cNvGraphicFramePr/>
                <a:graphic xmlns:a="http://schemas.openxmlformats.org/drawingml/2006/main">
                  <a:graphicData uri="http://schemas.microsoft.com/office/word/2010/wordprocessingShape">
                    <wps:wsp>
                      <wps:cNvCnPr/>
                      <wps:spPr>
                        <a:xfrm>
                          <a:off x="0" y="0"/>
                          <a:ext cx="6120130" cy="0"/>
                        </a:xfrm>
                        <a:prstGeom prst="line">
                          <a:avLst/>
                        </a:prstGeom>
                        <a:ln w="57150">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B9FC26C" id="Straight Connector 6" o:spid="_x0000_s1026" style="position:absolute;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39.25pt" to="482.2pt,39.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HJXF2AEAABkEAAAOAAAAZHJzL2Uyb0RvYy54bWysU8tu2zAQvBfoPxC815IcOCkEyzkkSC/N A318AEMtLQJ8gWQs+e+zJGU5aU8tcqGk3Z3ZneFqez1pRQ7gg7Smo82qpgQMt700+47+/nX35Ssl ITLTM2UNdPQIgV7vPn/ajq6FtR2s6sETJDGhHV1HhxhdW1WBD6BZWFkHBpPCes0ifvp91Xs2IrtW 1bquL6vR+t55yyEEjN6WJN1lfiGAx0chAkSiOoqzxXz6fD6ns9ptWbv3zA2Sz2Ow/5hCM2mw6UJ1 yyIjL17+RaUl9zZYEVfc6soKITlkDaimqf9Q83NgDrIWNCe4xabwcbT84XBjnjzaMLrQBvfkk4pJ eJ2eOB+ZslnHxSyYIuEYvGxw4gv0lJ9y1RnofIjfwGqSXjqqpEk6WMsO30PEZlh6KklhZcjY0c1V s6lzWbBK9ndSqZTMuwA3ypMDw1uMU5Nr1Iu+t32JXW3qer5LDOONl/D6FMZ2C0tu/qYB5pTB4Fl/ fotHBWW0HyCI7FFx6bsQlR6MczCxSYuUmbA6wQQOvwBnUWmnzzreA+f6BIW8tv8CXhC5szVxAWtp rC+Wvu+eXCwji1J/cqDoThY82/6YNyNbg/uXFc7/Slrwt98Zfv6jd68AAAD//wMAUEsDBBQABgAI AAAAIQA73xSf3QAAAAYBAAAPAAAAZHJzL2Rvd25yZXYueG1sTI5fT8IwFMXfTfgOzTXxTToEB8x1 xGAkMfgimBjeSntZF9bbZS1s8Omt8UEfz5+c88sXva3ZGVtfORIwGibAkJTTFZUCPrev9zNgPkjS snaEAi7oYVEMbnKZadfRB543oWRxhHwmBZgQmoxzrwxa6YeuQYrZwbVWhijbkutWdnHc1vwhSVJu ZUXxwcgGlwbVcXOyAt7HdnxdXtfmgOpt1329rC4jtRLi7rZ/fgIWsA9/ZfjBj+hQRKa9O5H2rBaQ xp6A6ewRWEzn6WQCbP9r8CLn//GLbwAAAP//AwBQSwECLQAUAAYACAAAACEAtoM4kv4AAADhAQAA EwAAAAAAAAAAAAAAAAAAAAAAW0NvbnRlbnRfVHlwZXNdLnhtbFBLAQItABQABgAIAAAAIQA4/SH/ 1gAAAJQBAAALAAAAAAAAAAAAAAAAAC8BAABfcmVscy8ucmVsc1BLAQItABQABgAIAAAAIQB0HJXF 2AEAABkEAAAOAAAAAAAAAAAAAAAAAC4CAABkcnMvZTJvRG9jLnhtbFBLAQItABQABgAIAAAAIQA7 3xSf3QAAAAYBAAAPAAAAAAAAAAAAAAAAADIEAABkcnMvZG93bnJldi54bWxQSwUGAAAAAAQABADz AAAAPAUAAAAA " strokecolor="#404040 [2429]" strokeweight="4.5pt">
                <v:stroke joinstyle="miter"/>
                <w10:wrap type="tight"/>
              </v:line>
            </w:pict>
          </mc:Fallback>
        </mc:AlternateContent>
      </w:r>
      <w:r>
        <w:rPr>
          <w:noProof/>
          <w:color w:val="404040" w:themeColor="text1" w:themeTint="BF"/>
          <w:sz w:val="36"/>
          <w:szCs w:val="36"/>
        </w:rPr>
        <w:t>[Enter Project Name]</w:t>
      </w:r>
    </w:p>
    <w:p w14:paraId="6E516230" w14:textId="77777777" w:rsidR="003C2B09" w:rsidRDefault="003C2B09" w:rsidP="003C2B09"/>
    <w:p w14:paraId="4330B982" w14:textId="77777777" w:rsidR="00FC1013" w:rsidRDefault="00FC1013"/>
    <w:p w14:paraId="3F49839F" w14:textId="77777777" w:rsidR="00FC1013" w:rsidRDefault="00FC1013"/>
    <w:p w14:paraId="024B4AF9" w14:textId="77777777" w:rsidR="00FC1013" w:rsidRDefault="00FC1013"/>
    <w:p w14:paraId="1D87EEA0" w14:textId="77777777" w:rsidR="00FC1013" w:rsidRDefault="00FC1013"/>
    <w:p w14:paraId="02DA4480" w14:textId="77777777" w:rsidR="00FC1013" w:rsidRDefault="00FC1013"/>
    <w:p w14:paraId="0A829ADA" w14:textId="77777777" w:rsidR="00FC1013" w:rsidRDefault="00FC1013"/>
    <w:p w14:paraId="4F7B4116" w14:textId="77777777" w:rsidR="00FC1013" w:rsidRDefault="00FC1013"/>
    <w:p w14:paraId="467CDA0D" w14:textId="77777777" w:rsidR="00FC1013" w:rsidRDefault="00FC1013"/>
    <w:p w14:paraId="3EC5F2F3" w14:textId="77777777" w:rsidR="00FC1013" w:rsidRDefault="00FC1013"/>
    <w:p w14:paraId="4B062008" w14:textId="77777777" w:rsidR="00FC1013" w:rsidRDefault="00FC1013"/>
    <w:p w14:paraId="45079EE2" w14:textId="77777777" w:rsidR="00FC1013" w:rsidRDefault="00FC1013"/>
    <w:p w14:paraId="506724FC" w14:textId="77777777" w:rsidR="00FC1013" w:rsidRDefault="00FC1013"/>
    <w:p w14:paraId="2002AC11" w14:textId="77777777" w:rsidR="00FC1013" w:rsidRDefault="00FC1013"/>
    <w:p w14:paraId="218FDDD2" w14:textId="77777777" w:rsidR="00FC1013" w:rsidRDefault="00FC1013"/>
    <w:p w14:paraId="273D8C5E" w14:textId="77777777" w:rsidR="00FC1013" w:rsidRDefault="00FC1013"/>
    <w:p w14:paraId="7F3ECC22" w14:textId="77777777" w:rsidR="00FC1013" w:rsidRDefault="00FC1013"/>
    <w:p w14:paraId="272A3A53" w14:textId="77777777" w:rsidR="00FC1013" w:rsidRDefault="00FC1013"/>
    <w:p w14:paraId="1A0C534D" w14:textId="77777777" w:rsidR="00FC1013" w:rsidRDefault="00FC1013"/>
    <w:p w14:paraId="65E47FF2" w14:textId="77777777" w:rsidR="00FC1013" w:rsidRDefault="00FC1013"/>
    <w:p w14:paraId="0A0D51FD" w14:textId="77777777" w:rsidR="00FC1013" w:rsidRDefault="00FC1013"/>
    <w:p w14:paraId="3C0F200A" w14:textId="77777777" w:rsidR="00FC1013" w:rsidRDefault="00FC1013"/>
    <w:p w14:paraId="2B4D0443" w14:textId="77777777" w:rsidR="00FC1013" w:rsidRDefault="00FC1013"/>
    <w:p w14:paraId="44A95602" w14:textId="77777777" w:rsidR="00FC1013" w:rsidRDefault="00FC1013"/>
    <w:p w14:paraId="2F555222" w14:textId="77777777" w:rsidR="00FC1013" w:rsidRDefault="00FC1013"/>
    <w:p w14:paraId="773CC029" w14:textId="77777777" w:rsidR="00FC1013" w:rsidRDefault="00FC1013"/>
    <w:p w14:paraId="70A4CE9E" w14:textId="77777777" w:rsidR="00FC1013" w:rsidRDefault="00FC1013"/>
    <w:p w14:paraId="7D9768A0" w14:textId="77777777" w:rsidR="00FC1013" w:rsidRDefault="00FC1013"/>
    <w:tbl>
      <w:tblPr>
        <w:tblStyle w:val="Holdingtable"/>
        <w:tblW w:w="9777" w:type="dxa"/>
        <w:tblLayout w:type="fixed"/>
        <w:tblCellMar>
          <w:left w:w="108" w:type="dxa"/>
          <w:right w:w="108" w:type="dxa"/>
          <w:top w:type="dxa" w:w="36"/>
          <w:bottom w:type="dxa" w:w="36"/>
        </w:tblCellMar>
        <w:tblLook w:val="04A0" w:firstRow="1" w:lastRow="0" w:firstColumn="1" w:lastColumn="0" w:noHBand="0" w:noVBand="1"/>
        <w:tblInd w:type="dxa" w:w="0"/>
      </w:tblPr>
      <w:tblGrid>
        <w:gridCol w:w="3207"/>
        <w:gridCol w:w="1895"/>
        <w:gridCol w:w="4520"/>
      </w:tblGrid>
      <w:tr w:rsidR="00FC1013" w14:paraId="6E9D92D4" w14:textId="77777777">
        <w:tc>
          <w:tcPr>
            <w:tcW w:w="3259" w:type="dxa"/>
          </w:tcPr>
          <w:p w14:paraId="3495AB40" w14:textId="77777777" w:rsidR="00FC1013" w:rsidRDefault="004C465B">
            <w:pPr>
              <w:rPr>
                <w:rFonts w:ascii="Arial" w:eastAsia="Arial" w:hAnsi="Arial"/>
              </w:rPr>
              <w:spacing w:before="0" w:after="0" w:line="240" w:lineRule="atLeast"/>
            </w:pPr>
            <w:r>
              <w:rPr>
                <w:rFonts w:eastAsia="Arial" w:ascii="Arial" w:hAnsi="Arial" w:cs="Arial"/>
                <w:b/>
                <w:bCs/>
                <w:sz w:val="16"/>
                <w:szCs w:val="16"/>
              </w:rPr>
              <w:t>Document Number</w:t>
            </w:r>
          </w:p>
        </w:tc>
        <w:tc>
          <w:tcPr>
            <w:tcW w:w="3259" w:type="dxa"/>
          </w:tcPr>
          <w:p w14:paraId="6CD78A18" w14:textId="77777777" w:rsidR="00FC1013" w:rsidRDefault="004C465B">
            <w:pPr>
              <w:rPr>
                <w:b/>
                <w:bCs/>
              </w:rPr>
              <w:spacing w:before="0" w:after="0" w:line="240" w:lineRule="atLeast"/>
            </w:pPr>
            <w:r>
              <w:rPr>
                <w:rFonts w:eastAsia="Arial" w:ascii="Arial" w:hAnsi="Arial" w:cs="Arial"/>
                <w:b/>
                <w:bCs/>
                <w:sz w:val="16"/>
                <w:szCs w:val="16"/>
              </w:rPr>
              <w:t>Revision</w:t>
            </w:r>
          </w:p>
        </w:tc>
        <w:tc>
          <w:tcPr>
            <w:tcW w:w="3259" w:type="dxa"/>
          </w:tcPr>
          <w:p w14:paraId="23D99E60" w14:textId="77777777" w:rsidR="00FC1013" w:rsidRDefault="004C465B">
            <w:pPr>
              <w:rPr>
                <w:b/>
                <w:bCs/>
              </w:rPr>
              <w:spacing w:before="0" w:after="0" w:line="240" w:lineRule="atLeast"/>
            </w:pPr>
            <w:r>
              <w:rPr>
                <w:rFonts w:eastAsia="Arial" w:ascii="Arial" w:hAnsi="Arial" w:cs="Arial"/>
                <w:b/>
                <w:bCs/>
                <w:sz w:val="16"/>
                <w:szCs w:val="16"/>
              </w:rPr>
              <w:t>Date</w:t>
            </w:r>
          </w:p>
        </w:tc>
      </w:tr>
      <w:tr w:rsidR="00FC1013" w14:paraId="153840A8" w14:textId="77777777">
        <w:trPr>
          <w:trHeight w:val="466"/>
        </w:trPr>
        <w:tc>
          <w:tcPr>
            <w:tcW w:w="3259" w:type="dxa"/>
          </w:tcPr>
          <w:p w14:paraId="2E16B392" w14:textId="77777777" w:rsidR="00FC1013" w:rsidRDefault="004C465B">
            <w:pPr>
              <w:rPr>
                <w:rFonts w:ascii="Arial" w:eastAsia="Arial" w:hAnsi="Arial"/>
              </w:rPr>
              <w:spacing w:before="0" w:after="0" w:line="240" w:lineRule="atLeast"/>
            </w:pPr>
            <w:r>
              <w:rPr>
                <w:rFonts w:eastAsia="Arial" w:ascii="Arial" w:hAnsi="Arial" w:cs="Arial"/>
                <w:sz w:val="16"/>
                <w:szCs w:val="16"/>
              </w:rPr>
              <w:t>[INSERT: Project Document Number]</w:t>
            </w:r>
          </w:p>
        </w:tc>
        <w:tc>
          <w:tcPr>
            <w:tcW w:w="3259" w:type="dxa"/>
          </w:tcPr>
          <w:p w14:paraId="37F3B8E3" w14:textId="77777777" w:rsidR="00FC1013" w:rsidRDefault="004C465B">
            <w:pPr>
              <w:rPr>
                <w:rFonts w:ascii="Arial" w:eastAsia="Arial" w:hAnsi="Arial"/>
              </w:rPr>
              <w:spacing w:before="0" w:after="0" w:line="240" w:lineRule="atLeast"/>
            </w:pPr>
            <w:r>
              <w:rPr>
                <w:rFonts w:eastAsia="Arial" w:ascii="Arial" w:hAnsi="Arial" w:cs="Arial"/>
                <w:sz w:val="16"/>
                <w:szCs w:val="16"/>
              </w:rPr>
              <w:t>Rev 0</w:t>
            </w:r>
          </w:p>
        </w:tc>
        <w:tc>
          <w:tcPr>
            <w:tcW w:w="3259" w:type="dxa"/>
          </w:tcPr>
          <w:p w14:paraId="1C08B5EF" w14:textId="77777777" w:rsidR="00FC1013" w:rsidRDefault="00C46050">
            <w:pPr>
              <w:rPr>
                <w:rFonts w:ascii="Arial" w:eastAsia="Arial" w:hAnsi="Arial"/>
              </w:rPr>
              <w:spacing w:before="0" w:after="0" w:line="240" w:lineRule="atLeast"/>
            </w:pPr>
            <w:r>
              <w:rPr>
                <w:rFonts w:eastAsia="Arial" w:ascii="Arial" w:hAnsi="Arial" w:cs="Arial"/>
                <w:sz w:val="16"/>
                <w:szCs w:val="16"/>
              </w:rPr>
              <w:t>30/06/2026</w:t>
            </w:r>
          </w:p>
        </w:tc>
      </w:tr>
    </w:tbl>
    <w:p w14:paraId="2A1534AA" w14:textId="77777777" w:rsidR="00FC1013" w:rsidRDefault="00FC1013"/>
    <w:p w14:paraId="0A922A1D" w14:textId="77777777" w:rsidR="00FC1013" w:rsidRDefault="00FC1013"/>
    <w:tbl>
      <w:tblPr>
        <w:tblStyle w:val="TableGrid"/>
        <w:tblW w:w="9777" w:type="dxa"/>
        <w:tblInd w:w="0" w:type="dxa"/>
        <w:tblLayout w:type="fixed"/>
        <w:tblLook w:val="04A0" w:firstRow="1" w:lastRow="0" w:firstColumn="1" w:lastColumn="0" w:noHBand="0" w:noVBand="1"/>
        <w:tblCellMar>
          <w:top w:type="dxa" w:w="36"/>
          <w:bottom w:type="dxa" w:w="36"/>
          <w:left w:type="dxa" w:w="108"/>
          <w:right w:type="dxa" w:w="108"/>
        </w:tblCellMar>
      </w:tblPr>
      <w:tblGrid>
        <w:gridCol w:w="1419"/>
        <w:gridCol w:w="1847"/>
        <w:gridCol w:w="3260"/>
        <w:gridCol w:w="3071"/>
      </w:tblGrid>
      <w:tr w:rsidR="00FC1013" w14:paraId="42A4BE91" w14:textId="77777777">
        <w:trPr>
          <w:trHeight w:val="340"/>
        </w:trPr>
        <w:tc>
          <w:tcPr>
            <w:tcW w:w="2444" w:type="dxa"/>
            <w:shd w:val="clear" w:color="auto" w:fill="F2F2F2" w:themeFill="background1" w:themeFillShade="F2"/>
          </w:tcPr>
          <w:p w14:paraId="24665189" w14:textId="77777777" w:rsidR="00FC1013" w:rsidRDefault="004C465B">
            <w:pPr>
              <w:rPr>
                <w:b/>
                <w:bCs/>
              </w:rPr>
              <w:spacing w:before="0" w:after="0" w:line="240" w:lineRule="atLeast"/>
            </w:pPr>
            <w:r>
              <w:rPr>
                <w:rFonts w:eastAsia="Arial" w:ascii="Arial" w:hAnsi="Arial" w:cs="Arial"/>
                <w:b/>
                <w:bCs/>
                <w:sz w:val="16"/>
                <w:szCs w:val="16"/>
              </w:rPr>
              <w:t xml:space="preserve"> Status</w:t>
            </w:r>
          </w:p>
        </w:tc>
        <w:tc>
          <w:tcPr>
            <w:tcW w:w="2444" w:type="dxa"/>
            <w:shd w:val="clear" w:color="auto" w:fill="F2F2F2" w:themeFill="background1" w:themeFillShade="F2"/>
          </w:tcPr>
          <w:p w14:paraId="0452B4B0" w14:textId="77777777" w:rsidR="00FC1013" w:rsidRDefault="004C465B">
            <w:pPr>
              <w:rPr>
                <w:b/>
                <w:bCs/>
              </w:rPr>
              <w:spacing w:before="0" w:after="0" w:line="240" w:lineRule="atLeast"/>
            </w:pPr>
            <w:r>
              <w:rPr>
                <w:rFonts w:eastAsia="Arial" w:ascii="Arial" w:hAnsi="Arial" w:cs="Arial"/>
                <w:b/>
                <w:bCs/>
                <w:sz w:val="16"/>
                <w:szCs w:val="16"/>
              </w:rPr>
              <w:t>Name</w:t>
            </w:r>
          </w:p>
        </w:tc>
        <w:tc>
          <w:tcPr>
            <w:tcW w:w="2444" w:type="dxa"/>
            <w:shd w:val="clear" w:color="auto" w:fill="F2F2F2" w:themeFill="background1" w:themeFillShade="F2"/>
          </w:tcPr>
          <w:p w14:paraId="73EA7516" w14:textId="77777777" w:rsidR="00FC1013" w:rsidRDefault="004C465B">
            <w:pPr>
              <w:rPr>
                <w:b/>
                <w:bCs/>
              </w:rPr>
              <w:spacing w:before="0" w:after="0" w:line="240" w:lineRule="atLeast"/>
            </w:pPr>
            <w:r>
              <w:rPr>
                <w:rFonts w:eastAsia="Arial" w:ascii="Arial" w:hAnsi="Arial" w:cs="Arial"/>
                <w:b/>
                <w:bCs/>
                <w:sz w:val="16"/>
                <w:szCs w:val="16"/>
              </w:rPr>
              <w:t>Position</w:t>
            </w:r>
          </w:p>
        </w:tc>
        <w:tc>
          <w:tcPr>
            <w:tcW w:w="2445" w:type="dxa"/>
            <w:shd w:val="clear" w:color="auto" w:fill="F2F2F2" w:themeFill="background1" w:themeFillShade="F2"/>
          </w:tcPr>
          <w:p w14:paraId="049AD331" w14:textId="77777777" w:rsidR="00FC1013" w:rsidRDefault="004C465B">
            <w:pPr>
              <w:rPr>
                <w:b/>
                <w:bCs/>
              </w:rPr>
              <w:spacing w:before="0" w:after="0" w:line="240" w:lineRule="atLeast"/>
            </w:pPr>
            <w:r>
              <w:rPr>
                <w:rFonts w:eastAsia="Arial" w:ascii="Arial" w:hAnsi="Arial" w:cs="Arial"/>
                <w:b/>
                <w:bCs/>
                <w:sz w:val="16"/>
                <w:szCs w:val="16"/>
              </w:rPr>
              <w:t>Signature</w:t>
            </w:r>
          </w:p>
        </w:tc>
      </w:tr>
      <w:tr w:rsidR="00FC1013" w14:paraId="17860165" w14:textId="77777777">
        <w:trPr>
          <w:trHeight w:val="340"/>
        </w:trPr>
        <w:tc>
          <w:tcPr>
            <w:tcW w:w="2444" w:type="dxa"/>
            <w:tcBorders>
              <w:bottom w:val="dotted" w:sz="4" w:space="0" w:color="000000"/>
            </w:tcBorders>
          </w:tcPr>
          <w:p w14:paraId="452F8A41" w14:textId="77777777" w:rsidR="00FC1013" w:rsidRDefault="004C465B">
            <w:pPr>
              <w:rPr>
                <w:rFonts w:ascii="Arial" w:eastAsia="Arial" w:hAnsi="Arial"/>
              </w:rPr>
              <w:spacing w:before="0" w:after="0" w:line="240" w:lineRule="atLeast"/>
            </w:pPr>
            <w:r>
              <w:rPr>
                <w:rFonts w:eastAsia="Arial" w:ascii="Arial" w:hAnsi="Arial" w:cs="Arial"/>
                <w:sz w:val="16"/>
                <w:szCs w:val="16"/>
              </w:rPr>
              <w:t>Originator</w:t>
            </w:r>
          </w:p>
        </w:tc>
        <w:tc>
          <w:tcPr>
            <w:tcW w:w="2444" w:type="dxa"/>
            <w:tcBorders>
              <w:bottom w:val="dotted" w:sz="4" w:space="0" w:color="000000"/>
            </w:tcBorders>
          </w:tcPr>
          <w:p w14:paraId="4BD7C7B0" w14:textId="77777777" w:rsidR="00FC1013" w:rsidRDefault="004C465B">
            <w:pPr>
              <w:rPr>
                <w:rFonts w:ascii="Arial" w:eastAsia="Arial" w:hAnsi="Arial"/>
              </w:rPr>
              <w:spacing w:before="0" w:after="0" w:line="240" w:lineRule="atLeast"/>
            </w:pPr>
            <w:r>
              <w:rPr>
                <w:rFonts w:eastAsia="Arial" w:ascii="Arial" w:hAnsi="Arial" w:cs="Arial"/>
                <w:sz w:val="16"/>
                <w:szCs w:val="16"/>
              </w:rPr>
              <w:t>Ashleigh Phillips</w:t>
            </w:r>
          </w:p>
        </w:tc>
        <w:tc>
          <w:tcPr>
            <w:tcW w:w="2444" w:type="dxa"/>
            <w:tcBorders>
              <w:bottom w:val="dotted" w:sz="4" w:space="0" w:color="000000"/>
            </w:tcBorders>
          </w:tcPr>
          <w:p w14:paraId="3014903E" w14:textId="77777777" w:rsidR="00FC1013" w:rsidRDefault="004C465B">
            <w:pPr>
              <w:rPr>
                <w:rFonts w:ascii="Arial" w:eastAsia="Arial" w:hAnsi="Arial"/>
              </w:rPr>
              <w:spacing w:before="0" w:after="0" w:line="240" w:lineRule="atLeast"/>
            </w:pPr>
            <w:r>
              <w:rPr>
                <w:rFonts w:eastAsia="Arial" w:ascii="Arial" w:hAnsi="Arial" w:cs="Arial"/>
                <w:sz w:val="16"/>
                <w:szCs w:val="16"/>
              </w:rPr>
              <w:t>[External] HSES Industry Partners</w:t>
            </w:r>
          </w:p>
        </w:tc>
        <w:tc>
          <w:tcPr>
            <w:tcW w:w="2445" w:type="dxa"/>
            <w:tcBorders>
              <w:bottom w:val="dotted" w:sz="4" w:space="0" w:color="000000"/>
            </w:tcBorders>
          </w:tcPr>
          <w:p w14:paraId="1FEE642E" w14:textId="77777777" w:rsidR="00FC1013" w:rsidRDefault="00FC1013">
            <w:pPr>
              <w:rPr>
                <w:rFonts w:ascii="Arial" w:eastAsia="Arial" w:hAnsi="Arial"/>
              </w:rPr>
              <w:spacing w:before="0" w:after="0" w:line="240" w:lineRule="atLeast"/>
            </w:pPr>
          </w:p>
        </w:tc>
      </w:tr>
      <w:tr w:rsidR="00FC1013" w14:paraId="3F76D41D" w14:textId="77777777">
        <w:trPr>
          <w:trHeight w:val="340"/>
        </w:trPr>
        <w:tc>
          <w:tcPr>
            <w:tcW w:w="2444" w:type="dxa"/>
            <w:tcBorders>
              <w:top w:val="dotted" w:sz="4" w:space="0" w:color="000000"/>
              <w:bottom w:val="dotted" w:sz="4" w:space="0" w:color="000000"/>
            </w:tcBorders>
          </w:tcPr>
          <w:p w14:paraId="0AF03A84" w14:textId="77777777" w:rsidR="00FC1013" w:rsidRDefault="004C465B">
            <w:pPr>
              <w:rPr>
                <w:rFonts w:ascii="Arial" w:eastAsia="Arial" w:hAnsi="Arial"/>
              </w:rPr>
              <w:spacing w:before="0" w:after="0" w:line="240" w:lineRule="atLeast"/>
            </w:pPr>
            <w:r>
              <w:rPr>
                <w:rFonts w:eastAsia="Arial" w:ascii="Arial" w:hAnsi="Arial" w:cs="Arial"/>
                <w:sz w:val="16"/>
                <w:szCs w:val="16"/>
              </w:rPr>
              <w:t>Reviewed</w:t>
            </w:r>
          </w:p>
        </w:tc>
        <w:tc>
          <w:tcPr>
            <w:tcW w:w="2444" w:type="dxa"/>
            <w:tcBorders>
              <w:top w:val="dotted" w:sz="4" w:space="0" w:color="000000"/>
              <w:bottom w:val="dotted" w:sz="4" w:space="0" w:color="000000"/>
            </w:tcBorders>
          </w:tcPr>
          <w:p w14:paraId="3D017D9F" w14:textId="77777777" w:rsidR="00FC1013" w:rsidRDefault="004C465B">
            <w:pPr>
              <w:rPr>
                <w:rFonts w:ascii="Arial" w:eastAsia="Arial" w:hAnsi="Arial"/>
              </w:rPr>
              <w:spacing w:before="0" w:after="0" w:line="240" w:lineRule="atLeast"/>
            </w:pPr>
            <w:r>
              <w:rPr>
                <w:rFonts w:eastAsia="Arial" w:ascii="Arial" w:hAnsi="Arial" w:cs="Arial"/>
                <w:sz w:val="16"/>
                <w:szCs w:val="16"/>
              </w:rPr>
              <w:t>Kirsten Snyman</w:t>
            </w:r>
          </w:p>
        </w:tc>
        <w:tc>
          <w:tcPr>
            <w:tcW w:w="2444" w:type="dxa"/>
            <w:tcBorders>
              <w:top w:val="dotted" w:sz="4" w:space="0" w:color="000000"/>
              <w:bottom w:val="dotted" w:sz="4" w:space="0" w:color="000000"/>
            </w:tcBorders>
          </w:tcPr>
          <w:p w14:paraId="7D3D01EB" w14:textId="77777777" w:rsidR="00FC1013" w:rsidRDefault="004C465B">
            <w:pPr>
              <w:rPr>
                <w:rFonts w:ascii="Arial" w:eastAsia="Arial" w:hAnsi="Arial"/>
              </w:rPr>
              <w:spacing w:before="0" w:after="0" w:line="240" w:lineRule="atLeast"/>
            </w:pPr>
            <w:r>
              <w:rPr>
                <w:rFonts w:eastAsia="Arial" w:ascii="Arial" w:hAnsi="Arial" w:cs="Arial"/>
                <w:sz w:val="16"/>
                <w:szCs w:val="16"/>
              </w:rPr>
              <w:t>Snr Manager, CSP RioProjects</w:t>
            </w:r>
          </w:p>
        </w:tc>
        <w:tc>
          <w:tcPr>
            <w:tcW w:w="2445" w:type="dxa"/>
            <w:tcBorders>
              <w:top w:val="dotted" w:sz="4" w:space="0" w:color="000000"/>
              <w:bottom w:val="dotted" w:sz="4" w:space="0" w:color="000000"/>
            </w:tcBorders>
          </w:tcPr>
          <w:p w14:paraId="287F8750" w14:textId="77777777" w:rsidR="00FC1013" w:rsidRDefault="00FC1013">
            <w:pPr>
              <w:rPr>
                <w:rFonts w:ascii="Arial" w:eastAsia="Arial" w:hAnsi="Arial"/>
              </w:rPr>
              <w:spacing w:before="0" w:after="0" w:line="240" w:lineRule="atLeast"/>
            </w:pPr>
          </w:p>
        </w:tc>
      </w:tr>
      <w:tr w:rsidR="00FC1013" w14:paraId="14D2A514" w14:textId="77777777">
        <w:trPr>
          <w:trHeight w:val="340"/>
        </w:trPr>
        <w:tc>
          <w:tcPr>
            <w:tcW w:w="2444" w:type="dxa"/>
            <w:tcBorders>
              <w:top w:val="dotted" w:sz="4" w:space="0" w:color="000000"/>
              <w:bottom w:val="dotted" w:sz="4" w:space="0" w:color="000000"/>
            </w:tcBorders>
          </w:tcPr>
          <w:p w14:paraId="4CB44463" w14:textId="77777777" w:rsidR="00FC1013" w:rsidRDefault="004C465B">
            <w:pPr>
              <w:rPr>
                <w:rFonts w:ascii="Arial" w:eastAsia="Arial" w:hAnsi="Arial"/>
              </w:rPr>
              <w:spacing w:before="0" w:after="0" w:line="240" w:lineRule="atLeast"/>
            </w:pPr>
            <w:r>
              <w:rPr>
                <w:rFonts w:eastAsia="Arial" w:ascii="Arial" w:hAnsi="Arial" w:cs="Arial"/>
                <w:sz w:val="16"/>
                <w:szCs w:val="16"/>
              </w:rPr>
              <w:t>Reviewed</w:t>
            </w:r>
          </w:p>
        </w:tc>
        <w:tc>
          <w:tcPr>
            <w:tcW w:w="2444" w:type="dxa"/>
            <w:tcBorders>
              <w:top w:val="dotted" w:sz="4" w:space="0" w:color="000000"/>
              <w:bottom w:val="dotted" w:sz="4" w:space="0" w:color="000000"/>
            </w:tcBorders>
          </w:tcPr>
          <w:p w14:paraId="3AB05A5D" w14:textId="77777777" w:rsidR="00FC1013" w:rsidRDefault="004C465B">
            <w:pPr>
              <w:rPr>
                <w:rFonts w:ascii="Arial" w:eastAsia="Arial" w:hAnsi="Arial"/>
              </w:rPr>
              <w:spacing w:before="0" w:after="0" w:line="240" w:lineRule="atLeast"/>
            </w:pPr>
            <w:r>
              <w:rPr>
                <w:rFonts w:eastAsia="Arial" w:ascii="Arial" w:hAnsi="Arial" w:cs="Arial"/>
                <w:sz w:val="16"/>
                <w:szCs w:val="16"/>
              </w:rPr>
              <w:t>Matt Moroz</w:t>
            </w:r>
          </w:p>
        </w:tc>
        <w:tc>
          <w:tcPr>
            <w:tcW w:w="2444" w:type="dxa"/>
            <w:tcBorders>
              <w:top w:val="dotted" w:sz="4" w:space="0" w:color="000000"/>
              <w:bottom w:val="dotted" w:sz="4" w:space="0" w:color="000000"/>
            </w:tcBorders>
          </w:tcPr>
          <w:p w14:paraId="1A8777CE" w14:textId="77777777" w:rsidR="00FC1013" w:rsidRDefault="004C465B">
            <w:pPr>
              <w:rPr>
                <w:rFonts w:ascii="Arial" w:eastAsia="Arial" w:hAnsi="Arial"/>
              </w:rPr>
              <w:spacing w:before="0" w:after="0" w:line="240" w:lineRule="atLeast"/>
            </w:pPr>
            <w:r>
              <w:rPr>
                <w:rFonts w:eastAsia="Arial" w:ascii="Arial" w:hAnsi="Arial" w:cs="Arial"/>
                <w:sz w:val="16"/>
                <w:szCs w:val="16"/>
              </w:rPr>
              <w:t>Snr Manager, HSES RioProjects</w:t>
            </w:r>
          </w:p>
        </w:tc>
        <w:tc>
          <w:tcPr>
            <w:tcW w:w="2445" w:type="dxa"/>
            <w:tcBorders>
              <w:top w:val="dotted" w:sz="4" w:space="0" w:color="000000"/>
              <w:bottom w:val="dotted" w:sz="4" w:space="0" w:color="000000"/>
            </w:tcBorders>
          </w:tcPr>
          <w:p w14:paraId="5A0BE164" w14:textId="77777777" w:rsidR="00FC1013" w:rsidRDefault="00FC1013">
            <w:pPr>
              <w:rPr>
                <w:rFonts w:ascii="Arial" w:eastAsia="Arial" w:hAnsi="Arial"/>
              </w:rPr>
              <w:spacing w:before="0" w:after="0" w:line="240" w:lineRule="atLeast"/>
            </w:pPr>
          </w:p>
        </w:tc>
      </w:tr>
      <w:tr w:rsidR="00FC1013" w14:paraId="52143E74" w14:textId="77777777">
        <w:trPr>
          <w:trHeight w:val="340"/>
        </w:trPr>
        <w:tc>
          <w:tcPr>
            <w:tcW w:w="2444" w:type="dxa"/>
            <w:tcBorders>
              <w:top w:val="dotted" w:sz="4" w:space="0" w:color="000000"/>
            </w:tcBorders>
          </w:tcPr>
          <w:p w14:paraId="7013AB62" w14:textId="77777777" w:rsidR="00FC1013" w:rsidRDefault="004C465B">
            <w:pPr>
              <w:rPr>
                <w:rFonts w:ascii="Arial" w:eastAsia="Arial" w:hAnsi="Arial"/>
              </w:rPr>
              <w:spacing w:before="0" w:after="0" w:line="240" w:lineRule="atLeast"/>
            </w:pPr>
            <w:r>
              <w:rPr>
                <w:rFonts w:eastAsia="Arial" w:ascii="Arial" w:hAnsi="Arial" w:cs="Arial"/>
                <w:sz w:val="16"/>
                <w:szCs w:val="16"/>
              </w:rPr>
              <w:t>Approved</w:t>
            </w:r>
          </w:p>
        </w:tc>
        <w:tc>
          <w:tcPr>
            <w:tcW w:w="2444" w:type="dxa"/>
            <w:tcBorders>
              <w:top w:val="dotted" w:sz="4" w:space="0" w:color="000000"/>
            </w:tcBorders>
          </w:tcPr>
          <w:p w14:paraId="3DA2B481" w14:textId="77777777" w:rsidR="00FC1013" w:rsidRDefault="004C465B">
            <w:pPr>
              <w:rPr>
                <w:rFonts w:ascii="Arial" w:eastAsia="Arial" w:hAnsi="Arial"/>
              </w:rPr>
              <w:spacing w:before="0" w:after="0" w:line="240" w:lineRule="atLeast"/>
            </w:pPr>
            <w:r>
              <w:rPr>
                <w:rFonts w:eastAsia="Arial" w:ascii="Arial" w:hAnsi="Arial" w:cs="Arial"/>
                <w:sz w:val="16"/>
                <w:szCs w:val="16"/>
              </w:rPr>
              <w:t>Greg Doyle</w:t>
            </w:r>
          </w:p>
        </w:tc>
        <w:tc>
          <w:tcPr>
            <w:tcW w:w="2444" w:type="dxa"/>
            <w:tcBorders>
              <w:top w:val="dotted" w:sz="4" w:space="0" w:color="000000"/>
            </w:tcBorders>
          </w:tcPr>
          <w:p w14:paraId="25F393E7" w14:textId="77777777" w:rsidR="00FC1013" w:rsidRDefault="004C465B">
            <w:pPr>
              <w:rPr>
                <w:rFonts w:ascii="Arial" w:eastAsia="Arial" w:hAnsi="Arial"/>
              </w:rPr>
              <w:spacing w:before="0" w:after="0" w:line="240" w:lineRule="atLeast"/>
            </w:pPr>
            <w:r>
              <w:rPr>
                <w:rFonts w:eastAsia="Arial" w:ascii="Arial" w:hAnsi="Arial" w:cs="Arial"/>
                <w:sz w:val="16"/>
                <w:szCs w:val="16"/>
              </w:rPr>
              <w:t>Vice President HSESC, SD&amp;T</w:t>
            </w:r>
          </w:p>
        </w:tc>
        <w:tc>
          <w:tcPr>
            <w:tcW w:w="2445" w:type="dxa"/>
            <w:tcBorders>
              <w:top w:val="dotted" w:sz="4" w:space="0" w:color="000000"/>
            </w:tcBorders>
          </w:tcPr>
          <w:p w14:paraId="0C7DD2FF" w14:textId="77777777" w:rsidR="00FC1013" w:rsidRDefault="00FC1013">
            <w:pPr>
              <w:rPr>
                <w:rFonts w:ascii="Arial" w:eastAsia="Arial" w:hAnsi="Arial"/>
              </w:rPr>
              <w:spacing w:before="0" w:after="0" w:line="240" w:lineRule="atLeast"/>
            </w:pPr>
          </w:p>
        </w:tc>
      </w:tr>
    </w:tbl>
    <w:p w14:paraId="6DACBC5C" w14:textId="77777777" w:rsidR="00FC1013" w:rsidRDefault="00FC1013"/>
    <w:p w14:paraId="16C2F58F" w14:textId="77777777" w:rsidR="00FC1013" w:rsidRPr="007B6B9B" w:rsidRDefault="004C465B">
      <w:pPr>
        <w:rPr>
          <w:rFonts w:asciiTheme="majorHAnsi" w:eastAsiaTheme="majorEastAsia" w:hAnsiTheme="majorHAnsi" w:cstheme="majorBidi"/>
          <w:b/>
          <w:szCs w:val="32"/>
        </w:rPr>
      </w:pPr>
      <w:r>
        <w:br w:type="page"/>
      </w:r>
    </w:p>
    <w:p w14:paraId="50532439" w14:textId="77777777" w:rsidR="00FC1013" w:rsidRDefault="004C465B">
      <w:pPr>
        <w:spacing w:after="920"/>
        <w:rPr>
          <w:sz w:val="56"/>
          <w:szCs w:val="56"/>
        </w:rPr>
      </w:pPr>
      <w:r>
        <w:rPr>
          <w:sz w:val="56"/>
          <w:szCs w:val="56"/>
        </w:rPr>
        <w:lastRenderedPageBreak/>
        <w:t>Contents</w:t>
      </w:r>
    </w:p>
    <w:sdt>
      <w:sdtPr>
        <w:id w:val="747538175"/>
        <w:docPartObj>
          <w:docPartGallery w:val="Table of Contents"/>
          <w:docPartUnique/>
        </w:docPartObj>
      </w:sdtPr>
      <w:sdtEndPr/>
      <w:sdtContent>
        <w:p w14:paraId="0D143738" w14:textId="0F56A9A0" w:rsidR="00B03658" w:rsidRDefault="004C465B">
          <w:pPr>
            <w:pStyle w:val="TOC1"/>
            <w:rPr>
              <w:rFonts w:eastAsiaTheme="minorEastAsia"/>
              <w:b w:val="0"/>
              <w:noProof/>
              <w:kern w:val="2"/>
              <w:sz w:val="24"/>
              <w:lang w:val="en-AU" w:eastAsia="en-AU"/>
              <w14:ligatures w14:val="standardContextual"/>
            </w:rPr>
          </w:pPr>
          <w:r>
            <w:fldChar w:fldCharType="begin"/>
          </w:r>
          <w:r>
            <w:rPr>
              <w:rStyle w:val="IndexLink"/>
              <w:webHidden/>
            </w:rPr>
            <w:instrText xml:space="preserve"> TOC \z \o "1-3" \u \h</w:instrText>
          </w:r>
          <w:r>
            <w:rPr>
              <w:rStyle w:val="IndexLink"/>
            </w:rPr>
            <w:fldChar w:fldCharType="separate"/>
          </w:r>
          <w:hyperlink w:anchor="_Toc232534342" w:history="1">
            <w:r w:rsidR="00B03658" w:rsidRPr="00B04E7F">
              <w:rPr>
                <w:rStyle w:val="Hyperlink"/>
                <w:noProof/>
              </w:rPr>
              <w:t>0</w:t>
            </w:r>
            <w:r w:rsidR="00B03658">
              <w:rPr>
                <w:rFonts w:eastAsiaTheme="minorEastAsia"/>
                <w:b w:val="0"/>
                <w:noProof/>
                <w:kern w:val="2"/>
                <w:sz w:val="24"/>
                <w:lang w:val="en-AU" w:eastAsia="en-AU"/>
                <w14:ligatures w14:val="standardContextual"/>
              </w:rPr>
              <w:tab/>
            </w:r>
            <w:r w:rsidR="00B03658" w:rsidRPr="00B04E7F">
              <w:rPr>
                <w:rStyle w:val="Hyperlink"/>
                <w:noProof/>
              </w:rPr>
              <w:t>How to Use This Document</w:t>
            </w:r>
            <w:r w:rsidR="00B03658">
              <w:rPr>
                <w:noProof/>
                <w:webHidden/>
              </w:rPr>
              <w:tab/>
            </w:r>
            <w:r w:rsidR="00B03658">
              <w:rPr>
                <w:noProof/>
                <w:webHidden/>
              </w:rPr>
              <w:fldChar w:fldCharType="begin"/>
            </w:r>
            <w:r w:rsidR="00B03658">
              <w:rPr>
                <w:noProof/>
                <w:webHidden/>
              </w:rPr>
              <w:instrText xml:space="preserve"> PAGEREF _Toc232534342 \h </w:instrText>
            </w:r>
            <w:r w:rsidR="00B03658">
              <w:rPr>
                <w:noProof/>
                <w:webHidden/>
              </w:rPr>
            </w:r>
            <w:r w:rsidR="00B03658">
              <w:rPr>
                <w:noProof/>
                <w:webHidden/>
              </w:rPr>
              <w:fldChar w:fldCharType="separate"/>
            </w:r>
            <w:r w:rsidR="00B03658">
              <w:rPr>
                <w:noProof/>
                <w:webHidden/>
              </w:rPr>
              <w:t>3</w:t>
            </w:r>
            <w:r w:rsidR="00B03658">
              <w:rPr>
                <w:noProof/>
                <w:webHidden/>
              </w:rPr>
              <w:fldChar w:fldCharType="end"/>
            </w:r>
          </w:hyperlink>
        </w:p>
        <w:p w14:paraId="5B971EE2" w14:textId="096CA7A9" w:rsidR="00B03658" w:rsidRDefault="00B03658">
          <w:pPr>
            <w:pStyle w:val="TOC2"/>
            <w:tabs>
              <w:tab w:val="left" w:pos="1134"/>
            </w:tabs>
            <w:rPr>
              <w:rFonts w:eastAsiaTheme="minorEastAsia"/>
              <w:noProof/>
              <w:kern w:val="2"/>
              <w:sz w:val="24"/>
              <w:lang w:val="en-AU" w:eastAsia="en-AU"/>
              <w14:ligatures w14:val="standardContextual"/>
            </w:rPr>
          </w:pPr>
          <w:hyperlink w:anchor="_Toc232534343" w:history="1">
            <w:r w:rsidRPr="00B04E7F">
              <w:rPr>
                <w:rStyle w:val="Hyperlink"/>
                <w:noProof/>
              </w:rPr>
              <w:t>0.1</w:t>
            </w:r>
            <w:r>
              <w:rPr>
                <w:rFonts w:eastAsiaTheme="minorEastAsia"/>
                <w:noProof/>
                <w:kern w:val="2"/>
                <w:sz w:val="24"/>
                <w:lang w:val="en-AU" w:eastAsia="en-AU"/>
                <w14:ligatures w14:val="standardContextual"/>
              </w:rPr>
              <w:tab/>
            </w:r>
            <w:r w:rsidRPr="00B04E7F">
              <w:rPr>
                <w:rStyle w:val="Hyperlink"/>
                <w:noProof/>
              </w:rPr>
              <w:t>Purpose of This Template</w:t>
            </w:r>
            <w:r>
              <w:rPr>
                <w:noProof/>
                <w:webHidden/>
              </w:rPr>
              <w:tab/>
            </w:r>
            <w:r>
              <w:rPr>
                <w:noProof/>
                <w:webHidden/>
              </w:rPr>
              <w:fldChar w:fldCharType="begin"/>
            </w:r>
            <w:r>
              <w:rPr>
                <w:noProof/>
                <w:webHidden/>
              </w:rPr>
              <w:instrText xml:space="preserve"> PAGEREF _Toc232534343 \h </w:instrText>
            </w:r>
            <w:r>
              <w:rPr>
                <w:noProof/>
                <w:webHidden/>
              </w:rPr>
            </w:r>
            <w:r>
              <w:rPr>
                <w:noProof/>
                <w:webHidden/>
              </w:rPr>
              <w:fldChar w:fldCharType="separate"/>
            </w:r>
            <w:r>
              <w:rPr>
                <w:noProof/>
                <w:webHidden/>
              </w:rPr>
              <w:t>3</w:t>
            </w:r>
            <w:r>
              <w:rPr>
                <w:noProof/>
                <w:webHidden/>
              </w:rPr>
              <w:fldChar w:fldCharType="end"/>
            </w:r>
          </w:hyperlink>
        </w:p>
        <w:p w14:paraId="4F889F24" w14:textId="524EB743" w:rsidR="00B03658" w:rsidRDefault="00B03658">
          <w:pPr>
            <w:pStyle w:val="TOC2"/>
            <w:tabs>
              <w:tab w:val="left" w:pos="1134"/>
            </w:tabs>
            <w:rPr>
              <w:rFonts w:eastAsiaTheme="minorEastAsia"/>
              <w:noProof/>
              <w:kern w:val="2"/>
              <w:sz w:val="24"/>
              <w:lang w:val="en-AU" w:eastAsia="en-AU"/>
              <w14:ligatures w14:val="standardContextual"/>
            </w:rPr>
          </w:pPr>
          <w:hyperlink w:anchor="_Toc232534344" w:history="1">
            <w:r w:rsidRPr="00B04E7F">
              <w:rPr>
                <w:rStyle w:val="Hyperlink"/>
                <w:noProof/>
              </w:rPr>
              <w:t>0.2</w:t>
            </w:r>
            <w:r>
              <w:rPr>
                <w:rFonts w:eastAsiaTheme="minorEastAsia"/>
                <w:noProof/>
                <w:kern w:val="2"/>
                <w:sz w:val="24"/>
                <w:lang w:val="en-AU" w:eastAsia="en-AU"/>
                <w14:ligatures w14:val="standardContextual"/>
              </w:rPr>
              <w:tab/>
            </w:r>
            <w:r w:rsidRPr="00B04E7F">
              <w:rPr>
                <w:rStyle w:val="Hyperlink"/>
                <w:noProof/>
              </w:rPr>
              <w:t>How This Document is Structured</w:t>
            </w:r>
            <w:r>
              <w:rPr>
                <w:noProof/>
                <w:webHidden/>
              </w:rPr>
              <w:tab/>
            </w:r>
            <w:r>
              <w:rPr>
                <w:noProof/>
                <w:webHidden/>
              </w:rPr>
              <w:fldChar w:fldCharType="begin"/>
            </w:r>
            <w:r>
              <w:rPr>
                <w:noProof/>
                <w:webHidden/>
              </w:rPr>
              <w:instrText xml:space="preserve"> PAGEREF _Toc232534344 \h </w:instrText>
            </w:r>
            <w:r>
              <w:rPr>
                <w:noProof/>
                <w:webHidden/>
              </w:rPr>
            </w:r>
            <w:r>
              <w:rPr>
                <w:noProof/>
                <w:webHidden/>
              </w:rPr>
              <w:fldChar w:fldCharType="separate"/>
            </w:r>
            <w:r>
              <w:rPr>
                <w:noProof/>
                <w:webHidden/>
              </w:rPr>
              <w:t>3</w:t>
            </w:r>
            <w:r>
              <w:rPr>
                <w:noProof/>
                <w:webHidden/>
              </w:rPr>
              <w:fldChar w:fldCharType="end"/>
            </w:r>
          </w:hyperlink>
        </w:p>
        <w:p w14:paraId="474DF627" w14:textId="1FAF07AB" w:rsidR="00B03658" w:rsidRDefault="00B03658">
          <w:pPr>
            <w:pStyle w:val="TOC2"/>
            <w:tabs>
              <w:tab w:val="left" w:pos="1134"/>
            </w:tabs>
            <w:rPr>
              <w:rFonts w:eastAsiaTheme="minorEastAsia"/>
              <w:noProof/>
              <w:kern w:val="2"/>
              <w:sz w:val="24"/>
              <w:lang w:val="en-AU" w:eastAsia="en-AU"/>
              <w14:ligatures w14:val="standardContextual"/>
            </w:rPr>
          </w:pPr>
          <w:hyperlink w:anchor="_Toc232534345" w:history="1">
            <w:r w:rsidRPr="00B04E7F">
              <w:rPr>
                <w:rStyle w:val="Hyperlink"/>
                <w:noProof/>
              </w:rPr>
              <w:t>0.3</w:t>
            </w:r>
            <w:r>
              <w:rPr>
                <w:rFonts w:eastAsiaTheme="minorEastAsia"/>
                <w:noProof/>
                <w:kern w:val="2"/>
                <w:sz w:val="24"/>
                <w:lang w:val="en-AU" w:eastAsia="en-AU"/>
                <w14:ligatures w14:val="standardContextual"/>
              </w:rPr>
              <w:tab/>
            </w:r>
            <w:r w:rsidRPr="00B04E7F">
              <w:rPr>
                <w:rStyle w:val="Hyperlink"/>
                <w:noProof/>
              </w:rPr>
              <w:t>Step-by-Step Completion Instructions</w:t>
            </w:r>
            <w:r>
              <w:rPr>
                <w:noProof/>
                <w:webHidden/>
              </w:rPr>
              <w:tab/>
            </w:r>
            <w:r>
              <w:rPr>
                <w:noProof/>
                <w:webHidden/>
              </w:rPr>
              <w:fldChar w:fldCharType="begin"/>
            </w:r>
            <w:r>
              <w:rPr>
                <w:noProof/>
                <w:webHidden/>
              </w:rPr>
              <w:instrText xml:space="preserve"> PAGEREF _Toc232534345 \h </w:instrText>
            </w:r>
            <w:r>
              <w:rPr>
                <w:noProof/>
                <w:webHidden/>
              </w:rPr>
            </w:r>
            <w:r>
              <w:rPr>
                <w:noProof/>
                <w:webHidden/>
              </w:rPr>
              <w:fldChar w:fldCharType="separate"/>
            </w:r>
            <w:r>
              <w:rPr>
                <w:noProof/>
                <w:webHidden/>
              </w:rPr>
              <w:t>3</w:t>
            </w:r>
            <w:r>
              <w:rPr>
                <w:noProof/>
                <w:webHidden/>
              </w:rPr>
              <w:fldChar w:fldCharType="end"/>
            </w:r>
          </w:hyperlink>
        </w:p>
        <w:p w14:paraId="14E91A5A" w14:textId="7B88F346" w:rsidR="00B03658" w:rsidRDefault="00B03658">
          <w:pPr>
            <w:pStyle w:val="TOC2"/>
            <w:tabs>
              <w:tab w:val="left" w:pos="1134"/>
            </w:tabs>
            <w:rPr>
              <w:rFonts w:eastAsiaTheme="minorEastAsia"/>
              <w:noProof/>
              <w:kern w:val="2"/>
              <w:sz w:val="24"/>
              <w:lang w:val="en-AU" w:eastAsia="en-AU"/>
              <w14:ligatures w14:val="standardContextual"/>
            </w:rPr>
          </w:pPr>
          <w:hyperlink w:anchor="_Toc232534346" w:history="1">
            <w:r w:rsidRPr="00B04E7F">
              <w:rPr>
                <w:rStyle w:val="Hyperlink"/>
                <w:noProof/>
              </w:rPr>
              <w:t>0.4</w:t>
            </w:r>
            <w:r>
              <w:rPr>
                <w:rFonts w:eastAsiaTheme="minorEastAsia"/>
                <w:noProof/>
                <w:kern w:val="2"/>
                <w:sz w:val="24"/>
                <w:lang w:val="en-AU" w:eastAsia="en-AU"/>
                <w14:ligatures w14:val="standardContextual"/>
              </w:rPr>
              <w:tab/>
            </w:r>
            <w:r w:rsidRPr="00B04E7F">
              <w:rPr>
                <w:rStyle w:val="Hyperlink"/>
                <w:noProof/>
              </w:rPr>
              <w:t>Pre-Issue Checklist</w:t>
            </w:r>
            <w:r>
              <w:rPr>
                <w:noProof/>
                <w:webHidden/>
              </w:rPr>
              <w:tab/>
            </w:r>
            <w:r>
              <w:rPr>
                <w:noProof/>
                <w:webHidden/>
              </w:rPr>
              <w:fldChar w:fldCharType="begin"/>
            </w:r>
            <w:r>
              <w:rPr>
                <w:noProof/>
                <w:webHidden/>
              </w:rPr>
              <w:instrText xml:space="preserve"> PAGEREF _Toc232534346 \h </w:instrText>
            </w:r>
            <w:r>
              <w:rPr>
                <w:noProof/>
                <w:webHidden/>
              </w:rPr>
            </w:r>
            <w:r>
              <w:rPr>
                <w:noProof/>
                <w:webHidden/>
              </w:rPr>
              <w:fldChar w:fldCharType="separate"/>
            </w:r>
            <w:r>
              <w:rPr>
                <w:noProof/>
                <w:webHidden/>
              </w:rPr>
              <w:t>4</w:t>
            </w:r>
            <w:r>
              <w:rPr>
                <w:noProof/>
                <w:webHidden/>
              </w:rPr>
              <w:fldChar w:fldCharType="end"/>
            </w:r>
          </w:hyperlink>
        </w:p>
        <w:p w14:paraId="4DA49C8D" w14:textId="567CA8C6" w:rsidR="00B03658" w:rsidRDefault="00B03658">
          <w:pPr>
            <w:pStyle w:val="TOC2"/>
            <w:tabs>
              <w:tab w:val="left" w:pos="1134"/>
            </w:tabs>
            <w:rPr>
              <w:rFonts w:eastAsiaTheme="minorEastAsia"/>
              <w:noProof/>
              <w:kern w:val="2"/>
              <w:sz w:val="24"/>
              <w:lang w:val="en-AU" w:eastAsia="en-AU"/>
              <w14:ligatures w14:val="standardContextual"/>
            </w:rPr>
          </w:pPr>
          <w:hyperlink w:anchor="_Toc232534347" w:history="1">
            <w:r w:rsidRPr="00B04E7F">
              <w:rPr>
                <w:rStyle w:val="Hyperlink"/>
                <w:noProof/>
              </w:rPr>
              <w:t>0.5</w:t>
            </w:r>
            <w:r>
              <w:rPr>
                <w:rFonts w:eastAsiaTheme="minorEastAsia"/>
                <w:noProof/>
                <w:kern w:val="2"/>
                <w:sz w:val="24"/>
                <w:lang w:val="en-AU" w:eastAsia="en-AU"/>
                <w14:ligatures w14:val="standardContextual"/>
              </w:rPr>
              <w:tab/>
            </w:r>
            <w:r w:rsidRPr="00B04E7F">
              <w:rPr>
                <w:rStyle w:val="Hyperlink"/>
                <w:noProof/>
              </w:rPr>
              <w:t>Document Relationships</w:t>
            </w:r>
            <w:r>
              <w:rPr>
                <w:noProof/>
                <w:webHidden/>
              </w:rPr>
              <w:tab/>
            </w:r>
            <w:r>
              <w:rPr>
                <w:noProof/>
                <w:webHidden/>
              </w:rPr>
              <w:fldChar w:fldCharType="begin"/>
            </w:r>
            <w:r>
              <w:rPr>
                <w:noProof/>
                <w:webHidden/>
              </w:rPr>
              <w:instrText xml:space="preserve"> PAGEREF _Toc232534347 \h </w:instrText>
            </w:r>
            <w:r>
              <w:rPr>
                <w:noProof/>
                <w:webHidden/>
              </w:rPr>
            </w:r>
            <w:r>
              <w:rPr>
                <w:noProof/>
                <w:webHidden/>
              </w:rPr>
              <w:fldChar w:fldCharType="separate"/>
            </w:r>
            <w:r>
              <w:rPr>
                <w:noProof/>
                <w:webHidden/>
              </w:rPr>
              <w:t>4</w:t>
            </w:r>
            <w:r>
              <w:rPr>
                <w:noProof/>
                <w:webHidden/>
              </w:rPr>
              <w:fldChar w:fldCharType="end"/>
            </w:r>
          </w:hyperlink>
        </w:p>
        <w:p w14:paraId="3F16AD5B" w14:textId="1087B8A6" w:rsidR="00B03658" w:rsidRDefault="00B03658">
          <w:pPr>
            <w:pStyle w:val="TOC1"/>
            <w:rPr>
              <w:rFonts w:eastAsiaTheme="minorEastAsia"/>
              <w:b w:val="0"/>
              <w:noProof/>
              <w:kern w:val="2"/>
              <w:sz w:val="24"/>
              <w:lang w:val="en-AU" w:eastAsia="en-AU"/>
              <w14:ligatures w14:val="standardContextual"/>
            </w:rPr>
          </w:pPr>
          <w:hyperlink w:anchor="_Toc232534348" w:history="1">
            <w:r w:rsidRPr="00B04E7F">
              <w:rPr>
                <w:rStyle w:val="Hyperlink"/>
                <w:noProof/>
              </w:rPr>
              <w:t>1</w:t>
            </w:r>
            <w:r>
              <w:rPr>
                <w:rFonts w:eastAsiaTheme="minorEastAsia"/>
                <w:b w:val="0"/>
                <w:noProof/>
                <w:kern w:val="2"/>
                <w:sz w:val="24"/>
                <w:lang w:val="en-AU" w:eastAsia="en-AU"/>
                <w14:ligatures w14:val="standardContextual"/>
              </w:rPr>
              <w:tab/>
            </w:r>
            <w:r w:rsidRPr="00B04E7F">
              <w:rPr>
                <w:rStyle w:val="Hyperlink"/>
                <w:noProof/>
              </w:rPr>
              <w:t>Heading</w:t>
            </w:r>
            <w:r>
              <w:rPr>
                <w:noProof/>
                <w:webHidden/>
              </w:rPr>
              <w:tab/>
            </w:r>
            <w:r>
              <w:rPr>
                <w:noProof/>
                <w:webHidden/>
              </w:rPr>
              <w:fldChar w:fldCharType="begin"/>
            </w:r>
            <w:r>
              <w:rPr>
                <w:noProof/>
                <w:webHidden/>
              </w:rPr>
              <w:instrText xml:space="preserve"> PAGEREF _Toc232534348 \h </w:instrText>
            </w:r>
            <w:r>
              <w:rPr>
                <w:noProof/>
                <w:webHidden/>
              </w:rPr>
            </w:r>
            <w:r>
              <w:rPr>
                <w:noProof/>
                <w:webHidden/>
              </w:rPr>
              <w:fldChar w:fldCharType="separate"/>
            </w:r>
            <w:r>
              <w:rPr>
                <w:noProof/>
                <w:webHidden/>
              </w:rPr>
              <w:t>6</w:t>
            </w:r>
            <w:r>
              <w:rPr>
                <w:noProof/>
                <w:webHidden/>
              </w:rPr>
              <w:fldChar w:fldCharType="end"/>
            </w:r>
          </w:hyperlink>
        </w:p>
        <w:p w14:paraId="7EBEFCE2" w14:textId="6405579E" w:rsidR="00FC1013" w:rsidRDefault="004C465B">
          <w:pPr>
            <w:pStyle w:val="TOC1"/>
            <w:rPr>
              <w:rFonts w:eastAsiaTheme="minorEastAsia"/>
              <w:b w:val="0"/>
              <w:kern w:val="2"/>
              <w:sz w:val="24"/>
              <w:lang w:val="en-AU" w:eastAsia="en-AU"/>
              <w14:ligatures w14:val="standardContextual"/>
            </w:rPr>
          </w:pPr>
          <w:r>
            <w:rPr>
              <w:rStyle w:val="IndexLink"/>
            </w:rPr>
            <w:fldChar w:fldCharType="end"/>
          </w:r>
        </w:p>
      </w:sdtContent>
    </w:sdt>
    <w:p w14:paraId="7FF867E7" w14:textId="77777777" w:rsidR="00FC1013" w:rsidRDefault="00FC1013"/>
    <w:p w14:paraId="77B70838" w14:textId="77777777" w:rsidR="00FC1013" w:rsidRDefault="00FC1013"/>
    <w:p w14:paraId="43C33D8F" w14:textId="77777777" w:rsidR="00FC1013" w:rsidRDefault="00FC1013"/>
    <w:p w14:paraId="7DE44C64" w14:textId="472472E9" w:rsidR="00F92E88" w:rsidRPr="00F92E88" w:rsidRDefault="004C465B" w:rsidP="00F92E88">
      <w:r>
        <w:br w:type="page"/>
      </w:r>
    </w:p>
    <w:tbl>
      <w:tblPr>
        <w:tblStyle w:val="TableOption1"/>
        <w:tblW w:type="dxa" w:w="9777"/>
        <w:tblInd w:type="dxa" w:w="0"/>
        <w:tblCellMar>
          <w:top w:type="dxa" w:w="36"/>
          <w:bottom w:type="dxa" w:w="36"/>
          <w:left w:type="dxa" w:w="108"/>
          <w:right w:type="dxa" w:w="108"/>
        </w:tblCellMar>
      </w:tblPr>
      <w:tr>
        <w:tc>
          <w:tcPr>
            <w:shd w:val="clear" w:color="auto" w:fill="FFF2CC"/>
            <w:tcW w:type="dxa" w:w="9777"/>
          </w:tcPr>
          <w:p>
            <w:pPr>
              <w:pStyle w:val="Instructions"/>
              <w:spacing w:before="0" w:after="0" w:line="240" w:lineRule="atLeast"/>
            </w:pPr>
            <w:r>
              <w:rPr>
                <w:rFonts w:ascii="Arial" w:hAnsi="Arial" w:cs="Arial" w:eastAsia="Arial"/>
                <w:b/>
                <w:bCs/>
                <w:color w:val="C55A11"/>
                <w:sz w:val="16"/>
                <w:szCs w:val="16"/>
              </w:rPr>
              <w:t>INSTRUCTION: Read, action and delete this box before this procedure is issued. Delete the entire Section 0 before this document is submitted for review or approval. It must not appear in any approved version of this procedure.</w:t>
            </w:r>
          </w:p>
        </w:tc>
      </w:tr>
    </w:tbl>
    <w:p>
      <w:pPr>
        <w:pStyle w:val="Heading1Numbered"/>
      </w:pPr>
      <w:r>
        <w:rPr>
          <w:rFonts w:ascii="Arial" w:hAnsi="Arial" w:cs="Arial" w:eastAsia="Arial"/>
        </w:rPr>
        <w:t>0  How to Use This Document</w:t>
      </w:r>
    </w:p>
    <w:p>
      <w:pPr>
        <w:pStyle w:val="NormalNumberedtext"/>
      </w:pPr>
      <w:r>
        <w:rPr>
          <w:rFonts w:ascii="Arial" w:hAnsi="Arial" w:cs="Arial" w:eastAsia="Arial"/>
        </w:rPr>
        <w:t>This section explains the purpose of the template, how it is structured, the sequence for completing it and the checks required before it is issued. It must be read in full before any section of this document is completed. Delete Section 0 in its entirety before issue.</w:t>
      </w:r>
    </w:p>
    <w:p>
      <w:pPr>
        <w:pStyle w:val="Heading2Numbered"/>
      </w:pPr>
      <w:r>
        <w:rPr>
          <w:rFonts w:ascii="Arial" w:hAnsi="Arial" w:cs="Arial" w:eastAsia="Arial"/>
        </w:rPr>
        <w:t>0.1  Purpose of This Template</w:t>
      </w:r>
    </w:p>
    <w:p>
      <w:pPr>
        <w:pStyle w:val="NormalNumberedtext"/>
      </w:pPr>
      <w:r>
        <w:rPr>
          <w:rFonts w:ascii="Arial" w:hAnsi="Arial" w:cs="Arial" w:eastAsia="Arial"/>
        </w:rPr>
        <w:t>This template supports the preparation of a project-specific Legal and Other Requirements Procedure for projects delivered under an Owner-Led model. Under this model, Rio Tinto directly manages all project activities, and this procedure applies to all personnel on the project, including Rio Tinto staff and all contractor organisations.</w:t>
      </w:r>
    </w:p>
    <w:p>
      <w:pPr>
        <w:pStyle w:val="NormalNumberedtext"/>
      </w:pPr>
      <w:r>
        <w:rPr>
          <w:rFonts w:ascii="Arial" w:hAnsi="Arial" w:cs="Arial" w:eastAsia="Arial"/>
        </w:rPr>
        <w:t>This template is provided as a 90% draft. Fixed content reflects the minimum Rio Tinto requirement and must not be reduced. The remaining 10% covers role names, register locations, schedules and project-specific triggers, and must be completed by the project team before issue.</w:t>
      </w:r>
    </w:p>
    <w:p>
      <w:pPr>
        <w:pStyle w:val="Heading2Numbered"/>
      </w:pPr>
      <w:r>
        <w:rPr>
          <w:rFonts w:ascii="Arial" w:hAnsi="Arial" w:cs="Arial" w:eastAsia="Arial"/>
        </w:rPr>
        <w:t>0.2  How This Document is Structured</w:t>
      </w:r>
    </w:p>
    <w:p>
      <w:pPr>
        <w:pStyle w:val="NormalNumberedtext"/>
      </w:pPr>
      <w:r>
        <w:rPr>
          <w:rFonts w:ascii="Arial" w:hAnsi="Arial" w:cs="Arial" w:eastAsia="Arial"/>
        </w:rPr>
        <w:t>This document contains four content types:</w:t>
      </w:r>
    </w:p>
    <w:p>
      <w:pPr>
        <w:pStyle w:val="NormalNumberedtext"/>
      </w:pPr>
      <w:r>
        <w:rPr>
          <w:rFonts w:ascii="Arial" w:hAnsi="Arial" w:cs="Arial" w:eastAsia="Arial"/>
          <w:b/>
          <w:bCs/>
        </w:rPr>
        <w:t xml:space="preserve">Fixed content </w:t>
      </w:r>
      <w:r>
        <w:rPr>
          <w:rFonts w:ascii="Arial" w:hAnsi="Arial" w:cs="Arial" w:eastAsia="Arial"/>
        </w:rPr>
        <w:t>is plain black text reflecting minimum Rio Tinto requirements. Fixed content must not be reduced, deleted or overridden.</w:t>
      </w:r>
    </w:p>
    <w:p>
      <w:pPr>
        <w:pStyle w:val="NormalNumberedtext"/>
      </w:pPr>
      <w:r>
        <w:rPr>
          <w:b/>
          <w:bCs/>
          <w:color w:val="0059D1"/>
        </w:rPr>
        <w:t xml:space="preserve">[INSERT: placeholder text] </w:t>
      </w:r>
      <w:r>
        <w:rPr>
          <w:rFonts w:ascii="Arial" w:hAnsi="Arial" w:cs="Arial" w:eastAsia="Arial"/>
        </w:rPr>
        <w:t>appears in blue bold. Each placeholder must be replaced with accurate, project-specific information before issue.</w:t>
      </w:r>
    </w:p>
    <w:p>
      <w:pPr>
        <w:pStyle w:val="NormalNumberedtext"/>
      </w:pPr>
      <w:r>
        <w:rPr>
          <w:rFonts w:ascii="Arial" w:hAnsi="Arial" w:cs="Arial" w:eastAsia="Arial"/>
          <w:color w:val="C55A11"/>
        </w:rPr>
        <w:t xml:space="preserve">Orange text </w:t>
      </w:r>
      <w:r>
        <w:rPr>
          <w:rFonts w:ascii="Arial" w:hAnsi="Arial" w:cs="Arial" w:eastAsia="Arial"/>
        </w:rPr>
        <w:t>marks specific who, what, when, or how detail included as a best practice suggestion. The project team may retain, modify, or replace orange detail.</w:t>
      </w:r>
    </w:p>
    <w:p>
      <w:pPr>
        <w:pStyle w:val="Heading2Numbered"/>
      </w:pPr>
      <w:r>
        <w:rPr>
          <w:rFonts w:ascii="Arial" w:hAnsi="Arial" w:cs="Arial" w:eastAsia="Arial"/>
        </w:rPr>
        <w:t>0.3  Pre-Issue Checklist</w:t>
      </w:r>
    </w:p>
    <w:p>
      <w:pPr>
        <w:pStyle w:val="NormalNumberedtext"/>
      </w:pPr>
      <w:r>
        <w:rPr>
          <w:rFonts w:ascii="Arial" w:hAnsi="Arial" w:cs="Arial" w:eastAsia="Arial"/>
        </w:rPr>
        <w:t>Before submitting this document for review or approval, confirm all items below are complete, then delete this checklist together with the rest of Section 0.</w:t>
      </w: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4888"/>
          </w:tcPr>
          <w:p>
            <w:pPr>
              <w:pStyle w:val="TableContents"/>
              <w:spacing w:before="0" w:after="0" w:line="240" w:lineRule="atLeast"/>
            </w:pPr>
            <w:r>
              <w:rPr>
                <w:rFonts w:ascii="Arial" w:hAnsi="Arial" w:cs="Arial" w:eastAsia="Arial"/>
                <w:b/>
                <w:bCs/>
                <w:color w:val="FFFFFF"/>
                <w:sz w:val="16"/>
                <w:szCs w:val="16"/>
              </w:rPr>
              <w:t>Check</w:t>
            </w:r>
          </w:p>
        </w:tc>
        <w:tc>
          <w:tcPr>
            <w:shd w:val="clear" w:color="auto" w:fill="1F3864"/>
            <w:tcW w:type="dxa" w:w="4889"/>
          </w:tcPr>
          <w:p>
            <w:pPr>
              <w:pStyle w:val="TableContents"/>
              <w:spacing w:before="0" w:after="0" w:line="240" w:lineRule="atLeast"/>
            </w:pPr>
            <w:r>
              <w:rPr>
                <w:rFonts w:ascii="Arial" w:hAnsi="Arial" w:cs="Arial" w:eastAsia="Arial"/>
                <w:b/>
                <w:bCs/>
                <w:color w:val="FFFFFF"/>
                <w:sz w:val="16"/>
                <w:szCs w:val="16"/>
              </w:rPr>
              <w:t>Complete?</w:t>
            </w:r>
          </w:p>
        </w:tc>
      </w:tr>
      <w:tr>
        <w:tc>
          <w:tcPr>
            <w:tcW w:type="dxa" w:w="4888"/>
          </w:tcPr>
          <w:p>
            <w:pPr>
              <w:pStyle w:val="TableContents"/>
              <w:spacing w:before="0" w:after="0" w:line="240" w:lineRule="atLeast"/>
            </w:pPr>
            <w:r>
              <w:rPr>
                <w:rFonts w:ascii="Arial" w:hAnsi="Arial" w:cs="Arial" w:eastAsia="Arial"/>
                <w:sz w:val="16"/>
                <w:szCs w:val="16"/>
              </w:rPr>
              <w:t>Cover page is complete including document number, revision, date and signatories</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All [INSERT:] placeholder text has been replaced with project-specific information</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All instruction boxes have been read, actioned and deleted</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All role titles match the actual project organisational structure</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All system and register locations are confirmed and inserted</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All workshop and meeting dates are confirmed against the project programme</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Related procedures in the References section are issued or being issued concurrently</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Section 17 (Source Requirements Traceability) will be deleted before final issue</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Section 16 (Project Localisation Edits) has been populated with all changes made during preparation</w:t>
            </w:r>
          </w:p>
        </w:tc>
        <w:tc>
          <w:tcPr>
            <w:tcW w:type="dxa" w:w="4889"/>
          </w:tcPr>
          <w:p>
            <w:pPr>
              <w:pStyle w:val="TableContents"/>
              <w:spacing w:before="0" w:after="0" w:line="240" w:lineRule="atLeast"/>
            </w:pPr>
            <w:r>
              <w:rPr>
                <w:rFonts w:ascii="Arial" w:hAnsi="Arial" w:cs="Arial" w:eastAsia="Arial"/>
                <w:sz w:val="16"/>
                <w:szCs w:val="16"/>
              </w:rPr>
              <w:t>☐</w:t>
            </w:r>
          </w:p>
        </w:tc>
      </w:tr>
      <w:tr>
        <w:tc>
          <w:tcPr>
            <w:tcW w:type="dxa" w:w="4888"/>
          </w:tcPr>
          <w:p>
            <w:pPr>
              <w:pStyle w:val="TableContents"/>
              <w:spacing w:before="0" w:after="0" w:line="240" w:lineRule="atLeast"/>
            </w:pPr>
            <w:r>
              <w:rPr>
                <w:rFonts w:ascii="Arial" w:hAnsi="Arial" w:cs="Arial" w:eastAsia="Arial"/>
                <w:sz w:val="16"/>
                <w:szCs w:val="16"/>
              </w:rPr>
              <w:t>Section 0 has been deleted in its entirety</w:t>
            </w:r>
          </w:p>
        </w:tc>
        <w:tc>
          <w:tcPr>
            <w:tcW w:type="dxa" w:w="4889"/>
          </w:tcPr>
          <w:p>
            <w:pPr>
              <w:pStyle w:val="TableContents"/>
              <w:spacing w:before="0" w:after="0" w:line="240" w:lineRule="atLeast"/>
            </w:pPr>
            <w:r>
              <w:rPr>
                <w:rFonts w:ascii="Arial" w:hAnsi="Arial" w:cs="Arial" w:eastAsia="Arial"/>
                <w:sz w:val="16"/>
                <w:szCs w:val="16"/>
              </w:rPr>
              <w:t>☐</w:t>
            </w:r>
          </w:p>
        </w:tc>
      </w:tr>
    </w:tbl>
    <w:p>
      <w:pPr>
        <w:pStyle w:val="NormalNumberedtext"/>
      </w:pPr>
    </w:p>
    <w:p>
      <w:pPr>
        <w:pStyle w:val="Heading1Numbered"/>
      </w:pPr>
      <w:r>
        <w:rPr>
          <w:rFonts w:ascii="Arial" w:hAnsi="Arial" w:cs="Arial" w:eastAsia="Arial"/>
        </w:rPr>
        <w:t>1  Purpose and Scope</w:t>
      </w:r>
    </w:p>
    <w:p>
      <w:pPr>
        <w:pStyle w:val="NormalNumberedtext"/>
      </w:pPr>
      <w:r>
        <w:rPr>
          <w:rFonts w:ascii="Arial" w:hAnsi="Arial" w:cs="Arial" w:eastAsia="Arial"/>
        </w:rPr>
        <w:t>This section defines the purpose of this procedure, the project lifecycle phases within scope, and the obligations it establishes from project Execution through to Handover.</w:t>
      </w:r>
    </w:p>
    <w:p>
      <w:pPr>
        <w:pStyle w:val="Heading2Numbered"/>
      </w:pPr>
      <w:r>
        <w:rPr>
          <w:rFonts w:ascii="Arial" w:hAnsi="Arial" w:cs="Arial" w:eastAsia="Arial"/>
        </w:rPr>
        <w:t>1.1  Purpose of This Document</w:t>
      </w:r>
    </w:p>
    <w:p>
      <w:pPr>
        <w:pStyle w:val="NormalNumberedtext"/>
      </w:pPr>
      <w:r>
        <w:rPr>
          <w:rFonts w:ascii="Arial" w:hAnsi="Arial" w:cs="Arial" w:eastAsia="Arial"/>
        </w:rPr>
        <w:t>This section states the purpose of this procedure and the requirements it establishes for the project.</w:t>
      </w:r>
    </w:p>
    <w:p>
      <w:pPr>
        <w:pStyle w:val="NormalNumberedtext"/>
      </w:pPr>
      <w:r>
        <w:rPr>
          <w:rFonts w:ascii="Arial" w:hAnsi="Arial" w:cs="Arial" w:eastAsia="Arial"/>
        </w:rPr>
        <w:t>This procedure governs how the owner-led project identifies, accesses, communicates, and monitors compliance with all applicable legal and HSESC obligations across all project locations and lifecycle phases. In the owner-led model RT holds direct legal responsibility and cannot delegate compliance accountability - this procedure establishes how that accountability is exercised across all project participants.</w:t>
      </w:r>
    </w:p>
    <w:p>
      <w:pPr>
        <w:pStyle w:val="Heading2Numbered"/>
      </w:pPr>
      <w:r>
        <w:rPr>
          <w:rFonts w:ascii="Arial" w:hAnsi="Arial" w:cs="Arial" w:eastAsia="Arial"/>
        </w:rPr>
        <w:t>1.2  Scope of This Document</w:t>
      </w:r>
    </w:p>
    <w:p>
      <w:pPr>
        <w:pStyle w:val="NormalNumberedtext"/>
      </w:pPr>
      <w:r>
        <w:rPr>
          <w:rFonts w:ascii="Arial" w:hAnsi="Arial" w:cs="Arial" w:eastAsia="Arial"/>
        </w:rPr>
        <w:t>This section defines which activities and lifecycle phases are governed by this document.</w:t>
      </w:r>
    </w:p>
    <w:p>
      <w:pPr>
        <w:pStyle w:val="NormalNumberedtext"/>
      </w:pPr>
      <w:r>
        <w:rPr>
          <w:rFonts w:ascii="Arial" w:hAnsi="Arial" w:cs="Arial" w:eastAsia="Arial"/>
        </w:rPr>
        <w:t>This procedure applies to all Rio Tinto project personnel and all contractor organisations performing work under an Owner-Led project. It governs legal and other requirements from project Execution through to Handover.</w:t>
      </w:r>
    </w:p>
    <w:p>
      <w:pPr>
        <w:pStyle w:val="NormalNumberedtext"/>
      </w:pPr>
      <w:r>
        <w:rPr>
          <w:b/>
          <w:bCs/>
          <w:color w:val="0059D1"/>
        </w:rPr>
        <w:t>[INSERT: scope qualifications] — note any activities, phases, or locations excluded from this procedure's scope</w:t>
      </w:r>
    </w:p>
    <w:p>
      <w:pPr>
        <w:pStyle w:val="Heading1Numbered"/>
      </w:pPr>
      <w:r>
        <w:rPr>
          <w:rFonts w:ascii="Arial" w:hAnsi="Arial" w:cs="Arial" w:eastAsia="Arial"/>
        </w:rPr>
        <w:t>2  Roles and Responsibilities</w:t>
      </w:r>
    </w:p>
    <w:p>
      <w:pPr>
        <w:pStyle w:val="NormalNumberedtext"/>
      </w:pPr>
      <w:r>
        <w:rPr>
          <w:rFonts w:ascii="Arial" w:hAnsi="Arial" w:cs="Arial" w:eastAsia="Arial"/>
        </w:rPr>
        <w:t>This section defines the responsibilities for all project roles relevant to this procedure, covering the Rio Tinto project team and all contractor organisations. Responsibilities are aligned to governance, oversight, assessment execution, reporting, and control verification.</w:t>
      </w: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2444"/>
          </w:tcPr>
          <w:p>
            <w:pPr>
              <w:pStyle w:val="TableContents"/>
              <w:spacing w:before="0" w:after="0" w:line="240" w:lineRule="atLeast"/>
            </w:pPr>
            <w:r>
              <w:rPr>
                <w:rFonts w:ascii="Arial" w:hAnsi="Arial" w:cs="Arial" w:eastAsia="Arial"/>
                <w:b/>
                <w:bCs/>
                <w:color w:val="FFFFFF"/>
                <w:sz w:val="16"/>
                <w:szCs w:val="16"/>
              </w:rPr>
              <w:t>Responsibilities</w:t>
            </w:r>
          </w:p>
        </w:tc>
        <w:tc>
          <w:tcPr>
            <w:shd w:val="clear" w:color="auto" w:fill="1F3864"/>
            <w:tcW w:type="dxa" w:w="2444"/>
          </w:tcPr>
          <w:p>
            <w:pPr>
              <w:pStyle w:val="TableContents"/>
              <w:spacing w:before="0" w:after="0" w:line="240" w:lineRule="atLeast"/>
            </w:pPr>
            <w:r>
              <w:rPr>
                <w:rFonts w:ascii="Arial" w:hAnsi="Arial" w:cs="Arial" w:eastAsia="Arial"/>
                <w:b/>
                <w:bCs/>
                <w:color w:val="FFFFFF"/>
                <w:sz w:val="16"/>
                <w:szCs w:val="16"/>
              </w:rPr>
              <w:t>Company</w:t>
            </w:r>
          </w:p>
        </w:tc>
        <w:tc>
          <w:tcPr>
            <w:shd w:val="clear" w:color="auto" w:fill="1F3864"/>
            <w:tcW w:type="dxa" w:w="2444"/>
          </w:tcPr>
          <w:p>
            <w:pPr>
              <w:pStyle w:val="TableContents"/>
              <w:spacing w:before="0" w:after="0" w:line="240" w:lineRule="atLeast"/>
            </w:pPr>
            <w:r>
              <w:rPr>
                <w:rFonts w:ascii="Arial" w:hAnsi="Arial" w:cs="Arial" w:eastAsia="Arial"/>
                <w:b/>
                <w:bCs/>
                <w:color w:val="FFFFFF"/>
                <w:sz w:val="16"/>
                <w:szCs w:val="16"/>
              </w:rPr>
              <w:t>Contractor</w:t>
            </w:r>
          </w:p>
        </w:tc>
        <w:tc>
          <w:tcPr>
            <w:shd w:val="clear" w:color="auto" w:fill="1F3864"/>
            <w:tcW w:type="dxa" w:w="2445"/>
          </w:tcPr>
          <w:p>
            <w:pPr>
              <w:pStyle w:val="TableContents"/>
              <w:spacing w:before="0" w:after="0" w:line="240" w:lineRule="atLeast"/>
            </w:pPr>
            <w:r>
              <w:rPr>
                <w:rFonts w:ascii="Arial" w:hAnsi="Arial" w:cs="Arial" w:eastAsia="Arial"/>
                <w:b/>
                <w:bCs/>
                <w:color w:val="FFFFFF"/>
                <w:sz w:val="16"/>
                <w:szCs w:val="16"/>
              </w:rPr>
              <w:t>Section</w:t>
            </w:r>
          </w:p>
        </w:tc>
      </w:tr>
      <w:tr>
        <w:tc>
          <w:tcPr>
            <w:gridSpan w:val="4"/>
            <w:tcW w:type="dxa" w:w="9777"/>
          </w:tcPr>
          <w:p>
            <w:pPr>
              <w:pStyle w:val="TableHeading"/>
              <w:spacing w:before="0" w:after="0" w:line="240" w:lineRule="atLeast"/>
            </w:pPr>
            <w:r>
              <w:rPr>
                <w:rFonts w:ascii="Arial" w:hAnsi="Arial" w:cs="Arial" w:eastAsia="Arial"/>
                <w:sz w:val="16"/>
                <w:szCs w:val="16"/>
              </w:rPr>
              <w:t>Project Management</w:t>
            </w:r>
          </w:p>
        </w:tc>
      </w:tr>
      <w:tr>
        <w:tc>
          <w:tcPr>
            <w:tcW w:type="dxa" w:w="2444"/>
          </w:tcPr>
          <w:p>
            <w:pPr>
              <w:pStyle w:val="TableBulletPoints"/>
              <w:spacing w:before="0" w:after="0" w:line="240" w:lineRule="atLeast"/>
            </w:pPr>
            <w:r>
              <w:rPr>
                <w:rFonts w:ascii="Arial" w:hAnsi="Arial" w:cs="Arial" w:eastAsia="Arial"/>
                <w:sz w:val="16"/>
                <w:szCs w:val="16"/>
              </w:rPr>
              <w:t>Holds overall accountability for project compliance with this procedure and approves this procedure and any material amendment.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Accepts residual risk at the highest risk class level and authorises continuation where escalation is required.</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r>
        <w:tc>
          <w:tcPr>
            <w:gridSpan w:val="4"/>
            <w:tcW w:type="dxa" w:w="9777"/>
          </w:tcPr>
          <w:p>
            <w:pPr>
              <w:pStyle w:val="TableHeading"/>
              <w:spacing w:before="0" w:after="0" w:line="240" w:lineRule="atLeast"/>
            </w:pPr>
            <w:r>
              <w:rPr>
                <w:rFonts w:ascii="Arial" w:hAnsi="Arial" w:cs="Arial" w:eastAsia="Arial"/>
                <w:sz w:val="16"/>
                <w:szCs w:val="16"/>
              </w:rPr>
              <w:t>HSE/CSP Management</w:t>
            </w:r>
          </w:p>
        </w:tc>
      </w:tr>
      <w:tr>
        <w:tc>
          <w:tcPr>
            <w:tcW w:type="dxa" w:w="2444"/>
          </w:tcPr>
          <w:p>
            <w:pPr>
              <w:pStyle w:val="TableBulletPoints"/>
              <w:spacing w:before="0" w:after="0" w:line="240" w:lineRule="atLeast"/>
            </w:pPr>
            <w:r>
              <w:rPr>
                <w:rFonts w:ascii="Arial" w:hAnsi="Arial" w:cs="Arial" w:eastAsia="Arial"/>
                <w:sz w:val="16"/>
                <w:szCs w:val="16"/>
              </w:rPr>
              <w:t>Maintains and implements this procedure and confirms all activities meet its requirements before work proceeds.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Reviews and approves all required assessments, plans, and registers produced under this procedure.</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Reports performance against this procedure at the agreed project HSESC performance meeting.</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Reviews performance data, identifies trends, and incorporates systemic findings into corrective action programmes.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r>
        <w:tc>
          <w:tcPr>
            <w:gridSpan w:val="4"/>
            <w:tcW w:type="dxa" w:w="9777"/>
          </w:tcPr>
          <w:p>
            <w:pPr>
              <w:pStyle w:val="TableHeading"/>
              <w:spacing w:before="0" w:after="0" w:line="240" w:lineRule="atLeast"/>
            </w:pPr>
            <w:r>
              <w:rPr>
                <w:rFonts w:ascii="Arial" w:hAnsi="Arial" w:cs="Arial" w:eastAsia="Arial"/>
                <w:sz w:val="16"/>
                <w:szCs w:val="16"/>
              </w:rPr>
              <w:t>Frontline Supervision</w:t>
            </w:r>
          </w:p>
        </w:tc>
      </w:tr>
      <w:tr>
        <w:tc>
          <w:tcPr>
            <w:tcW w:type="dxa" w:w="2444"/>
          </w:tcPr>
          <w:p>
            <w:pPr>
              <w:pStyle w:val="TableBulletPoints"/>
              <w:spacing w:before="0" w:after="0" w:line="240" w:lineRule="atLeast"/>
            </w:pPr>
            <w:r>
              <w:rPr>
                <w:rFonts w:ascii="Arial" w:hAnsi="Arial" w:cs="Arial" w:eastAsia="Arial"/>
                <w:sz w:val="16"/>
                <w:szCs w:val="16"/>
              </w:rPr>
              <w:t>Ensures work crew compliance with this procedure before and during all relevant task executions.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Stops work when the requirements of this procedure cannot be met and notifies the HSESC Manager.</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Confirms all personnel under their supervision are trained and competent before commencing relevant activities.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r>
        <w:tc>
          <w:tcPr>
            <w:gridSpan w:val="4"/>
            <w:tcW w:type="dxa" w:w="9777"/>
          </w:tcPr>
          <w:p>
            <w:pPr>
              <w:pStyle w:val="TableHeading"/>
              <w:spacing w:before="0" w:after="0" w:line="240" w:lineRule="atLeast"/>
            </w:pPr>
            <w:r>
              <w:rPr>
                <w:rFonts w:ascii="Arial" w:hAnsi="Arial" w:cs="Arial" w:eastAsia="Arial"/>
                <w:sz w:val="16"/>
                <w:szCs w:val="16"/>
              </w:rPr>
              <w:t>All Project Personnel / Workers</w:t>
            </w:r>
          </w:p>
        </w:tc>
      </w:tr>
      <w:tr>
        <w:tc>
          <w:tcPr>
            <w:tcW w:type="dxa" w:w="2444"/>
          </w:tcPr>
          <w:p>
            <w:pPr>
              <w:pStyle w:val="TableBulletPoints"/>
              <w:spacing w:before="0" w:after="0" w:line="240" w:lineRule="atLeast"/>
            </w:pPr>
            <w:r>
              <w:rPr>
                <w:rFonts w:ascii="Arial" w:hAnsi="Arial" w:cs="Arial" w:eastAsia="Arial"/>
                <w:sz w:val="16"/>
                <w:szCs w:val="16"/>
              </w:rPr>
              <w:t>Complies with the requirements of this procedure in all relevant work activities.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Reports any non-compliance with this procedure immediately to their supervisor.</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bl>
    <w:p>
      <w:pPr>
        <w:pStyle w:val="NormalNumberedtext"/>
      </w:pPr>
    </w:p>
    <w:p>
      <w:pPr>
        <w:pStyle w:val="Heading1Numbered"/>
      </w:pPr>
      <w:r>
        <w:rPr>
          <w:rFonts w:ascii="Arial" w:hAnsi="Arial" w:cs="Arial" w:eastAsia="Arial"/>
        </w:rPr>
        <w:t>3  Purpose, Scope and Register</w:t>
      </w:r>
    </w:p>
    <w:p>
      <w:pPr>
        <w:pStyle w:val="NormalNumberedtext"/>
      </w:pPr>
      <w:r>
        <w:rPr>
          <w:rFonts w:ascii="Arial" w:hAnsi="Arial" w:cs="Arial" w:eastAsia="Arial"/>
        </w:rPr>
        <w:t>This section defines the purpose of this procedure, the jurisdictions and obligations within scope, and the structure and submission requirements for the Legal and Other Requirements Register.</w:t>
      </w:r>
    </w:p>
    <w:p>
      <w:pPr>
        <w:pStyle w:val="Heading2Numbered"/>
      </w:pPr>
      <w:r>
        <w:rPr>
          <w:rFonts w:ascii="Arial" w:hAnsi="Arial" w:cs="Arial" w:eastAsia="Arial"/>
        </w:rPr>
        <w:t>3.1  Purpose of This Document</w:t>
      </w:r>
    </w:p>
    <w:p>
      <w:pPr>
        <w:pStyle w:val="NormalNumberedtext"/>
      </w:pPr>
      <w:r>
        <w:rPr>
          <w:rFonts w:ascii="Arial" w:hAnsi="Arial" w:cs="Arial" w:eastAsia="Arial"/>
        </w:rPr>
        <w:t>This section states the purpose of this procedure and the compliance management obligations it establishes for the project.</w:t>
      </w:r>
    </w:p>
    <w:p>
      <w:pPr>
        <w:pStyle w:val="NormalNumberedtext"/>
      </w:pPr>
      <w:r>
        <w:rPr>
          <w:rFonts w:ascii="Arial" w:hAnsi="Arial" w:cs="Arial" w:eastAsia="Arial"/>
        </w:rPr>
        <w:t>This procedure defines the method for continuously identifying, tracking, and updating regulatory requirements across all locations where Work is performed. It establishes the Legal and Other Requirements Register ([INSERT: Project Document Number]) as the primary compliance management tool for the project.</w:t>
      </w:r>
    </w:p>
    <w:p>
      <w:pPr>
        <w:pStyle w:val="NormalNumberedtext"/>
      </w:pPr>
      <w:r>
        <w:rPr>
          <w:rFonts w:ascii="Arial" w:hAnsi="Arial" w:cs="Arial" w:eastAsia="Arial"/>
        </w:rPr>
        <w:t>This project commits to full compliance with all applicable national and international laws, regulations, and other requirements to which the organisation subscribes, including voluntary commitments. This commitment applies to all Rio Tinto personnel and all contractor organisations working under the project management system.</w:t>
      </w:r>
    </w:p>
    <w:p>
      <w:pPr>
        <w:pStyle w:val="NormalNumberedtext"/>
      </w:pPr>
      <w:r>
        <w:rPr>
          <w:rFonts w:ascii="Arial" w:hAnsi="Arial" w:cs="Arial" w:eastAsia="Arial"/>
        </w:rPr>
        <w:t>This procedure meets the following purpose requirements:</w:t>
      </w:r>
    </w:p>
    <w:p>
      <w:pPr>
        <w:pStyle w:val="NormalNumberedtext"/>
      </w:pPr>
      <w:r>
        <w:rPr>
          <w:rFonts w:ascii="Arial" w:hAnsi="Arial" w:cs="Arial" w:eastAsia="Arial"/>
        </w:rPr>
        <w:t>This procedure applies to:</w:t>
      </w:r>
    </w:p>
    <w:p>
      <w:pPr>
        <w:pStyle w:val="NumberedBulletL3"/>
      </w:pPr>
      <w:r>
        <w:rPr>
          <w:rFonts w:ascii="Arial" w:hAnsi="Arial" w:cs="Arial" w:eastAsia="Arial"/>
        </w:rPr>
        <w:t>All Rio Tinto personnel, contractor organisations, and subcontractors performing Work under the project management system.</w:t>
      </w:r>
    </w:p>
    <w:p>
      <w:pPr>
        <w:pStyle w:val="NumberedBulletL3"/>
      </w:pPr>
      <w:r>
        <w:rPr>
          <w:rFonts w:ascii="Arial" w:hAnsi="Arial" w:cs="Arial" w:eastAsia="Arial"/>
        </w:rPr>
        <w:t>All jurisdictions in which the project operates, covering federal, state or territory, and local government levels.</w:t>
      </w:r>
    </w:p>
    <w:p>
      <w:pPr>
        <w:pStyle w:val="NumberedBulletL3"/>
      </w:pPr>
      <w:r>
        <w:rPr>
          <w:rFonts w:ascii="Arial" w:hAnsi="Arial" w:cs="Arial" w:eastAsia="Arial"/>
        </w:rPr>
        <w:t>All project lifecycle phases from Execution through to Handover.</w:t>
      </w:r>
    </w:p>
    <w:p>
      <w:pPr>
        <w:pStyle w:val="Heading2Numbered"/>
      </w:pPr>
      <w:r>
        <w:rPr>
          <w:rFonts w:ascii="Arial" w:hAnsi="Arial" w:cs="Arial" w:eastAsia="Arial"/>
        </w:rPr>
        <w:t>3.2  Legal and Other Requirements Register</w:t>
      </w:r>
    </w:p>
    <w:p>
      <w:pPr>
        <w:pStyle w:val="NormalNumberedtext"/>
      </w:pPr>
      <w:r>
        <w:rPr>
          <w:rFonts w:ascii="Arial" w:hAnsi="Arial" w:cs="Arial" w:eastAsia="Arial"/>
        </w:rPr>
        <w:t>This section defines the structure, content, and submission requirements for the Legal and Other Requirements Register.</w:t>
      </w:r>
    </w:p>
    <w:p>
      <w:pPr>
        <w:pStyle w:val="NormalNumberedtext"/>
      </w:pPr>
      <w:r>
        <w:rPr>
          <w:rFonts w:ascii="Arial" w:hAnsi="Arial" w:cs="Arial" w:eastAsia="Arial"/>
        </w:rPr>
        <w:t>The Legal and Other Requirements Register ([INSERT: Project Document Number]) is the project record of all binding compliance obligations. The register format, version control, and retention requirements are governed by the Document Control Procedure ([INSERT: Project Document Number]) and the Records Management Procedure ([INSERT: Project Document Number]).</w:t>
      </w:r>
    </w:p>
    <w:p>
      <w:pPr>
        <w:pStyle w:val="NormalNumberedtext"/>
      </w:pPr>
      <w:r>
        <w:rPr>
          <w:rFonts w:ascii="Arial" w:hAnsi="Arial" w:cs="Arial" w:eastAsia="Arial"/>
        </w:rPr>
        <w:t>The register must be submitted to the relevant project authority within 30 days of the Effective Date. Roles and responsibilities for compliance are clearly defined within the register for every applicable obligation, identifying the accountable role, the action required, and the frequency of review.</w:t>
      </w:r>
    </w:p>
    <w:p>
      <w:pPr>
        <w:pStyle w:val="NormalNumberedtext"/>
      </w:pPr>
      <w:r>
        <w:rPr>
          <w:rFonts w:ascii="Arial" w:hAnsi="Arial" w:cs="Arial" w:eastAsia="Arial"/>
        </w:rPr>
        <w:t>The register captures all applicable categories of legal and other requirements as listed below:</w:t>
      </w:r>
    </w:p>
    <w:p>
      <w:pPr>
        <w:pStyle w:val="NormalNumberedtext"/>
      </w:pPr>
      <w:r>
        <w:rPr>
          <w:rFonts w:ascii="Arial" w:hAnsi="Arial" w:cs="Arial" w:eastAsia="Arial"/>
        </w:rPr>
        <w:t>The register includes at minimum:</w:t>
      </w:r>
    </w:p>
    <w:p>
      <w:pPr>
        <w:pStyle w:val="NumberedBulletL3"/>
      </w:pPr>
      <w:r>
        <w:rPr>
          <w:rFonts w:ascii="Arial" w:hAnsi="Arial" w:cs="Arial" w:eastAsia="Arial"/>
        </w:rPr>
        <w:t>Applicable federal, state or territory, and local government legislation, regulations, and standards for each project jurisdiction.</w:t>
      </w:r>
    </w:p>
    <w:p>
      <w:pPr>
        <w:pStyle w:val="NumberedBulletL3"/>
      </w:pPr>
      <w:r>
        <w:rPr>
          <w:rFonts w:ascii="Arial" w:hAnsi="Arial" w:cs="Arial" w:eastAsia="Arial"/>
        </w:rPr>
        <w:t>All permits, approvals, and conditions of consent issued to the project.</w:t>
      </w:r>
    </w:p>
    <w:p>
      <w:pPr>
        <w:pStyle w:val="NumberedBulletL3"/>
      </w:pPr>
      <w:r>
        <w:rPr>
          <w:rFonts w:ascii="Arial" w:hAnsi="Arial" w:cs="Arial" w:eastAsia="Arial"/>
        </w:rPr>
        <w:t>All commitments made through Environmental and Social Impact Assessment processes, which carry equal standing to legislation and are tracked as binding obligations throughout the project lifecycle.</w:t>
      </w:r>
    </w:p>
    <w:p>
      <w:pPr>
        <w:pStyle w:val="NumberedBulletL3"/>
      </w:pPr>
      <w:r>
        <w:rPr>
          <w:rFonts w:ascii="Arial" w:hAnsi="Arial" w:cs="Arial" w:eastAsia="Arial"/>
        </w:rPr>
        <w:t>Applicable occupational health and safety legislation for the project jurisdiction, with senior management accountability for register currency clearly assigned.</w:t>
      </w:r>
    </w:p>
    <w:p>
      <w:pPr>
        <w:pStyle w:val="NumberedBulletL3"/>
      </w:pPr>
      <w:r>
        <w:rPr>
          <w:rFonts w:ascii="Arial" w:hAnsi="Arial" w:cs="Arial" w:eastAsia="Arial"/>
        </w:rPr>
        <w:t>IFC Performance Standards and World Bank EHS Guidelines where host country laws and regulations are less stringent - the more stringent requirement is documented in the register as the project standard.</w:t>
      </w:r>
    </w:p>
    <w:p>
      <w:pPr>
        <w:pStyle w:val="NumberedBulletL3"/>
      </w:pPr>
      <w:r>
        <w:rPr>
          <w:rFonts w:ascii="Arial" w:hAnsi="Arial" w:cs="Arial" w:eastAsia="Arial"/>
        </w:rPr>
        <w:t>Voluntary commitments and industry codes to which the organisation subscribes.</w:t>
      </w: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1: Identify and list all jurisdictions in which this project operates and insert into the register template ([INSERT: Project Document Number]). Consider federal, state or territory, and local government levels.</w:t>
            </w:r>
          </w:p>
        </w:tc>
      </w:tr>
    </w:tbl>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5: Insert the project-specific submission timeline for the initial register to the project owner - check the project Deliverables Schedule ([INSERT: Project Document Number]).</w:t>
            </w:r>
          </w:p>
        </w:tc>
      </w:tr>
    </w:tbl>
    <w:p>
      <w:pPr>
        <w:pStyle w:val="NormalNumberedtext"/>
      </w:pPr>
    </w:p>
    <w:p>
      <w:pPr>
        <w:pStyle w:val="NormalNumberedtext"/>
      </w:pPr>
      <w:r>
        <w:rPr>
          <w:rFonts w:ascii="Arial" w:hAnsi="Arial" w:cs="Arial" w:eastAsia="Arial"/>
        </w:rPr>
        <w:t>The project jurisdictions and initial register submission date are confirmed below:</w:t>
      </w:r>
    </w:p>
    <w:p>
      <w:pPr>
        <w:pStyle w:val="NormalNumberedtext"/>
      </w:pPr>
      <w:r>
        <w:rPr>
          <w:rFonts w:ascii="Arial" w:hAnsi="Arial" w:cs="Arial" w:eastAsia="Arial"/>
        </w:rPr>
        <w:t>Table 1: Project Jurisdictions and Register Submission</w:t>
      </w: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Jurisdiction Level</w:t>
            </w:r>
          </w:p>
        </w:tc>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Jurisdiction Name</w:t>
            </w:r>
          </w:p>
        </w:tc>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Applicable Regulatory Bodies</w:t>
            </w:r>
          </w:p>
        </w:tc>
        <w:tc>
          <w:tcPr>
            <w:shd w:val="clear" w:color="auto" w:fill="1F3864"/>
            <w:tcW w:type="dxa" w:w="2258"/>
          </w:tcPr>
          <w:p>
            <w:pPr>
              <w:pStyle w:val="TableContents"/>
              <w:spacing w:before="0" w:after="0" w:line="240" w:lineRule="atLeast"/>
            </w:pPr>
            <w:r>
              <w:rPr>
                <w:rFonts w:ascii="Arial" w:hAnsi="Arial" w:cs="Arial" w:eastAsia="Arial"/>
                <w:b/>
                <w:bCs/>
                <w:color w:val="FFFFFF"/>
                <w:sz w:val="16"/>
                <w:szCs w:val="16"/>
              </w:rPr>
              <w:t>Initial Register Submission Date</w:t>
            </w:r>
          </w:p>
        </w:tc>
      </w:tr>
      <w:tr>
        <w:tc>
          <w:tcPr>
            <w:tcW w:type="dxa" w:w="2256"/>
          </w:tcPr>
          <w:p>
            <w:pPr>
              <w:pStyle w:val="TableContents"/>
              <w:spacing w:before="0" w:after="0" w:line="240" w:lineRule="atLeast"/>
            </w:pPr>
            <w:r>
              <w:rPr>
                <w:rFonts w:ascii="Arial" w:hAnsi="Arial" w:cs="Arial" w:eastAsia="Arial"/>
                <w:sz w:val="16"/>
                <w:szCs w:val="16"/>
              </w:rPr>
              <w:t>Federal</w:t>
            </w:r>
          </w:p>
        </w:tc>
        <w:tc>
          <w:tcPr>
            <w:tcW w:type="dxa" w:w="2256"/>
          </w:tcPr>
          <w:p>
            <w:pPr>
              <w:pStyle w:val="TableContents"/>
              <w:spacing w:before="0" w:after="0" w:line="240" w:lineRule="atLeast"/>
            </w:pPr>
            <w:r>
              <w:rPr>
                <w:rFonts w:ascii="Arial" w:hAnsi="Arial" w:cs="Arial" w:eastAsia="Arial"/>
                <w:b/>
                <w:bCs/>
                <w:color w:val="0059D1"/>
                <w:sz w:val="16"/>
                <w:szCs w:val="16"/>
              </w:rPr>
              <w:t>[INSERT: jurisdiction name]</w:t>
            </w:r>
          </w:p>
        </w:tc>
        <w:tc>
          <w:tcPr>
            <w:tcW w:type="dxa" w:w="2256"/>
          </w:tcPr>
          <w:p>
            <w:pPr>
              <w:pStyle w:val="TableContents"/>
              <w:spacing w:before="0" w:after="0" w:line="240" w:lineRule="atLeast"/>
            </w:pPr>
            <w:r>
              <w:rPr>
                <w:rFonts w:ascii="Arial" w:hAnsi="Arial" w:cs="Arial" w:eastAsia="Arial"/>
                <w:b/>
                <w:bCs/>
                <w:color w:val="0059D1"/>
                <w:sz w:val="16"/>
                <w:szCs w:val="16"/>
              </w:rPr>
              <w:t>[INSERT: regulatory bodies]</w:t>
            </w:r>
          </w:p>
        </w:tc>
        <w:tc>
          <w:tcPr>
            <w:tcW w:type="dxa" w:w="2258"/>
          </w:tcPr>
          <w:p>
            <w:pPr>
              <w:pStyle w:val="TableContents"/>
              <w:spacing w:before="0" w:after="0" w:line="240" w:lineRule="atLeast"/>
            </w:pPr>
            <w:r>
              <w:rPr>
                <w:rFonts w:ascii="Arial" w:hAnsi="Arial" w:cs="Arial" w:eastAsia="Arial"/>
                <w:b/>
                <w:bCs/>
                <w:color w:val="0059D1"/>
                <w:sz w:val="16"/>
                <w:szCs w:val="16"/>
              </w:rPr>
              <w:t>[INSERT: submission date]</w:t>
            </w:r>
          </w:p>
        </w:tc>
      </w:tr>
      <w:tr>
        <w:tc>
          <w:tcPr>
            <w:tcW w:type="dxa" w:w="2256"/>
          </w:tcPr>
          <w:p>
            <w:pPr>
              <w:pStyle w:val="TableContents"/>
              <w:spacing w:before="0" w:after="0" w:line="240" w:lineRule="atLeast"/>
            </w:pPr>
            <w:r>
              <w:rPr>
                <w:rFonts w:ascii="Arial" w:hAnsi="Arial" w:cs="Arial" w:eastAsia="Arial"/>
                <w:sz w:val="16"/>
                <w:szCs w:val="16"/>
              </w:rPr>
              <w:t>State or Territory</w:t>
            </w:r>
          </w:p>
        </w:tc>
        <w:tc>
          <w:tcPr>
            <w:tcW w:type="dxa" w:w="2256"/>
          </w:tcPr>
          <w:p>
            <w:pPr>
              <w:pStyle w:val="TableContents"/>
              <w:spacing w:before="0" w:after="0" w:line="240" w:lineRule="atLeast"/>
            </w:pPr>
            <w:r>
              <w:rPr>
                <w:rFonts w:ascii="Arial" w:hAnsi="Arial" w:cs="Arial" w:eastAsia="Arial"/>
                <w:b/>
                <w:bCs/>
                <w:color w:val="0059D1"/>
                <w:sz w:val="16"/>
                <w:szCs w:val="16"/>
              </w:rPr>
              <w:t>[INSERT: jurisdiction name]</w:t>
            </w:r>
          </w:p>
        </w:tc>
        <w:tc>
          <w:tcPr>
            <w:tcW w:type="dxa" w:w="2256"/>
          </w:tcPr>
          <w:p>
            <w:pPr>
              <w:pStyle w:val="TableContents"/>
              <w:spacing w:before="0" w:after="0" w:line="240" w:lineRule="atLeast"/>
            </w:pPr>
            <w:r>
              <w:rPr>
                <w:rFonts w:ascii="Arial" w:hAnsi="Arial" w:cs="Arial" w:eastAsia="Arial"/>
                <w:b/>
                <w:bCs/>
                <w:color w:val="0059D1"/>
                <w:sz w:val="16"/>
                <w:szCs w:val="16"/>
              </w:rPr>
              <w:t>[INSERT: regulatory bodies]</w:t>
            </w:r>
          </w:p>
        </w:tc>
        <w:tc>
          <w:tcPr>
            <w:tcW w:type="dxa" w:w="2258"/>
          </w:tcPr>
          <w:p>
            <w:pPr>
              <w:pStyle w:val="TableContents"/>
              <w:spacing w:before="0" w:after="0" w:line="240" w:lineRule="atLeast"/>
            </w:pPr>
            <w:r>
              <w:rPr>
                <w:rFonts w:ascii="Arial" w:hAnsi="Arial" w:cs="Arial" w:eastAsia="Arial"/>
                <w:b/>
                <w:bCs/>
                <w:color w:val="0059D1"/>
                <w:sz w:val="16"/>
                <w:szCs w:val="16"/>
              </w:rPr>
              <w:t>[INSERT: submission date]</w:t>
            </w:r>
          </w:p>
        </w:tc>
      </w:tr>
      <w:tr>
        <w:tc>
          <w:tcPr>
            <w:tcW w:type="dxa" w:w="2256"/>
          </w:tcPr>
          <w:p>
            <w:pPr>
              <w:pStyle w:val="TableContents"/>
              <w:spacing w:before="0" w:after="0" w:line="240" w:lineRule="atLeast"/>
            </w:pPr>
            <w:r>
              <w:rPr>
                <w:rFonts w:ascii="Arial" w:hAnsi="Arial" w:cs="Arial" w:eastAsia="Arial"/>
                <w:sz w:val="16"/>
                <w:szCs w:val="16"/>
              </w:rPr>
              <w:t>Local Government</w:t>
            </w:r>
          </w:p>
        </w:tc>
        <w:tc>
          <w:tcPr>
            <w:tcW w:type="dxa" w:w="2256"/>
          </w:tcPr>
          <w:p>
            <w:pPr>
              <w:pStyle w:val="TableContents"/>
              <w:spacing w:before="0" w:after="0" w:line="240" w:lineRule="atLeast"/>
            </w:pPr>
            <w:r>
              <w:rPr>
                <w:rFonts w:ascii="Arial" w:hAnsi="Arial" w:cs="Arial" w:eastAsia="Arial"/>
                <w:b/>
                <w:bCs/>
                <w:color w:val="0059D1"/>
                <w:sz w:val="16"/>
                <w:szCs w:val="16"/>
              </w:rPr>
              <w:t>[INSERT: jurisdiction name]</w:t>
            </w:r>
          </w:p>
        </w:tc>
        <w:tc>
          <w:tcPr>
            <w:tcW w:type="dxa" w:w="2256"/>
          </w:tcPr>
          <w:p>
            <w:pPr>
              <w:pStyle w:val="TableContents"/>
              <w:spacing w:before="0" w:after="0" w:line="240" w:lineRule="atLeast"/>
            </w:pPr>
            <w:r>
              <w:rPr>
                <w:rFonts w:ascii="Arial" w:hAnsi="Arial" w:cs="Arial" w:eastAsia="Arial"/>
                <w:b/>
                <w:bCs/>
                <w:color w:val="0059D1"/>
                <w:sz w:val="16"/>
                <w:szCs w:val="16"/>
              </w:rPr>
              <w:t>[INSERT: regulatory bodies]</w:t>
            </w:r>
          </w:p>
        </w:tc>
        <w:tc>
          <w:tcPr>
            <w:tcW w:type="dxa" w:w="2258"/>
          </w:tcPr>
          <w:p>
            <w:pPr>
              <w:pStyle w:val="TableContents"/>
              <w:spacing w:before="0" w:after="0" w:line="240" w:lineRule="atLeast"/>
            </w:pPr>
            <w:r>
              <w:rPr>
                <w:rFonts w:ascii="Arial" w:hAnsi="Arial" w:cs="Arial" w:eastAsia="Arial"/>
                <w:b/>
                <w:bCs/>
                <w:color w:val="0059D1"/>
                <w:sz w:val="16"/>
                <w:szCs w:val="16"/>
              </w:rPr>
              <w:t>[INSERT: submission date]</w:t>
            </w:r>
          </w:p>
        </w:tc>
      </w:tr>
    </w:tbl>
    <w:p>
      <w:pPr>
        <w:pStyle w:val="NormalNumberedtext"/>
      </w:pPr>
    </w:p>
    <w:p>
      <w:pPr>
        <w:pStyle w:val="NormalNumberedtext"/>
      </w:pPr>
      <w:r>
        <w:rPr>
          <w:rFonts w:ascii="Arial" w:hAnsi="Arial" w:cs="Arial" w:eastAsia="Arial"/>
        </w:rPr>
        <w:t>The role accountable for maintaining the register and ensuring its currency is assigned below. This role has the authority and seniority to ensure identified compliance obligations are actioned within defined timeframes.</w:t>
      </w: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4: Identify the role responsible for maintaining the register by name and position title for this project.</w:t>
            </w:r>
          </w:p>
        </w:tc>
      </w:tr>
    </w:tbl>
    <w:p>
      <w:pPr>
        <w:pStyle w:val="NormalNumberedtext"/>
      </w:pPr>
    </w:p>
    <w:p>
      <w:pPr>
        <w:pStyle w:val="NormalNumberedtext"/>
      </w:pPr>
      <w:r>
        <w:rPr>
          <w:rFonts w:ascii="Arial" w:hAnsi="Arial" w:cs="Arial" w:eastAsia="Arial"/>
        </w:rPr>
        <w:t>Table 2: Register Accountability</w:t>
      </w: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Responsibility</w:t>
            </w:r>
          </w:p>
        </w:tc>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Role Title</w:t>
            </w:r>
          </w:p>
        </w:tc>
        <w:tc>
          <w:tcPr>
            <w:shd w:val="clear" w:color="auto" w:fill="1F3864"/>
            <w:tcW w:type="dxa" w:w="3010"/>
          </w:tcPr>
          <w:p>
            <w:pPr>
              <w:pStyle w:val="TableContents"/>
              <w:spacing w:before="0" w:after="0" w:line="240" w:lineRule="atLeast"/>
            </w:pPr>
            <w:r>
              <w:rPr>
                <w:rFonts w:ascii="Arial" w:hAnsi="Arial" w:cs="Arial" w:eastAsia="Arial"/>
                <w:b/>
                <w:bCs/>
                <w:color w:val="FFFFFF"/>
                <w:sz w:val="16"/>
                <w:szCs w:val="16"/>
              </w:rPr>
              <w:t>Name</w:t>
            </w:r>
          </w:p>
        </w:tc>
      </w:tr>
      <w:tr>
        <w:tc>
          <w:tcPr>
            <w:tcW w:type="dxa" w:w="3008"/>
          </w:tcPr>
          <w:p>
            <w:pPr>
              <w:pStyle w:val="TableContents"/>
              <w:spacing w:before="0" w:after="0" w:line="240" w:lineRule="atLeast"/>
            </w:pPr>
            <w:r>
              <w:rPr>
                <w:rFonts w:ascii="Arial" w:hAnsi="Arial" w:cs="Arial" w:eastAsia="Arial"/>
                <w:sz w:val="16"/>
                <w:szCs w:val="16"/>
              </w:rPr>
              <w:t>Register Owner - accountable for currency, review, and escalation</w:t>
            </w:r>
          </w:p>
        </w:tc>
        <w:tc>
          <w:tcPr>
            <w:tcW w:type="dxa" w:w="3008"/>
          </w:tcPr>
          <w:p>
            <w:pPr>
              <w:pStyle w:val="TableContents"/>
              <w:spacing w:before="0" w:after="0" w:line="240" w:lineRule="atLeast"/>
            </w:pPr>
            <w:r>
              <w:rPr>
                <w:rFonts w:ascii="Arial" w:hAnsi="Arial" w:cs="Arial" w:eastAsia="Arial"/>
                <w:b/>
                <w:bCs/>
                <w:color w:val="0059D1"/>
                <w:sz w:val="16"/>
                <w:szCs w:val="16"/>
              </w:rPr>
              <w:t>[INSERT: position title]</w:t>
            </w:r>
          </w:p>
        </w:tc>
        <w:tc>
          <w:tcPr>
            <w:tcW w:type="dxa" w:w="3010"/>
          </w:tcPr>
          <w:p>
            <w:pPr>
              <w:pStyle w:val="TableContents"/>
              <w:spacing w:before="0" w:after="0" w:line="240" w:lineRule="atLeast"/>
            </w:pPr>
            <w:r>
              <w:rPr>
                <w:rFonts w:ascii="Arial" w:hAnsi="Arial" w:cs="Arial" w:eastAsia="Arial"/>
                <w:b/>
                <w:bCs/>
                <w:color w:val="0059D1"/>
                <w:sz w:val="16"/>
                <w:szCs w:val="16"/>
              </w:rPr>
              <w:t>[INSERT: name]</w:t>
            </w:r>
          </w:p>
        </w:tc>
      </w:tr>
      <w:tr>
        <w:tc>
          <w:tcPr>
            <w:tcW w:type="dxa" w:w="3008"/>
          </w:tcPr>
          <w:p>
            <w:pPr>
              <w:pStyle w:val="TableContents"/>
              <w:spacing w:before="0" w:after="0" w:line="240" w:lineRule="atLeast"/>
            </w:pPr>
            <w:r>
              <w:rPr>
                <w:rFonts w:ascii="Arial" w:hAnsi="Arial" w:cs="Arial" w:eastAsia="Arial"/>
                <w:sz w:val="16"/>
                <w:szCs w:val="16"/>
              </w:rPr>
              <w:t>Senior Management Sign-off - accountable for occupational health and safety legislative coverage</w:t>
            </w:r>
          </w:p>
        </w:tc>
        <w:tc>
          <w:tcPr>
            <w:tcW w:type="dxa" w:w="3008"/>
          </w:tcPr>
          <w:p>
            <w:pPr>
              <w:pStyle w:val="TableContents"/>
              <w:spacing w:before="0" w:after="0" w:line="240" w:lineRule="atLeast"/>
            </w:pPr>
            <w:r>
              <w:rPr>
                <w:rFonts w:ascii="Arial" w:hAnsi="Arial" w:cs="Arial" w:eastAsia="Arial"/>
                <w:b/>
                <w:bCs/>
                <w:color w:val="0059D1"/>
                <w:sz w:val="16"/>
                <w:szCs w:val="16"/>
              </w:rPr>
              <w:t>[INSERT: position title]</w:t>
            </w:r>
          </w:p>
        </w:tc>
        <w:tc>
          <w:tcPr>
            <w:tcW w:type="dxa" w:w="3010"/>
          </w:tcPr>
          <w:p>
            <w:pPr>
              <w:pStyle w:val="TableContents"/>
              <w:spacing w:before="0" w:after="0" w:line="240" w:lineRule="atLeast"/>
            </w:pPr>
            <w:r>
              <w:rPr>
                <w:rFonts w:ascii="Arial" w:hAnsi="Arial" w:cs="Arial" w:eastAsia="Arial"/>
                <w:b/>
                <w:bCs/>
                <w:color w:val="0059D1"/>
                <w:sz w:val="16"/>
                <w:szCs w:val="16"/>
              </w:rPr>
              <w:t>[INSERT: name]</w:t>
            </w:r>
          </w:p>
        </w:tc>
      </w:tr>
    </w:tbl>
    <w:p>
      <w:pPr>
        <w:pStyle w:val="NormalNumberedtext"/>
      </w:pPr>
    </w:p>
    <w:p>
      <w:pPr>
        <w:pStyle w:val="Heading1Numbered"/>
      </w:pPr>
      <w:r>
        <w:rPr>
          <w:rFonts w:ascii="Arial" w:hAnsi="Arial" w:cs="Arial" w:eastAsia="Arial"/>
        </w:rPr>
        <w:t>4  Monitoring and Updating</w:t>
      </w:r>
    </w:p>
    <w:p>
      <w:pPr>
        <w:pStyle w:val="NormalNumberedtext"/>
      </w:pPr>
      <w:r>
        <w:rPr>
          <w:rFonts w:ascii="Arial" w:hAnsi="Arial" w:cs="Arial" w:eastAsia="Arial"/>
        </w:rPr>
        <w:t>This section defines the process for continuously monitoring regulatory changes, the minimum review frequency, and the escalation thresholds that apply when non-compliance is identified.</w:t>
      </w:r>
    </w:p>
    <w:p>
      <w:pPr>
        <w:pStyle w:val="Heading2Numbered"/>
      </w:pPr>
      <w:r>
        <w:rPr>
          <w:rFonts w:ascii="Arial" w:hAnsi="Arial" w:cs="Arial" w:eastAsia="Arial"/>
        </w:rPr>
        <w:t>4.1  Regulatory Monitoring Process</w:t>
      </w:r>
    </w:p>
    <w:p>
      <w:pPr>
        <w:pStyle w:val="NormalNumberedtext"/>
      </w:pPr>
      <w:r>
        <w:rPr>
          <w:rFonts w:ascii="Arial" w:hAnsi="Arial" w:cs="Arial" w:eastAsia="Arial"/>
        </w:rPr>
        <w:t>This section defines the mechanisms used to detect regulatory changes and the conditions that trigger a register update.</w:t>
      </w:r>
    </w:p>
    <w:p>
      <w:pPr>
        <w:pStyle w:val="NormalNumberedtext"/>
      </w:pPr>
      <w:r>
        <w:rPr>
          <w:rFonts w:ascii="Arial" w:hAnsi="Arial" w:cs="Arial" w:eastAsia="Arial"/>
        </w:rPr>
        <w:t>The project maintains a continuous process for monitoring regulatory changes that may affect the Legal and Other Requirements Register. The Register Owner defined in Table 2 is accountable for operating this monitoring process and for ensuring detected changes are reflected in the register within the timeframes defined in this section.</w:t>
      </w:r>
    </w:p>
    <w:p>
      <w:pPr>
        <w:pStyle w:val="NormalNumberedtext"/>
      </w:pPr>
      <w:r>
        <w:rPr>
          <w:rFonts w:ascii="Arial" w:hAnsi="Arial" w:cs="Arial" w:eastAsia="Arial"/>
        </w:rPr>
        <w:t>The monitoring process uses the following mechanisms:</w:t>
      </w:r>
    </w:p>
    <w:p>
      <w:pPr>
        <w:pStyle w:val="NormalNumberedtext"/>
      </w:pPr>
      <w:r>
        <w:rPr>
          <w:rFonts w:ascii="Arial" w:hAnsi="Arial" w:cs="Arial" w:eastAsia="Arial"/>
        </w:rPr>
        <w:t>Regulatory monitoring mechanisms include:</w:t>
      </w:r>
    </w:p>
    <w:p>
      <w:pPr>
        <w:pStyle w:val="NumberedBulletL3"/>
      </w:pPr>
      <w:r>
        <w:rPr>
          <w:rFonts w:ascii="Arial" w:hAnsi="Arial" w:cs="Arial" w:eastAsia="Arial"/>
          <w:color w:val="C55A11"/>
        </w:rPr>
        <w:t>Subscription to government gazette notification services covering all project jurisdictions identified in Table 1.</w:t>
      </w:r>
    </w:p>
    <w:p>
      <w:pPr>
        <w:pStyle w:val="NumberedBulletL3"/>
      </w:pPr>
      <w:r>
        <w:rPr>
          <w:rFonts w:ascii="Arial" w:hAnsi="Arial" w:cs="Arial" w:eastAsia="Arial"/>
          <w:color w:val="C55A11"/>
        </w:rPr>
        <w:t>Engagement with legal counsel specialising in the applicable regulatory domains for the project jurisdiction.</w:t>
      </w:r>
    </w:p>
    <w:p>
      <w:pPr>
        <w:pStyle w:val="NumberedBulletL3"/>
      </w:pPr>
      <w:r>
        <w:rPr>
          <w:rFonts w:ascii="Arial" w:hAnsi="Arial" w:cs="Arial" w:eastAsia="Arial"/>
          <w:color w:val="C55A11"/>
        </w:rPr>
        <w:t>Participation in relevant industry body notification channels, including peak body memberships applicable to the project.</w:t>
      </w:r>
    </w:p>
    <w:p>
      <w:pPr>
        <w:pStyle w:val="NumberedBulletL3"/>
      </w:pPr>
      <w:r>
        <w:rPr>
          <w:b/>
          <w:bCs/>
          <w:color w:val="0059D1"/>
        </w:rPr>
        <w:t>[INSERT: project_monitoring_mechanism]</w:t>
      </w: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2: Define the specific monitoring mechanism to be used for this project - for example, the named subscription service, legal counsel engagement arrangement, and peak body memberships. The procedure states a process is required but the specific service is a project decision.</w:t>
            </w:r>
          </w:p>
        </w:tc>
      </w:tr>
    </w:tbl>
    <w:p>
      <w:pPr>
        <w:pStyle w:val="NormalNumberedtext"/>
      </w:pPr>
    </w:p>
    <w:p>
      <w:pPr>
        <w:pStyle w:val="NormalNumberedtext"/>
      </w:pPr>
      <w:r>
        <w:rPr>
          <w:rFonts w:ascii="Arial" w:hAnsi="Arial" w:cs="Arial" w:eastAsia="Arial"/>
        </w:rPr>
        <w:t>The register is formally reviewed at minimum quarterly. A review is also conducted following any legislative change, permit amendment, approval condition update, or management of change outcome that affects a compliance obligation. Each review is recorded as a dated entry in the register.</w:t>
      </w:r>
    </w:p>
    <w:p>
      <w:pPr>
        <w:pStyle w:val="NormalNumberedtext"/>
      </w:pPr>
      <w:r>
        <w:rPr>
          <w:rFonts w:ascii="Arial" w:hAnsi="Arial" w:cs="Arial" w:eastAsia="Arial"/>
        </w:rPr>
        <w:t>Table 3: Register Review Triggers and Timeframes</w:t>
      </w: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Review Trigger</w:t>
            </w:r>
          </w:p>
        </w:tc>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Maximum Timeframe to Update Register</w:t>
            </w:r>
          </w:p>
        </w:tc>
        <w:tc>
          <w:tcPr>
            <w:shd w:val="clear" w:color="auto" w:fill="1F3864"/>
            <w:tcW w:type="dxa" w:w="3010"/>
          </w:tcPr>
          <w:p>
            <w:pPr>
              <w:pStyle w:val="TableContents"/>
              <w:spacing w:before="0" w:after="0" w:line="240" w:lineRule="atLeast"/>
            </w:pPr>
            <w:r>
              <w:rPr>
                <w:rFonts w:ascii="Arial" w:hAnsi="Arial" w:cs="Arial" w:eastAsia="Arial"/>
                <w:b/>
                <w:bCs/>
                <w:color w:val="FFFFFF"/>
                <w:sz w:val="16"/>
                <w:szCs w:val="16"/>
              </w:rPr>
              <w:t>Notified By</w:t>
            </w:r>
          </w:p>
        </w:tc>
      </w:tr>
      <w:tr>
        <w:tc>
          <w:tcPr>
            <w:tcW w:type="dxa" w:w="3008"/>
          </w:tcPr>
          <w:p>
            <w:pPr>
              <w:pStyle w:val="TableContents"/>
              <w:spacing w:before="0" w:after="0" w:line="240" w:lineRule="atLeast"/>
            </w:pPr>
            <w:r>
              <w:rPr>
                <w:rFonts w:ascii="Arial" w:hAnsi="Arial" w:cs="Arial" w:eastAsia="Arial"/>
                <w:sz w:val="16"/>
                <w:szCs w:val="16"/>
              </w:rPr>
              <w:t>Scheduled quarterly review</w:t>
            </w:r>
          </w:p>
        </w:tc>
        <w:tc>
          <w:tcPr>
            <w:tcW w:type="dxa" w:w="3008"/>
          </w:tcPr>
          <w:p>
            <w:pPr>
              <w:pStyle w:val="TableContents"/>
              <w:spacing w:before="0" w:after="0" w:line="240" w:lineRule="atLeast"/>
            </w:pPr>
            <w:r>
              <w:rPr>
                <w:rFonts w:ascii="Arial" w:hAnsi="Arial" w:cs="Arial" w:eastAsia="Arial"/>
                <w:sz w:val="16"/>
                <w:szCs w:val="16"/>
              </w:rPr>
              <w:t>Within the quarter - review completed before quarter end</w:t>
            </w:r>
          </w:p>
        </w:tc>
        <w:tc>
          <w:tcPr>
            <w:tcW w:type="dxa" w:w="3010"/>
          </w:tcPr>
          <w:p>
            <w:pPr>
              <w:pStyle w:val="TableContents"/>
              <w:spacing w:before="0" w:after="0" w:line="240" w:lineRule="atLeast"/>
            </w:pPr>
            <w:r>
              <w:rPr>
                <w:rFonts w:ascii="Arial" w:hAnsi="Arial" w:cs="Arial" w:eastAsia="Arial"/>
                <w:sz w:val="16"/>
                <w:szCs w:val="16"/>
              </w:rPr>
              <w:t>Register Owner</w:t>
            </w:r>
          </w:p>
        </w:tc>
      </w:tr>
      <w:tr>
        <w:tc>
          <w:tcPr>
            <w:tcW w:type="dxa" w:w="3008"/>
          </w:tcPr>
          <w:p>
            <w:pPr>
              <w:pStyle w:val="TableContents"/>
              <w:spacing w:before="0" w:after="0" w:line="240" w:lineRule="atLeast"/>
            </w:pPr>
            <w:r>
              <w:rPr>
                <w:rFonts w:ascii="Arial" w:hAnsi="Arial" w:cs="Arial" w:eastAsia="Arial"/>
                <w:sz w:val="16"/>
                <w:szCs w:val="16"/>
              </w:rPr>
              <w:t>Legislative amendment gazetted</w:t>
            </w:r>
          </w:p>
        </w:tc>
        <w:tc>
          <w:tcPr>
            <w:tcW w:type="dxa" w:w="3008"/>
          </w:tcPr>
          <w:p>
            <w:pPr>
              <w:pStyle w:val="TableContents"/>
              <w:spacing w:before="0" w:after="0" w:line="240" w:lineRule="atLeast"/>
            </w:pPr>
            <w:r>
              <w:rPr>
                <w:rFonts w:ascii="Arial" w:hAnsi="Arial" w:cs="Arial" w:eastAsia="Arial"/>
                <w:sz w:val="16"/>
                <w:szCs w:val="16"/>
              </w:rPr>
              <w:t>Within 14 days of gazette publication</w:t>
            </w:r>
          </w:p>
        </w:tc>
        <w:tc>
          <w:tcPr>
            <w:tcW w:type="dxa" w:w="3010"/>
          </w:tcPr>
          <w:p>
            <w:pPr>
              <w:pStyle w:val="TableContents"/>
              <w:spacing w:before="0" w:after="0" w:line="240" w:lineRule="atLeast"/>
            </w:pPr>
            <w:r>
              <w:rPr>
                <w:rFonts w:ascii="Arial" w:hAnsi="Arial" w:cs="Arial" w:eastAsia="Arial"/>
                <w:sz w:val="16"/>
                <w:szCs w:val="16"/>
              </w:rPr>
              <w:t>Register Owner or Legal Counsel</w:t>
            </w:r>
          </w:p>
        </w:tc>
      </w:tr>
      <w:tr>
        <w:tc>
          <w:tcPr>
            <w:tcW w:type="dxa" w:w="3008"/>
          </w:tcPr>
          <w:p>
            <w:pPr>
              <w:pStyle w:val="TableContents"/>
              <w:spacing w:before="0" w:after="0" w:line="240" w:lineRule="atLeast"/>
            </w:pPr>
            <w:r>
              <w:rPr>
                <w:rFonts w:ascii="Arial" w:hAnsi="Arial" w:cs="Arial" w:eastAsia="Arial"/>
                <w:sz w:val="16"/>
                <w:szCs w:val="16"/>
              </w:rPr>
              <w:t>Permit amendment issued</w:t>
            </w:r>
          </w:p>
        </w:tc>
        <w:tc>
          <w:tcPr>
            <w:tcW w:type="dxa" w:w="3008"/>
          </w:tcPr>
          <w:p>
            <w:pPr>
              <w:pStyle w:val="TableContents"/>
              <w:spacing w:before="0" w:after="0" w:line="240" w:lineRule="atLeast"/>
            </w:pPr>
            <w:r>
              <w:rPr>
                <w:rFonts w:ascii="Arial" w:hAnsi="Arial" w:cs="Arial" w:eastAsia="Arial"/>
                <w:sz w:val="16"/>
                <w:szCs w:val="16"/>
              </w:rPr>
              <w:t>Within 7 days of permit amendment receipt</w:t>
            </w:r>
          </w:p>
        </w:tc>
        <w:tc>
          <w:tcPr>
            <w:tcW w:type="dxa" w:w="3010"/>
          </w:tcPr>
          <w:p>
            <w:pPr>
              <w:pStyle w:val="TableContents"/>
              <w:spacing w:before="0" w:after="0" w:line="240" w:lineRule="atLeast"/>
            </w:pPr>
            <w:r>
              <w:rPr>
                <w:rFonts w:ascii="Arial" w:hAnsi="Arial" w:cs="Arial" w:eastAsia="Arial"/>
                <w:sz w:val="16"/>
                <w:szCs w:val="16"/>
              </w:rPr>
              <w:t>Register Owner</w:t>
            </w:r>
          </w:p>
        </w:tc>
      </w:tr>
      <w:tr>
        <w:tc>
          <w:tcPr>
            <w:tcW w:type="dxa" w:w="3008"/>
          </w:tcPr>
          <w:p>
            <w:pPr>
              <w:pStyle w:val="TableContents"/>
              <w:spacing w:before="0" w:after="0" w:line="240" w:lineRule="atLeast"/>
            </w:pPr>
            <w:r>
              <w:rPr>
                <w:rFonts w:ascii="Arial" w:hAnsi="Arial" w:cs="Arial" w:eastAsia="Arial"/>
                <w:sz w:val="16"/>
                <w:szCs w:val="16"/>
              </w:rPr>
              <w:t>Approval condition update</w:t>
            </w:r>
          </w:p>
        </w:tc>
        <w:tc>
          <w:tcPr>
            <w:tcW w:type="dxa" w:w="3008"/>
          </w:tcPr>
          <w:p>
            <w:pPr>
              <w:pStyle w:val="TableContents"/>
              <w:spacing w:before="0" w:after="0" w:line="240" w:lineRule="atLeast"/>
            </w:pPr>
            <w:r>
              <w:rPr>
                <w:rFonts w:ascii="Arial" w:hAnsi="Arial" w:cs="Arial" w:eastAsia="Arial"/>
                <w:sz w:val="16"/>
                <w:szCs w:val="16"/>
              </w:rPr>
              <w:t>Within 7 days of notification</w:t>
            </w:r>
          </w:p>
        </w:tc>
        <w:tc>
          <w:tcPr>
            <w:tcW w:type="dxa" w:w="3010"/>
          </w:tcPr>
          <w:p>
            <w:pPr>
              <w:pStyle w:val="TableContents"/>
              <w:spacing w:before="0" w:after="0" w:line="240" w:lineRule="atLeast"/>
            </w:pPr>
            <w:r>
              <w:rPr>
                <w:rFonts w:ascii="Arial" w:hAnsi="Arial" w:cs="Arial" w:eastAsia="Arial"/>
                <w:sz w:val="16"/>
                <w:szCs w:val="16"/>
              </w:rPr>
              <w:t>Register Owner</w:t>
            </w:r>
          </w:p>
        </w:tc>
      </w:tr>
      <w:tr>
        <w:tc>
          <w:tcPr>
            <w:tcW w:type="dxa" w:w="3008"/>
          </w:tcPr>
          <w:p>
            <w:pPr>
              <w:pStyle w:val="TableContents"/>
              <w:spacing w:before="0" w:after="0" w:line="240" w:lineRule="atLeast"/>
            </w:pPr>
            <w:r>
              <w:rPr>
                <w:rFonts w:ascii="Arial" w:hAnsi="Arial" w:cs="Arial" w:eastAsia="Arial"/>
                <w:sz w:val="16"/>
                <w:szCs w:val="16"/>
              </w:rPr>
              <w:t>Management of change outcome affecting a compliance obligation</w:t>
            </w:r>
          </w:p>
        </w:tc>
        <w:tc>
          <w:tcPr>
            <w:tcW w:type="dxa" w:w="3008"/>
          </w:tcPr>
          <w:p>
            <w:pPr>
              <w:pStyle w:val="TableContents"/>
              <w:spacing w:before="0" w:after="0" w:line="240" w:lineRule="atLeast"/>
            </w:pPr>
            <w:r>
              <w:rPr>
                <w:rFonts w:ascii="Arial" w:hAnsi="Arial" w:cs="Arial" w:eastAsia="Arial"/>
                <w:sz w:val="16"/>
                <w:szCs w:val="16"/>
              </w:rPr>
              <w:t>Prior to commencement of the changed activity</w:t>
            </w:r>
          </w:p>
        </w:tc>
        <w:tc>
          <w:tcPr>
            <w:tcW w:type="dxa" w:w="3010"/>
          </w:tcPr>
          <w:p>
            <w:pPr>
              <w:pStyle w:val="TableContents"/>
              <w:spacing w:before="0" w:after="0" w:line="240" w:lineRule="atLeast"/>
            </w:pPr>
            <w:r>
              <w:rPr>
                <w:rFonts w:ascii="Arial" w:hAnsi="Arial" w:cs="Arial" w:eastAsia="Arial"/>
                <w:sz w:val="16"/>
                <w:szCs w:val="16"/>
              </w:rPr>
              <w:t>HSESC Manager</w:t>
            </w:r>
          </w:p>
        </w:tc>
      </w:tr>
    </w:tbl>
    <w:p>
      <w:pPr>
        <w:pStyle w:val="NormalNumberedtext"/>
      </w:pPr>
    </w:p>
    <w:p>
      <w:pPr>
        <w:pStyle w:val="Heading2Numbered"/>
      </w:pPr>
      <w:r>
        <w:rPr>
          <w:rFonts w:ascii="Arial" w:hAnsi="Arial" w:cs="Arial" w:eastAsia="Arial"/>
        </w:rPr>
        <w:t>4.2  Non-Compliance Escalation Thresholds</w:t>
      </w:r>
    </w:p>
    <w:p>
      <w:pPr>
        <w:pStyle w:val="NormalNumberedtext"/>
      </w:pPr>
      <w:r>
        <w:rPr>
          <w:rFonts w:ascii="Arial" w:hAnsi="Arial" w:cs="Arial" w:eastAsia="Arial"/>
        </w:rPr>
        <w:t>This section defines the three escalation levels for non-compliance events, the response timeframe for each, and the notification chain that applies.</w:t>
      </w:r>
    </w:p>
    <w:p>
      <w:pPr>
        <w:pStyle w:val="NormalNumberedtext"/>
      </w:pPr>
      <w:r>
        <w:rPr>
          <w:rFonts w:ascii="Arial" w:hAnsi="Arial" w:cs="Arial" w:eastAsia="Arial"/>
        </w:rPr>
        <w:t>The project defines three escalation levels for non-compliance events, distinguishing between minor administrative non-conformances, reportable breaches, and enforcement actions. Each level has a defined response timeframe and notification chain. All regulatory non-compliances, government notices, and enforcement actions are reported promptly to the project leadership team and to the relevant corporate function.</w:t>
      </w: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3: Define the non-compliance escalation matrix for this project - what constitutes a minor non-conformance, a reportable breach, and an enforcement action, and who is notified at each level. Insert into Table 4 below.</w:t>
            </w:r>
          </w:p>
        </w:tc>
      </w:tr>
    </w:tbl>
    <w:p>
      <w:pPr>
        <w:pStyle w:val="NormalNumberedtext"/>
      </w:pPr>
    </w:p>
    <w:p>
      <w:pPr>
        <w:pStyle w:val="NormalNumberedtext"/>
      </w:pPr>
      <w:r>
        <w:rPr>
          <w:rFonts w:ascii="Arial" w:hAnsi="Arial" w:cs="Arial" w:eastAsia="Arial"/>
        </w:rPr>
        <w:t>Table 4: Non-Compliance Escalation Matrix</w:t>
      </w: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Level</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Definition</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Examples</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Maximum Response Timeframe</w:t>
            </w:r>
          </w:p>
        </w:tc>
        <w:tc>
          <w:tcPr>
            <w:shd w:val="clear" w:color="auto" w:fill="1F3864"/>
            <w:tcW w:type="dxa" w:w="1806"/>
          </w:tcPr>
          <w:p>
            <w:pPr>
              <w:pStyle w:val="TableContents"/>
              <w:spacing w:before="0" w:after="0" w:line="240" w:lineRule="atLeast"/>
            </w:pPr>
            <w:r>
              <w:rPr>
                <w:rFonts w:ascii="Arial" w:hAnsi="Arial" w:cs="Arial" w:eastAsia="Arial"/>
                <w:b/>
                <w:bCs/>
                <w:color w:val="FFFFFF"/>
                <w:sz w:val="16"/>
                <w:szCs w:val="16"/>
              </w:rPr>
              <w:t>Notification Chain</w:t>
            </w:r>
          </w:p>
        </w:tc>
      </w:tr>
      <w:tr>
        <w:tc>
          <w:tcPr>
            <w:tcW w:type="dxa" w:w="1805"/>
          </w:tcPr>
          <w:p>
            <w:pPr>
              <w:pStyle w:val="TableContents"/>
              <w:spacing w:before="0" w:after="0" w:line="240" w:lineRule="atLeast"/>
            </w:pPr>
            <w:r>
              <w:rPr>
                <w:rFonts w:ascii="Arial" w:hAnsi="Arial" w:cs="Arial" w:eastAsia="Arial"/>
                <w:sz w:val="16"/>
                <w:szCs w:val="16"/>
              </w:rPr>
              <w:t>Level 1 - Minor Administrative Non-Conformance</w:t>
            </w:r>
          </w:p>
        </w:tc>
        <w:tc>
          <w:tcPr>
            <w:tcW w:type="dxa" w:w="1805"/>
          </w:tcPr>
          <w:p>
            <w:pPr>
              <w:pStyle w:val="TableContents"/>
              <w:spacing w:before="0" w:after="0" w:line="240" w:lineRule="atLeast"/>
            </w:pPr>
            <w:r>
              <w:rPr>
                <w:rFonts w:ascii="Arial" w:hAnsi="Arial" w:cs="Arial" w:eastAsia="Arial"/>
                <w:b/>
                <w:bCs/>
                <w:color w:val="0059D1"/>
                <w:sz w:val="16"/>
                <w:szCs w:val="16"/>
              </w:rPr>
              <w:t>[INSERT: project definition]</w:t>
            </w:r>
          </w:p>
        </w:tc>
        <w:tc>
          <w:tcPr>
            <w:tcW w:type="dxa" w:w="1805"/>
          </w:tcPr>
          <w:p>
            <w:pPr>
              <w:pStyle w:val="TableContents"/>
              <w:spacing w:before="0" w:after="0" w:line="240" w:lineRule="atLeast"/>
            </w:pPr>
            <w:r>
              <w:rPr>
                <w:rFonts w:ascii="Arial" w:hAnsi="Arial" w:cs="Arial" w:eastAsia="Arial"/>
                <w:sz w:val="16"/>
                <w:szCs w:val="16"/>
              </w:rPr>
              <w:t>Late submission of a scheduled report; administrative record-keeping gap with no consequence to compliance status.</w:t>
            </w:r>
          </w:p>
        </w:tc>
        <w:tc>
          <w:tcPr>
            <w:tcW w:type="dxa" w:w="1805"/>
          </w:tcPr>
          <w:p>
            <w:pPr>
              <w:pStyle w:val="TableContents"/>
              <w:spacing w:before="0" w:after="0" w:line="240" w:lineRule="atLeast"/>
            </w:pPr>
            <w:r>
              <w:rPr>
                <w:rFonts w:ascii="Arial" w:hAnsi="Arial" w:cs="Arial" w:eastAsia="Arial"/>
                <w:sz w:val="16"/>
                <w:szCs w:val="16"/>
              </w:rPr>
              <w:t>Corrective action within 14 days</w:t>
            </w:r>
          </w:p>
        </w:tc>
        <w:tc>
          <w:tcPr>
            <w:tcW w:type="dxa" w:w="1806"/>
          </w:tcPr>
          <w:p>
            <w:pPr>
              <w:pStyle w:val="TableContents"/>
              <w:spacing w:before="0" w:after="0" w:line="240" w:lineRule="atLeast"/>
            </w:pPr>
            <w:r>
              <w:rPr>
                <w:rFonts w:ascii="Arial" w:hAnsi="Arial" w:cs="Arial" w:eastAsia="Arial"/>
                <w:b/>
                <w:bCs/>
                <w:color w:val="0059D1"/>
                <w:sz w:val="16"/>
                <w:szCs w:val="16"/>
              </w:rPr>
              <w:t>[INSERT: notification chain — e.g., Register Owner notifies HSESC Manager]</w:t>
            </w:r>
          </w:p>
        </w:tc>
      </w:tr>
      <w:tr>
        <w:tc>
          <w:tcPr>
            <w:tcW w:type="dxa" w:w="1805"/>
          </w:tcPr>
          <w:p>
            <w:pPr>
              <w:pStyle w:val="TableContents"/>
              <w:spacing w:before="0" w:after="0" w:line="240" w:lineRule="atLeast"/>
            </w:pPr>
            <w:r>
              <w:rPr>
                <w:rFonts w:ascii="Arial" w:hAnsi="Arial" w:cs="Arial" w:eastAsia="Arial"/>
                <w:sz w:val="16"/>
                <w:szCs w:val="16"/>
              </w:rPr>
              <w:t>Level 2 - Reportable Breach</w:t>
            </w:r>
          </w:p>
        </w:tc>
        <w:tc>
          <w:tcPr>
            <w:tcW w:type="dxa" w:w="1805"/>
          </w:tcPr>
          <w:p>
            <w:pPr>
              <w:pStyle w:val="TableContents"/>
              <w:spacing w:before="0" w:after="0" w:line="240" w:lineRule="atLeast"/>
            </w:pPr>
            <w:r>
              <w:rPr>
                <w:rFonts w:ascii="Arial" w:hAnsi="Arial" w:cs="Arial" w:eastAsia="Arial"/>
                <w:b/>
                <w:bCs/>
                <w:color w:val="0059D1"/>
                <w:sz w:val="16"/>
                <w:szCs w:val="16"/>
              </w:rPr>
              <w:t>[INSERT: project definition]</w:t>
            </w:r>
          </w:p>
        </w:tc>
        <w:tc>
          <w:tcPr>
            <w:tcW w:type="dxa" w:w="1805"/>
          </w:tcPr>
          <w:p>
            <w:pPr>
              <w:pStyle w:val="TableContents"/>
              <w:spacing w:before="0" w:after="0" w:line="240" w:lineRule="atLeast"/>
            </w:pPr>
            <w:r>
              <w:rPr>
                <w:rFonts w:ascii="Arial" w:hAnsi="Arial" w:cs="Arial" w:eastAsia="Arial"/>
                <w:sz w:val="16"/>
                <w:szCs w:val="16"/>
              </w:rPr>
              <w:t>Exceedance of a permit limit; breach of an approval condition; non-compliance with a statutory notification requirement.</w:t>
            </w:r>
          </w:p>
        </w:tc>
        <w:tc>
          <w:tcPr>
            <w:tcW w:type="dxa" w:w="1805"/>
          </w:tcPr>
          <w:p>
            <w:pPr>
              <w:pStyle w:val="TableContents"/>
              <w:spacing w:before="0" w:after="0" w:line="240" w:lineRule="atLeast"/>
            </w:pPr>
            <w:r>
              <w:rPr>
                <w:rFonts w:ascii="Arial" w:hAnsi="Arial" w:cs="Arial" w:eastAsia="Arial"/>
                <w:sz w:val="16"/>
                <w:szCs w:val="16"/>
              </w:rPr>
              <w:t>Notification within 24 hours; corrective action plan within 72 hours</w:t>
            </w:r>
          </w:p>
        </w:tc>
        <w:tc>
          <w:tcPr>
            <w:tcW w:type="dxa" w:w="1806"/>
          </w:tcPr>
          <w:p>
            <w:pPr>
              <w:pStyle w:val="TableContents"/>
              <w:spacing w:before="0" w:after="0" w:line="240" w:lineRule="atLeast"/>
            </w:pPr>
            <w:r>
              <w:rPr>
                <w:rFonts w:ascii="Arial" w:hAnsi="Arial" w:cs="Arial" w:eastAsia="Arial"/>
                <w:b/>
                <w:bCs/>
                <w:color w:val="0059D1"/>
                <w:sz w:val="16"/>
                <w:szCs w:val="16"/>
              </w:rPr>
              <w:t>[INSERT: notification chain — e.g., HSESC Manager notifies Project Director and Corporate HSESC]</w:t>
            </w:r>
          </w:p>
        </w:tc>
      </w:tr>
      <w:tr>
        <w:tc>
          <w:tcPr>
            <w:tcW w:type="dxa" w:w="1805"/>
          </w:tcPr>
          <w:p>
            <w:pPr>
              <w:pStyle w:val="TableContents"/>
              <w:spacing w:before="0" w:after="0" w:line="240" w:lineRule="atLeast"/>
            </w:pPr>
            <w:r>
              <w:rPr>
                <w:rFonts w:ascii="Arial" w:hAnsi="Arial" w:cs="Arial" w:eastAsia="Arial"/>
                <w:sz w:val="16"/>
                <w:szCs w:val="16"/>
              </w:rPr>
              <w:t>Level 3 - Enforcement Action</w:t>
            </w:r>
          </w:p>
        </w:tc>
        <w:tc>
          <w:tcPr>
            <w:tcW w:type="dxa" w:w="1805"/>
          </w:tcPr>
          <w:p>
            <w:pPr>
              <w:pStyle w:val="TableContents"/>
              <w:spacing w:before="0" w:after="0" w:line="240" w:lineRule="atLeast"/>
            </w:pPr>
            <w:r>
              <w:rPr>
                <w:rFonts w:ascii="Arial" w:hAnsi="Arial" w:cs="Arial" w:eastAsia="Arial"/>
                <w:b/>
                <w:bCs/>
                <w:color w:val="0059D1"/>
                <w:sz w:val="16"/>
                <w:szCs w:val="16"/>
              </w:rPr>
              <w:t>[INSERT: project definition]</w:t>
            </w:r>
          </w:p>
        </w:tc>
        <w:tc>
          <w:tcPr>
            <w:tcW w:type="dxa" w:w="1805"/>
          </w:tcPr>
          <w:p>
            <w:pPr>
              <w:pStyle w:val="TableContents"/>
              <w:spacing w:before="0" w:after="0" w:line="240" w:lineRule="atLeast"/>
            </w:pPr>
            <w:r>
              <w:rPr>
                <w:rFonts w:ascii="Arial" w:hAnsi="Arial" w:cs="Arial" w:eastAsia="Arial"/>
                <w:sz w:val="16"/>
                <w:szCs w:val="16"/>
              </w:rPr>
              <w:t>Regulator-issued notice, infringement, improvement notice, prohibition notice, or prosecution.</w:t>
            </w:r>
          </w:p>
        </w:tc>
        <w:tc>
          <w:tcPr>
            <w:tcW w:type="dxa" w:w="1805"/>
          </w:tcPr>
          <w:p>
            <w:pPr>
              <w:pStyle w:val="TableContents"/>
              <w:spacing w:before="0" w:after="0" w:line="240" w:lineRule="atLeast"/>
            </w:pPr>
            <w:r>
              <w:rPr>
                <w:rFonts w:ascii="Arial" w:hAnsi="Arial" w:cs="Arial" w:eastAsia="Arial"/>
                <w:sz w:val="16"/>
                <w:szCs w:val="16"/>
              </w:rPr>
              <w:t>Immediate notification; response per regulatory direction</w:t>
            </w:r>
          </w:p>
        </w:tc>
        <w:tc>
          <w:tcPr>
            <w:tcW w:type="dxa" w:w="1806"/>
          </w:tcPr>
          <w:p>
            <w:pPr>
              <w:pStyle w:val="TableContents"/>
              <w:spacing w:before="0" w:after="0" w:line="240" w:lineRule="atLeast"/>
            </w:pPr>
            <w:r>
              <w:rPr>
                <w:rFonts w:ascii="Arial" w:hAnsi="Arial" w:cs="Arial" w:eastAsia="Arial"/>
                <w:b/>
                <w:bCs/>
                <w:color w:val="0059D1"/>
                <w:sz w:val="16"/>
                <w:szCs w:val="16"/>
              </w:rPr>
              <w:t>[INSERT: notification chain — e.g., Project Director notifies Rio Tinto Legal and Executive Sponsor immediately]</w:t>
            </w:r>
          </w:p>
        </w:tc>
      </w:tr>
    </w:tbl>
    <w:p>
      <w:pPr>
        <w:pStyle w:val="NormalNumberedtext"/>
      </w:pPr>
    </w:p>
    <w:p>
      <w:pPr>
        <w:pStyle w:val="NormalNumberedtext"/>
      </w:pPr>
      <w:r>
        <w:rPr>
          <w:rFonts w:ascii="Arial" w:hAnsi="Arial" w:cs="Arial" w:eastAsia="Arial"/>
        </w:rPr>
        <w:t>All non-compliance events are reported as incidents per project requirements and managed through the corrective action process defined in Section 4 of this procedure. For regulatory enforcement incidents, refer [INSERT: Project Document Number].</w:t>
      </w:r>
    </w:p>
    <w:p>
      <w:pPr>
        <w:pStyle w:val="Heading1Numbered"/>
      </w:pPr>
      <w:r>
        <w:rPr>
          <w:rFonts w:ascii="Arial" w:hAnsi="Arial" w:cs="Arial" w:eastAsia="Arial"/>
        </w:rPr>
        <w:t>5  Communication and Contractor Obligations</w:t>
      </w:r>
    </w:p>
    <w:p>
      <w:pPr>
        <w:pStyle w:val="NormalNumberedtext"/>
      </w:pPr>
      <w:r>
        <w:rPr>
          <w:rFonts w:ascii="Arial" w:hAnsi="Arial" w:cs="Arial" w:eastAsia="Arial"/>
        </w:rPr>
        <w:t>This section defines how legal and regulatory requirements are communicated to project personnel and contractor organisations and how contractor compliance is monitored.</w:t>
      </w:r>
    </w:p>
    <w:p>
      <w:pPr>
        <w:pStyle w:val="Heading2Numbered"/>
      </w:pPr>
      <w:r>
        <w:rPr>
          <w:rFonts w:ascii="Arial" w:hAnsi="Arial" w:cs="Arial" w:eastAsia="Arial"/>
        </w:rPr>
        <w:t>5.1  Communication of Legal Requirements</w:t>
      </w:r>
    </w:p>
    <w:p>
      <w:pPr>
        <w:pStyle w:val="NormalNumberedtext"/>
      </w:pPr>
      <w:r>
        <w:rPr>
          <w:rFonts w:ascii="Arial" w:hAnsi="Arial" w:cs="Arial" w:eastAsia="Arial"/>
        </w:rPr>
        <w:t>This section defines the process for communicating newly identified or changed legal requirements to all affected personnel and contractor organisations.</w:t>
      </w:r>
    </w:p>
    <w:p>
      <w:pPr>
        <w:pStyle w:val="NormalNumberedtext"/>
      </w:pPr>
      <w:r>
        <w:rPr>
          <w:rFonts w:ascii="Arial" w:hAnsi="Arial" w:cs="Arial" w:eastAsia="Arial"/>
        </w:rPr>
        <w:t>Newly identified or changed legal requirements are communicated to all affected project personnel, supervisors, and contractor organisations within the timeframes defined in Table 3. The Register Owner is accountable for initiating communication whenever the register is updated as a result of a regulatory change.</w:t>
      </w:r>
    </w:p>
    <w:p>
      <w:pPr>
        <w:pStyle w:val="NormalNumberedtext"/>
      </w:pPr>
      <w:r>
        <w:rPr>
          <w:rFonts w:ascii="Arial" w:hAnsi="Arial" w:cs="Arial" w:eastAsia="Arial"/>
        </w:rPr>
        <w:t>Communication is delivered through the following channels, confirmed for this project:</w:t>
      </w:r>
    </w:p>
    <w:p>
      <w:pPr>
        <w:pStyle w:val="NormalNumberedtext"/>
      </w:pPr>
      <w:r>
        <w:rPr>
          <w:rFonts w:ascii="Arial" w:hAnsi="Arial" w:cs="Arial" w:eastAsia="Arial"/>
        </w:rPr>
        <w:t>Communication channels for regulatory updates include:</w:t>
      </w:r>
    </w:p>
    <w:p>
      <w:pPr>
        <w:pStyle w:val="NumberedBulletL3"/>
      </w:pPr>
      <w:r>
        <w:rPr>
          <w:rFonts w:ascii="Arial" w:hAnsi="Arial" w:cs="Arial" w:eastAsia="Arial"/>
          <w:color w:val="C55A11"/>
        </w:rPr>
        <w:t>Toolbox talks or pre-start briefings delivered by the relevant supervisor to the work group within 48 hours of a register update affecting site activities.</w:t>
      </w:r>
    </w:p>
    <w:p>
      <w:pPr>
        <w:pStyle w:val="NumberedBulletL3"/>
      </w:pPr>
      <w:r>
        <w:rPr>
          <w:rFonts w:ascii="Arial" w:hAnsi="Arial" w:cs="Arial" w:eastAsia="Arial"/>
          <w:color w:val="C55A11"/>
        </w:rPr>
        <w:t>Written notification issued by the HSESC Manager to all contractor HSE representatives when a change affects contractor scope of work.</w:t>
      </w:r>
    </w:p>
    <w:p>
      <w:pPr>
        <w:pStyle w:val="NumberedBulletL3"/>
      </w:pPr>
      <w:r>
        <w:rPr>
          <w:rFonts w:ascii="Arial" w:hAnsi="Arial" w:cs="Arial" w:eastAsia="Arial"/>
          <w:color w:val="C55A11"/>
        </w:rPr>
        <w:t>Project safety bulletin distributed to all project personnel when a change affects site-wide obligations.</w:t>
      </w:r>
    </w:p>
    <w:p>
      <w:pPr>
        <w:pStyle w:val="NumberedBulletL3"/>
      </w:pPr>
      <w:r>
        <w:rPr>
          <w:b/>
          <w:bCs/>
          <w:color w:val="0059D1"/>
        </w:rPr>
        <w:t>[INSERT: project_communication_channel]</w:t>
      </w:r>
    </w:p>
    <w:p>
      <w:pPr>
        <w:pStyle w:val="NormalNumberedtext"/>
      </w:pPr>
      <w:r>
        <w:rPr>
          <w:rFonts w:ascii="Arial" w:hAnsi="Arial" w:cs="Arial" w:eastAsia="Arial"/>
        </w:rPr>
        <w:t>All workers have access to information about the legal and regulatory requirements applicable to their work, including their rights under applicable health and safety law. This information is provided at project induction and is available through the project HSESC management system for the duration of the project.</w:t>
      </w:r>
    </w:p>
    <w:p>
      <w:pPr>
        <w:pStyle w:val="Heading2Numbered"/>
      </w:pPr>
      <w:r>
        <w:rPr>
          <w:rFonts w:ascii="Arial" w:hAnsi="Arial" w:cs="Arial" w:eastAsia="Arial"/>
        </w:rPr>
        <w:t>5.2  Contractor Obligations</w:t>
      </w:r>
    </w:p>
    <w:p>
      <w:pPr>
        <w:pStyle w:val="NormalNumberedtext"/>
      </w:pPr>
      <w:r>
        <w:rPr>
          <w:rFonts w:ascii="Arial" w:hAnsi="Arial" w:cs="Arial" w:eastAsia="Arial"/>
        </w:rPr>
        <w:t>This section defines how contractor compliance with legal requirements is established through contract and monitored through the project ESMS.</w:t>
      </w:r>
    </w:p>
    <w:p>
      <w:pPr>
        <w:pStyle w:val="NormalNumberedtext"/>
      </w:pPr>
      <w:r>
        <w:rPr>
          <w:rFonts w:ascii="Arial" w:hAnsi="Arial" w:cs="Arial" w:eastAsia="Arial"/>
        </w:rPr>
        <w:t>Relevant legal requirements are communicated to contractors through contractual clauses that form part of each contractor's engagement. These clauses identify the applicable legal obligations, confirm the contractor's responsibility to comply, and require the contractor to notify the project of any non-compliance within the timeframes defined in Table 4.</w:t>
      </w:r>
    </w:p>
    <w:p>
      <w:pPr>
        <w:pStyle w:val="NormalNumberedtext"/>
      </w:pPr>
      <w:r>
        <w:rPr>
          <w:rFonts w:ascii="Arial" w:hAnsi="Arial" w:cs="Arial" w:eastAsia="Arial"/>
        </w:rPr>
        <w:t>Contractor compliance with legal obligations is monitored through the project ESMS using the following mechanisms:</w:t>
      </w:r>
    </w:p>
    <w:p>
      <w:pPr>
        <w:pStyle w:val="NormalNumberedtext"/>
      </w:pPr>
      <w:r>
        <w:rPr>
          <w:rFonts w:ascii="Arial" w:hAnsi="Arial" w:cs="Arial" w:eastAsia="Arial"/>
        </w:rPr>
        <w:t>Contractor compliance monitoring mechanisms include:</w:t>
      </w:r>
    </w:p>
    <w:p>
      <w:pPr>
        <w:pStyle w:val="NumberedBulletL3"/>
      </w:pPr>
      <w:r>
        <w:rPr>
          <w:rFonts w:ascii="Arial" w:hAnsi="Arial" w:cs="Arial" w:eastAsia="Arial"/>
          <w:color w:val="C55A11"/>
        </w:rPr>
        <w:t>Review of contractor compliance status as a standing agenda item at monthly contractor HSE meetings.</w:t>
      </w:r>
    </w:p>
    <w:p>
      <w:pPr>
        <w:pStyle w:val="NumberedBulletL3"/>
      </w:pPr>
      <w:r>
        <w:rPr>
          <w:rFonts w:ascii="Arial" w:hAnsi="Arial" w:cs="Arial" w:eastAsia="Arial"/>
          <w:color w:val="C55A11"/>
        </w:rPr>
        <w:t>Inclusion of legal compliance as an audit criterion in scheduled and unannounced contractor HSESC audits.</w:t>
      </w:r>
    </w:p>
    <w:p>
      <w:pPr>
        <w:pStyle w:val="NumberedBulletL3"/>
      </w:pPr>
      <w:r>
        <w:rPr>
          <w:rFonts w:ascii="Arial" w:hAnsi="Arial" w:cs="Arial" w:eastAsia="Arial"/>
          <w:color w:val="C55A11"/>
        </w:rPr>
        <w:t>Contractor obligation to maintain and submit a compliance status report to the Register Owner on a quarterly basis.</w:t>
      </w:r>
    </w:p>
    <w:p>
      <w:pPr>
        <w:pStyle w:val="NumberedBulletL3"/>
      </w:pPr>
      <w:r>
        <w:rPr>
          <w:b/>
          <w:bCs/>
          <w:color w:val="0059D1"/>
        </w:rPr>
        <w:t>[INSERT: project_contractor_monitoring]</w:t>
      </w:r>
    </w:p>
    <w:p>
      <w:pPr>
        <w:pStyle w:val="NormalNumberedtext"/>
      </w:pPr>
      <w:r>
        <w:rPr>
          <w:rFonts w:ascii="Arial" w:hAnsi="Arial" w:cs="Arial" w:eastAsia="Arial"/>
        </w:rPr>
        <w:t>Where a contractor identifies a legal requirement not already captured in the register, the contractor notifies the Register Owner within 48 hours and the Register Owner assesses whether the obligation is to be added. The register is updated before any activity governed by the newly identified requirement commences.</w:t>
      </w:r>
    </w:p>
    <w:p>
      <w:pPr>
        <w:pStyle w:val="Heading1Numbered"/>
      </w:pPr>
      <w:r>
        <w:rPr>
          <w:rFonts w:ascii="Arial" w:hAnsi="Arial" w:cs="Arial" w:eastAsia="Arial"/>
        </w:rPr>
        <w:t>6  Non-Compliance Management</w:t>
      </w:r>
    </w:p>
    <w:p>
      <w:pPr>
        <w:pStyle w:val="NormalNumberedtext"/>
      </w:pPr>
      <w:r>
        <w:rPr>
          <w:rFonts w:ascii="Arial" w:hAnsi="Arial" w:cs="Arial" w:eastAsia="Arial"/>
        </w:rPr>
        <w:t>This section defines the corrective action process triggered by identified non-compliance and the documentation requirements that apply to each non-compliance event.</w:t>
      </w:r>
    </w:p>
    <w:p>
      <w:pPr>
        <w:pStyle w:val="Heading2Numbered"/>
      </w:pPr>
      <w:r>
        <w:rPr>
          <w:rFonts w:ascii="Arial" w:hAnsi="Arial" w:cs="Arial" w:eastAsia="Arial"/>
        </w:rPr>
        <w:t>6.1  Corrective Action Process</w:t>
      </w:r>
    </w:p>
    <w:p>
      <w:pPr>
        <w:pStyle w:val="NormalNumberedtext"/>
      </w:pPr>
      <w:r>
        <w:rPr>
          <w:rFonts w:ascii="Arial" w:hAnsi="Arial" w:cs="Arial" w:eastAsia="Arial"/>
        </w:rPr>
        <w:t>This section defines how identified non-compliances are documented, actioned, and closed out through the project action tracking system.</w:t>
      </w:r>
    </w:p>
    <w:p>
      <w:pPr>
        <w:pStyle w:val="NormalNumberedtext"/>
      </w:pPr>
      <w:r>
        <w:rPr>
          <w:rFonts w:ascii="Arial" w:hAnsi="Arial" w:cs="Arial" w:eastAsia="Arial"/>
        </w:rPr>
        <w:t>Any identified non-compliance with applicable laws, regulations, or permit conditions triggers a corrective action process. The non-compliance is documented in the project action tracking system with a defined closeout date, a named owner, and a reference to the obligation breached in the Legal and Other Requirements Register ([INSERT: Project Document Number]).</w:t>
      </w:r>
    </w:p>
    <w:p>
      <w:pPr>
        <w:pStyle w:val="NormalNumberedtext"/>
      </w:pPr>
      <w:r>
        <w:rPr>
          <w:rFonts w:ascii="Arial" w:hAnsi="Arial" w:cs="Arial" w:eastAsia="Arial"/>
        </w:rPr>
        <w:t>All regulatory non-compliances, government notices, and enforcement actions are reported promptly to the project leadership team and to the relevant corporate function, consistent with the escalation thresholds defined in Table 4. Non-compliance events that meet the definition of an incident or near miss are reported per project requirements, refer [INSERT: Project Document Number].</w:t>
      </w:r>
    </w:p>
    <w:p>
      <w:pPr>
        <w:pStyle w:val="NormalNumberedtext"/>
      </w:pPr>
      <w:r>
        <w:rPr>
          <w:rFonts w:ascii="Arial" w:hAnsi="Arial" w:cs="Arial" w:eastAsia="Arial"/>
        </w:rPr>
        <w:t>The corrective action record includes the following minimum content:</w:t>
      </w:r>
    </w:p>
    <w:p>
      <w:pPr>
        <w:pStyle w:val="NormalNumberedtext"/>
      </w:pPr>
      <w:r>
        <w:rPr>
          <w:rFonts w:ascii="Arial" w:hAnsi="Arial" w:cs="Arial" w:eastAsia="Arial"/>
        </w:rPr>
        <w:t>Each corrective action record documents:</w:t>
      </w:r>
    </w:p>
    <w:p>
      <w:pPr>
        <w:pStyle w:val="NumberedBulletL3"/>
      </w:pPr>
      <w:r>
        <w:rPr>
          <w:rFonts w:ascii="Arial" w:hAnsi="Arial" w:cs="Arial" w:eastAsia="Arial"/>
        </w:rPr>
        <w:t>The obligation breached, with reference to the relevant register entry in [INSERT: Project Document Number].</w:t>
      </w:r>
    </w:p>
    <w:p>
      <w:pPr>
        <w:pStyle w:val="NumberedBulletL3"/>
      </w:pPr>
      <w:r>
        <w:rPr>
          <w:rFonts w:ascii="Arial" w:hAnsi="Arial" w:cs="Arial" w:eastAsia="Arial"/>
        </w:rPr>
        <w:t>The date the non-compliance was identified and the name of the person who identified it.</w:t>
      </w:r>
    </w:p>
    <w:p>
      <w:pPr>
        <w:pStyle w:val="NumberedBulletL3"/>
      </w:pPr>
      <w:r>
        <w:rPr>
          <w:rFonts w:ascii="Arial" w:hAnsi="Arial" w:cs="Arial" w:eastAsia="Arial"/>
        </w:rPr>
        <w:t>The escalation level assigned under Table 4 and the notification actions taken.</w:t>
      </w:r>
    </w:p>
    <w:p>
      <w:pPr>
        <w:pStyle w:val="NumberedBulletL3"/>
      </w:pPr>
      <w:r>
        <w:rPr>
          <w:rFonts w:ascii="Arial" w:hAnsi="Arial" w:cs="Arial" w:eastAsia="Arial"/>
        </w:rPr>
        <w:t>The root cause of the non-compliance.</w:t>
      </w:r>
    </w:p>
    <w:p>
      <w:pPr>
        <w:pStyle w:val="NumberedBulletL3"/>
      </w:pPr>
      <w:r>
        <w:rPr>
          <w:rFonts w:ascii="Arial" w:hAnsi="Arial" w:cs="Arial" w:eastAsia="Arial"/>
        </w:rPr>
        <w:t>The corrective and preventive actions required, with a named owner and a defined closeout date.</w:t>
      </w:r>
    </w:p>
    <w:p>
      <w:pPr>
        <w:pStyle w:val="NumberedBulletL3"/>
      </w:pPr>
      <w:r>
        <w:rPr>
          <w:rFonts w:ascii="Arial" w:hAnsi="Arial" w:cs="Arial" w:eastAsia="Arial"/>
        </w:rPr>
        <w:t>The date the corrective action was verified as closed out and the name of the verifying officer.</w:t>
      </w:r>
    </w:p>
    <w:p>
      <w:pPr>
        <w:pStyle w:val="NormalNumberedtext"/>
      </w:pPr>
      <w:r>
        <w:rPr>
          <w:rFonts w:ascii="Arial" w:hAnsi="Arial" w:cs="Arial" w:eastAsia="Arial"/>
        </w:rPr>
        <w:t>The Register Owner reviews the action tracking system at each quarterly register review to confirm all open corrective actions remain on track and that no overdue actions exist. Where an action is overdue, the Register Owner escalates to the HSESC Manager and project leadership team within 24 hours of the overdue date.</w:t>
      </w:r>
    </w:p>
    <w:p>
      <w:pPr>
        <w:pStyle w:val="NormalNumberedtext"/>
      </w:pPr>
      <w:r>
        <w:rPr>
          <w:rFonts w:ascii="Arial" w:hAnsi="Arial" w:cs="Arial" w:eastAsia="Arial"/>
        </w:rPr>
        <w:t>Table 5: Non-Compliance Reporting and Closeout Requirements</w:t>
      </w: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Escalation Level</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Initial Notification Timeframe</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Corrective Action Plan Due</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Closeout Verification By</w:t>
            </w:r>
          </w:p>
        </w:tc>
        <w:tc>
          <w:tcPr>
            <w:shd w:val="clear" w:color="auto" w:fill="1F3864"/>
            <w:tcW w:type="dxa" w:w="1806"/>
          </w:tcPr>
          <w:p>
            <w:pPr>
              <w:pStyle w:val="TableContents"/>
              <w:spacing w:before="0" w:after="0" w:line="240" w:lineRule="atLeast"/>
            </w:pPr>
            <w:r>
              <w:rPr>
                <w:rFonts w:ascii="Arial" w:hAnsi="Arial" w:cs="Arial" w:eastAsia="Arial"/>
                <w:b/>
                <w:bCs/>
                <w:color w:val="FFFFFF"/>
                <w:sz w:val="16"/>
                <w:szCs w:val="16"/>
              </w:rPr>
              <w:t>Record Retained In</w:t>
            </w:r>
          </w:p>
        </w:tc>
      </w:tr>
      <w:tr>
        <w:tc>
          <w:tcPr>
            <w:tcW w:type="dxa" w:w="1805"/>
          </w:tcPr>
          <w:p>
            <w:pPr>
              <w:pStyle w:val="TableContents"/>
              <w:spacing w:before="0" w:after="0" w:line="240" w:lineRule="atLeast"/>
            </w:pPr>
            <w:r>
              <w:rPr>
                <w:rFonts w:ascii="Arial" w:hAnsi="Arial" w:cs="Arial" w:eastAsia="Arial"/>
                <w:sz w:val="16"/>
                <w:szCs w:val="16"/>
              </w:rPr>
              <w:t>Level 1 - Minor Administrative Non-Conformance</w:t>
            </w:r>
          </w:p>
        </w:tc>
        <w:tc>
          <w:tcPr>
            <w:tcW w:type="dxa" w:w="1805"/>
          </w:tcPr>
          <w:p>
            <w:pPr>
              <w:pStyle w:val="TableContents"/>
              <w:spacing w:before="0" w:after="0" w:line="240" w:lineRule="atLeast"/>
            </w:pPr>
            <w:r>
              <w:rPr>
                <w:rFonts w:ascii="Arial" w:hAnsi="Arial" w:cs="Arial" w:eastAsia="Arial"/>
                <w:sz w:val="16"/>
                <w:szCs w:val="16"/>
              </w:rPr>
              <w:t>Register Owner notified same business day</w:t>
            </w:r>
          </w:p>
        </w:tc>
        <w:tc>
          <w:tcPr>
            <w:tcW w:type="dxa" w:w="1805"/>
          </w:tcPr>
          <w:p>
            <w:pPr>
              <w:pStyle w:val="TableContents"/>
              <w:spacing w:before="0" w:after="0" w:line="240" w:lineRule="atLeast"/>
            </w:pPr>
            <w:r>
              <w:rPr>
                <w:rFonts w:ascii="Arial" w:hAnsi="Arial" w:cs="Arial" w:eastAsia="Arial"/>
                <w:sz w:val="16"/>
                <w:szCs w:val="16"/>
              </w:rPr>
              <w:t>Within 14 days</w:t>
            </w:r>
          </w:p>
        </w:tc>
        <w:tc>
          <w:tcPr>
            <w:tcW w:type="dxa" w:w="1805"/>
          </w:tcPr>
          <w:p>
            <w:pPr>
              <w:pStyle w:val="TableContents"/>
              <w:spacing w:before="0" w:after="0" w:line="240" w:lineRule="atLeast"/>
            </w:pPr>
            <w:r>
              <w:rPr>
                <w:rFonts w:ascii="Arial" w:hAnsi="Arial" w:cs="Arial" w:eastAsia="Arial"/>
                <w:sz w:val="16"/>
                <w:szCs w:val="16"/>
              </w:rPr>
              <w:t>Register Owner</w:t>
            </w:r>
          </w:p>
        </w:tc>
        <w:tc>
          <w:tcPr>
            <w:tcW w:type="dxa" w:w="1806"/>
          </w:tcPr>
          <w:p>
            <w:pPr>
              <w:pStyle w:val="TableContents"/>
              <w:spacing w:before="0" w:after="0" w:line="240" w:lineRule="atLeast"/>
            </w:pPr>
            <w:r>
              <w:rPr>
                <w:rFonts w:ascii="Arial" w:hAnsi="Arial" w:cs="Arial" w:eastAsia="Arial"/>
                <w:sz w:val="16"/>
                <w:szCs w:val="16"/>
              </w:rPr>
              <w:t>Project action tracking system and [INSERT: Project Document Number]</w:t>
            </w:r>
          </w:p>
        </w:tc>
      </w:tr>
      <w:tr>
        <w:tc>
          <w:tcPr>
            <w:tcW w:type="dxa" w:w="1805"/>
          </w:tcPr>
          <w:p>
            <w:pPr>
              <w:pStyle w:val="TableContents"/>
              <w:spacing w:before="0" w:after="0" w:line="240" w:lineRule="atLeast"/>
            </w:pPr>
            <w:r>
              <w:rPr>
                <w:rFonts w:ascii="Arial" w:hAnsi="Arial" w:cs="Arial" w:eastAsia="Arial"/>
                <w:sz w:val="16"/>
                <w:szCs w:val="16"/>
              </w:rPr>
              <w:t>Level 2 - Reportable Breach</w:t>
            </w:r>
          </w:p>
        </w:tc>
        <w:tc>
          <w:tcPr>
            <w:tcW w:type="dxa" w:w="1805"/>
          </w:tcPr>
          <w:p>
            <w:pPr>
              <w:pStyle w:val="TableContents"/>
              <w:spacing w:before="0" w:after="0" w:line="240" w:lineRule="atLeast"/>
            </w:pPr>
            <w:r>
              <w:rPr>
                <w:rFonts w:ascii="Arial" w:hAnsi="Arial" w:cs="Arial" w:eastAsia="Arial"/>
                <w:sz w:val="16"/>
                <w:szCs w:val="16"/>
              </w:rPr>
              <w:t>HSESC Manager and Project Director notified within 24 hours</w:t>
            </w:r>
          </w:p>
        </w:tc>
        <w:tc>
          <w:tcPr>
            <w:tcW w:type="dxa" w:w="1805"/>
          </w:tcPr>
          <w:p>
            <w:pPr>
              <w:pStyle w:val="TableContents"/>
              <w:spacing w:before="0" w:after="0" w:line="240" w:lineRule="atLeast"/>
            </w:pPr>
            <w:r>
              <w:rPr>
                <w:rFonts w:ascii="Arial" w:hAnsi="Arial" w:cs="Arial" w:eastAsia="Arial"/>
                <w:sz w:val="16"/>
                <w:szCs w:val="16"/>
              </w:rPr>
              <w:t>Within 72 hours</w:t>
            </w:r>
          </w:p>
        </w:tc>
        <w:tc>
          <w:tcPr>
            <w:tcW w:type="dxa" w:w="1805"/>
          </w:tcPr>
          <w:p>
            <w:pPr>
              <w:pStyle w:val="TableContents"/>
              <w:spacing w:before="0" w:after="0" w:line="240" w:lineRule="atLeast"/>
            </w:pPr>
            <w:r>
              <w:rPr>
                <w:rFonts w:ascii="Arial" w:hAnsi="Arial" w:cs="Arial" w:eastAsia="Arial"/>
                <w:sz w:val="16"/>
                <w:szCs w:val="16"/>
              </w:rPr>
              <w:t>HSESC Manager</w:t>
            </w:r>
          </w:p>
        </w:tc>
        <w:tc>
          <w:tcPr>
            <w:tcW w:type="dxa" w:w="1806"/>
          </w:tcPr>
          <w:p>
            <w:pPr>
              <w:pStyle w:val="TableContents"/>
              <w:spacing w:before="0" w:after="0" w:line="240" w:lineRule="atLeast"/>
            </w:pPr>
            <w:r>
              <w:rPr>
                <w:rFonts w:ascii="Arial" w:hAnsi="Arial" w:cs="Arial" w:eastAsia="Arial"/>
                <w:sz w:val="16"/>
                <w:szCs w:val="16"/>
              </w:rPr>
              <w:t>Project action tracking system, [INSERT: Project Document Number], and Corporate HSESC reporting system</w:t>
            </w:r>
          </w:p>
        </w:tc>
      </w:tr>
      <w:tr>
        <w:tc>
          <w:tcPr>
            <w:tcW w:type="dxa" w:w="1805"/>
          </w:tcPr>
          <w:p>
            <w:pPr>
              <w:pStyle w:val="TableContents"/>
              <w:spacing w:before="0" w:after="0" w:line="240" w:lineRule="atLeast"/>
            </w:pPr>
            <w:r>
              <w:rPr>
                <w:rFonts w:ascii="Arial" w:hAnsi="Arial" w:cs="Arial" w:eastAsia="Arial"/>
                <w:sz w:val="16"/>
                <w:szCs w:val="16"/>
              </w:rPr>
              <w:t>Level 3 - Enforcement Action</w:t>
            </w:r>
          </w:p>
        </w:tc>
        <w:tc>
          <w:tcPr>
            <w:tcW w:type="dxa" w:w="1805"/>
          </w:tcPr>
          <w:p>
            <w:pPr>
              <w:pStyle w:val="TableContents"/>
              <w:spacing w:before="0" w:after="0" w:line="240" w:lineRule="atLeast"/>
            </w:pPr>
            <w:r>
              <w:rPr>
                <w:rFonts w:ascii="Arial" w:hAnsi="Arial" w:cs="Arial" w:eastAsia="Arial"/>
                <w:sz w:val="16"/>
                <w:szCs w:val="16"/>
              </w:rPr>
              <w:t>Project Director and Rio Tinto Legal notified immediately</w:t>
            </w:r>
          </w:p>
        </w:tc>
        <w:tc>
          <w:tcPr>
            <w:tcW w:type="dxa" w:w="1805"/>
          </w:tcPr>
          <w:p>
            <w:pPr>
              <w:pStyle w:val="TableContents"/>
              <w:spacing w:before="0" w:after="0" w:line="240" w:lineRule="atLeast"/>
            </w:pPr>
            <w:r>
              <w:rPr>
                <w:rFonts w:ascii="Arial" w:hAnsi="Arial" w:cs="Arial" w:eastAsia="Arial"/>
                <w:sz w:val="16"/>
                <w:szCs w:val="16"/>
              </w:rPr>
              <w:t>Per regulatory direction</w:t>
            </w:r>
          </w:p>
        </w:tc>
        <w:tc>
          <w:tcPr>
            <w:tcW w:type="dxa" w:w="1805"/>
          </w:tcPr>
          <w:p>
            <w:pPr>
              <w:pStyle w:val="TableContents"/>
              <w:spacing w:before="0" w:after="0" w:line="240" w:lineRule="atLeast"/>
            </w:pPr>
            <w:r>
              <w:rPr>
                <w:rFonts w:ascii="Arial" w:hAnsi="Arial" w:cs="Arial" w:eastAsia="Arial"/>
                <w:sz w:val="16"/>
                <w:szCs w:val="16"/>
              </w:rPr>
              <w:t>Project Director and HSESC Manager</w:t>
            </w:r>
          </w:p>
        </w:tc>
        <w:tc>
          <w:tcPr>
            <w:tcW w:type="dxa" w:w="1806"/>
          </w:tcPr>
          <w:p>
            <w:pPr>
              <w:pStyle w:val="TableContents"/>
              <w:spacing w:before="0" w:after="0" w:line="240" w:lineRule="atLeast"/>
            </w:pPr>
            <w:r>
              <w:rPr>
                <w:rFonts w:ascii="Arial" w:hAnsi="Arial" w:cs="Arial" w:eastAsia="Arial"/>
                <w:sz w:val="16"/>
                <w:szCs w:val="16"/>
              </w:rPr>
              <w:t>Project action tracking system, [INSERT: Project Document Number], Corporate HSESC reporting system, and Legal register</w:t>
            </w:r>
          </w:p>
        </w:tc>
      </w:tr>
    </w:tbl>
    <w:p>
      <w:pPr>
        <w:pStyle w:val="NormalNumberedtext"/>
      </w:pPr>
    </w:p>
    <w:p>
      <w:pPr>
        <w:pStyle w:val="Heading1Numbered"/>
      </w:pPr>
      <w:r>
        <w:rPr>
          <w:rFonts w:ascii="Arial" w:hAnsi="Arial" w:cs="Arial" w:eastAsia="Arial"/>
        </w:rPr>
        <w:t>7  Definitions and Acronyms</w:t>
      </w:r>
    </w:p>
    <w:p>
      <w:pPr>
        <w:pStyle w:val="NormalNumberedtext"/>
      </w:pPr>
      <w:r>
        <w:rPr>
          <w:rFonts w:ascii="Arial" w:hAnsi="Arial" w:cs="Arial" w:eastAsia="Arial"/>
        </w:rPr>
        <w:t>The following terms are used throughout this procedure. Where a term is also used in other project HSESC procedures, the definition below applies consistently across the system.</w:t>
      </w: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4888"/>
          </w:tcPr>
          <w:p>
            <w:pPr>
              <w:pStyle w:val="TableContents"/>
              <w:spacing w:before="0" w:after="0" w:line="240" w:lineRule="atLeast"/>
            </w:pPr>
            <w:r>
              <w:rPr>
                <w:rFonts w:ascii="Arial" w:hAnsi="Arial" w:cs="Arial" w:eastAsia="Arial"/>
                <w:b/>
                <w:bCs/>
                <w:color w:val="FFFFFF"/>
                <w:sz w:val="16"/>
                <w:szCs w:val="16"/>
              </w:rPr>
              <w:t>Term</w:t>
            </w:r>
          </w:p>
        </w:tc>
        <w:tc>
          <w:tcPr>
            <w:shd w:val="clear" w:color="auto" w:fill="1F3864"/>
            <w:tcW w:type="dxa" w:w="4889"/>
          </w:tcPr>
          <w:p>
            <w:pPr>
              <w:pStyle w:val="TableContents"/>
              <w:spacing w:before="0" w:after="0" w:line="240" w:lineRule="atLeast"/>
            </w:pPr>
            <w:r>
              <w:rPr>
                <w:rFonts w:ascii="Arial" w:hAnsi="Arial" w:cs="Arial" w:eastAsia="Arial"/>
                <w:b/>
                <w:bCs/>
                <w:color w:val="FFFFFF"/>
                <w:sz w:val="16"/>
                <w:szCs w:val="16"/>
              </w:rPr>
              <w:t>Definition</w:t>
            </w:r>
          </w:p>
        </w:tc>
      </w:tr>
      <w:tr>
        <w:tc>
          <w:tcPr>
            <w:tcW w:type="dxa" w:w="4888"/>
          </w:tcPr>
          <w:p>
            <w:pPr>
              <w:pStyle w:val="TableContents"/>
              <w:spacing w:before="0" w:after="0" w:line="240" w:lineRule="atLeast"/>
            </w:pPr>
            <w:r>
              <w:rPr>
                <w:rFonts w:ascii="Arial" w:hAnsi="Arial" w:cs="Arial" w:eastAsia="Arial"/>
                <w:sz w:val="16"/>
                <w:szCs w:val="16"/>
              </w:rPr>
              <w:t>HSESC</w:t>
            </w:r>
          </w:p>
        </w:tc>
        <w:tc>
          <w:tcPr>
            <w:tcW w:type="dxa" w:w="4889"/>
          </w:tcPr>
          <w:p>
            <w:pPr>
              <w:pStyle w:val="TableContents"/>
              <w:spacing w:before="0" w:after="0" w:line="240" w:lineRule="atLeast"/>
            </w:pPr>
            <w:r>
              <w:rPr>
                <w:rFonts w:ascii="Arial" w:hAnsi="Arial" w:cs="Arial" w:eastAsia="Arial"/>
                <w:sz w:val="16"/>
                <w:szCs w:val="16"/>
              </w:rPr>
              <w:t>Health, Safety, Environment, Security and Community - the integrated management framework governing all related obligations and controls on Rio Tinto owner-led projects.</w:t>
            </w:r>
          </w:p>
        </w:tc>
      </w:tr>
      <w:tr>
        <w:tc>
          <w:tcPr>
            <w:tcW w:type="dxa" w:w="4888"/>
          </w:tcPr>
          <w:p>
            <w:pPr>
              <w:pStyle w:val="TableContents"/>
              <w:spacing w:before="0" w:after="0" w:line="240" w:lineRule="atLeast"/>
            </w:pPr>
            <w:r>
              <w:rPr>
                <w:rFonts w:ascii="Arial" w:hAnsi="Arial" w:cs="Arial" w:eastAsia="Arial"/>
                <w:sz w:val="16"/>
                <w:szCs w:val="16"/>
              </w:rPr>
              <w:t>HSE</w:t>
            </w:r>
          </w:p>
        </w:tc>
        <w:tc>
          <w:tcPr>
            <w:tcW w:type="dxa" w:w="4889"/>
          </w:tcPr>
          <w:p>
            <w:pPr>
              <w:pStyle w:val="TableContents"/>
              <w:spacing w:before="0" w:after="0" w:line="240" w:lineRule="atLeast"/>
            </w:pPr>
            <w:r>
              <w:rPr>
                <w:rFonts w:ascii="Arial" w:hAnsi="Arial" w:cs="Arial" w:eastAsia="Arial"/>
                <w:sz w:val="16"/>
                <w:szCs w:val="16"/>
              </w:rPr>
              <w:t>Health, Safety and Environment - the discipline encompassing occupational health, safety management and environmental protection obligations.</w:t>
            </w:r>
          </w:p>
        </w:tc>
      </w:tr>
      <w:tr>
        <w:tc>
          <w:tcPr>
            <w:tcW w:type="dxa" w:w="4888"/>
          </w:tcPr>
          <w:p>
            <w:pPr>
              <w:pStyle w:val="TableContents"/>
              <w:spacing w:before="0" w:after="0" w:line="240" w:lineRule="atLeast"/>
            </w:pPr>
            <w:r>
              <w:rPr>
                <w:rFonts w:ascii="Arial" w:hAnsi="Arial" w:cs="Arial" w:eastAsia="Arial"/>
                <w:sz w:val="16"/>
                <w:szCs w:val="16"/>
              </w:rPr>
              <w:t>PRO</w:t>
            </w:r>
          </w:p>
        </w:tc>
        <w:tc>
          <w:tcPr>
            <w:tcW w:type="dxa" w:w="4889"/>
          </w:tcPr>
          <w:p>
            <w:pPr>
              <w:pStyle w:val="TableContents"/>
              <w:spacing w:before="0" w:after="0" w:line="240" w:lineRule="atLeast"/>
            </w:pPr>
            <w:r>
              <w:rPr>
                <w:rFonts w:ascii="Arial" w:hAnsi="Arial" w:cs="Arial" w:eastAsia="Arial"/>
                <w:sz w:val="16"/>
                <w:szCs w:val="16"/>
              </w:rPr>
              <w:t>Procedure - a controlled document that prescribes the mandatory steps, responsibilities and records required to fulfil a specific management system requirement.</w:t>
            </w:r>
          </w:p>
        </w:tc>
      </w:tr>
      <w:tr>
        <w:tc>
          <w:tcPr>
            <w:tcW w:type="dxa" w:w="4888"/>
          </w:tcPr>
          <w:p>
            <w:pPr>
              <w:pStyle w:val="TableContents"/>
              <w:spacing w:before="0" w:after="0" w:line="240" w:lineRule="atLeast"/>
            </w:pPr>
            <w:r>
              <w:rPr>
                <w:rFonts w:ascii="Arial" w:hAnsi="Arial" w:cs="Arial" w:eastAsia="Arial"/>
                <w:sz w:val="16"/>
                <w:szCs w:val="16"/>
              </w:rPr>
              <w:t>RT</w:t>
            </w:r>
          </w:p>
        </w:tc>
        <w:tc>
          <w:tcPr>
            <w:tcW w:type="dxa" w:w="4889"/>
          </w:tcPr>
          <w:p>
            <w:pPr>
              <w:pStyle w:val="TableContents"/>
              <w:spacing w:before="0" w:after="0" w:line="240" w:lineRule="atLeast"/>
            </w:pPr>
            <w:r>
              <w:rPr>
                <w:rFonts w:ascii="Arial" w:hAnsi="Arial" w:cs="Arial" w:eastAsia="Arial"/>
                <w:sz w:val="16"/>
                <w:szCs w:val="16"/>
              </w:rPr>
              <w:t>Rio Tinto - the parent company whose standards, frameworks and requirements flow down to all owner-led project operations.</w:t>
            </w:r>
          </w:p>
        </w:tc>
      </w:tr>
      <w:tr>
        <w:tc>
          <w:tcPr>
            <w:tcW w:type="dxa" w:w="4888"/>
          </w:tcPr>
          <w:p>
            <w:pPr>
              <w:pStyle w:val="TableContents"/>
              <w:spacing w:before="0" w:after="0" w:line="240" w:lineRule="atLeast"/>
            </w:pPr>
            <w:r>
              <w:rPr>
                <w:rFonts w:ascii="Arial" w:hAnsi="Arial" w:cs="Arial" w:eastAsia="Arial"/>
                <w:sz w:val="16"/>
                <w:szCs w:val="16"/>
              </w:rPr>
              <w:t>RTPR</w:t>
            </w:r>
          </w:p>
        </w:tc>
        <w:tc>
          <w:tcPr>
            <w:tcW w:type="dxa" w:w="4889"/>
          </w:tcPr>
          <w:p>
            <w:pPr>
              <w:pStyle w:val="TableContents"/>
              <w:spacing w:before="0" w:after="0" w:line="240" w:lineRule="atLeast"/>
            </w:pPr>
            <w:r>
              <w:rPr>
                <w:rFonts w:ascii="Arial" w:hAnsi="Arial" w:cs="Arial" w:eastAsia="Arial"/>
                <w:sz w:val="16"/>
                <w:szCs w:val="16"/>
              </w:rPr>
              <w:t>Rio Tinto Project Requirements - the controlled document series issued under the project management system for owner-led capital projects.</w:t>
            </w:r>
          </w:p>
        </w:tc>
      </w:tr>
      <w:tr>
        <w:tc>
          <w:tcPr>
            <w:tcW w:type="dxa" w:w="4888"/>
          </w:tcPr>
          <w:p>
            <w:pPr>
              <w:pStyle w:val="TableContents"/>
              <w:spacing w:before="0" w:after="0" w:line="240" w:lineRule="atLeast"/>
            </w:pPr>
            <w:r>
              <w:rPr>
                <w:rFonts w:ascii="Arial" w:hAnsi="Arial" w:cs="Arial" w:eastAsia="Arial"/>
                <w:sz w:val="16"/>
                <w:szCs w:val="16"/>
              </w:rPr>
              <w:t>LOR</w:t>
            </w:r>
          </w:p>
        </w:tc>
        <w:tc>
          <w:tcPr>
            <w:tcW w:type="dxa" w:w="4889"/>
          </w:tcPr>
          <w:p>
            <w:pPr>
              <w:pStyle w:val="TableContents"/>
              <w:spacing w:before="0" w:after="0" w:line="240" w:lineRule="atLeast"/>
            </w:pPr>
            <w:r>
              <w:rPr>
                <w:rFonts w:ascii="Arial" w:hAnsi="Arial" w:cs="Arial" w:eastAsia="Arial"/>
                <w:sz w:val="16"/>
                <w:szCs w:val="16"/>
              </w:rPr>
              <w:t>Legal and Other Requirements - the collective body of legislation, regulations, standards, licences, permits, approvals, agreements and other binding or voluntary obligations applicable to the project.</w:t>
            </w:r>
          </w:p>
        </w:tc>
      </w:tr>
      <w:tr>
        <w:tc>
          <w:tcPr>
            <w:tcW w:type="dxa" w:w="4888"/>
          </w:tcPr>
          <w:p>
            <w:pPr>
              <w:pStyle w:val="TableContents"/>
              <w:spacing w:before="0" w:after="0" w:line="240" w:lineRule="atLeast"/>
            </w:pPr>
            <w:r>
              <w:rPr>
                <w:rFonts w:ascii="Arial" w:hAnsi="Arial" w:cs="Arial" w:eastAsia="Arial"/>
                <w:sz w:val="16"/>
                <w:szCs w:val="16"/>
              </w:rPr>
              <w:t>PCG</w:t>
            </w:r>
          </w:p>
        </w:tc>
        <w:tc>
          <w:tcPr>
            <w:tcW w:type="dxa" w:w="4889"/>
          </w:tcPr>
          <w:p>
            <w:pPr>
              <w:pStyle w:val="TableContents"/>
              <w:spacing w:before="0" w:after="0" w:line="240" w:lineRule="atLeast"/>
            </w:pPr>
            <w:r>
              <w:rPr>
                <w:rFonts w:ascii="Arial" w:hAnsi="Arial" w:cs="Arial" w:eastAsia="Arial"/>
                <w:sz w:val="16"/>
                <w:szCs w:val="16"/>
              </w:rPr>
              <w:t>Project Control Group - the senior governance body responsible for oversight of project delivery, risk and compliance performance.</w:t>
            </w:r>
          </w:p>
        </w:tc>
      </w:tr>
      <w:tr>
        <w:tc>
          <w:tcPr>
            <w:tcW w:type="dxa" w:w="4888"/>
          </w:tcPr>
          <w:p>
            <w:pPr>
              <w:pStyle w:val="TableContents"/>
              <w:spacing w:before="0" w:after="0" w:line="240" w:lineRule="atLeast"/>
            </w:pPr>
            <w:r>
              <w:rPr>
                <w:rFonts w:ascii="Arial" w:hAnsi="Arial" w:cs="Arial" w:eastAsia="Arial"/>
                <w:sz w:val="16"/>
                <w:szCs w:val="16"/>
              </w:rPr>
              <w:t>PMT</w:t>
            </w:r>
          </w:p>
        </w:tc>
        <w:tc>
          <w:tcPr>
            <w:tcW w:type="dxa" w:w="4889"/>
          </w:tcPr>
          <w:p>
            <w:pPr>
              <w:pStyle w:val="TableContents"/>
              <w:spacing w:before="0" w:after="0" w:line="240" w:lineRule="atLeast"/>
            </w:pPr>
            <w:r>
              <w:rPr>
                <w:rFonts w:ascii="Arial" w:hAnsi="Arial" w:cs="Arial" w:eastAsia="Arial"/>
                <w:sz w:val="16"/>
                <w:szCs w:val="16"/>
              </w:rPr>
              <w:t>Project Management Team - the owner-led team responsible for day-to-day management, execution and compliance of the project.</w:t>
            </w:r>
          </w:p>
        </w:tc>
      </w:tr>
      <w:tr>
        <w:tc>
          <w:tcPr>
            <w:tcW w:type="dxa" w:w="4888"/>
          </w:tcPr>
          <w:p>
            <w:pPr>
              <w:pStyle w:val="TableContents"/>
              <w:spacing w:before="0" w:after="0" w:line="240" w:lineRule="atLeast"/>
            </w:pPr>
            <w:r>
              <w:rPr>
                <w:rFonts w:ascii="Arial" w:hAnsi="Arial" w:cs="Arial" w:eastAsia="Arial"/>
                <w:sz w:val="16"/>
                <w:szCs w:val="16"/>
              </w:rPr>
              <w:t>HSESC MS</w:t>
            </w:r>
          </w:p>
        </w:tc>
        <w:tc>
          <w:tcPr>
            <w:tcW w:type="dxa" w:w="4889"/>
          </w:tcPr>
          <w:p>
            <w:pPr>
              <w:pStyle w:val="TableContents"/>
              <w:spacing w:before="0" w:after="0" w:line="240" w:lineRule="atLeast"/>
            </w:pPr>
            <w:r>
              <w:rPr>
                <w:rFonts w:ascii="Arial" w:hAnsi="Arial" w:cs="Arial" w:eastAsia="Arial"/>
                <w:sz w:val="16"/>
                <w:szCs w:val="16"/>
              </w:rPr>
              <w:t>HSESC Management System - the structured set of interrelated procedures, plans, registers and controls used to manage health, safety, environment, security and community obligations throughout the project lifecycle.</w:t>
            </w:r>
          </w:p>
        </w:tc>
      </w:tr>
      <w:tr>
        <w:tc>
          <w:tcPr>
            <w:tcW w:type="dxa" w:w="4888"/>
          </w:tcPr>
          <w:p>
            <w:pPr>
              <w:pStyle w:val="TableContents"/>
              <w:spacing w:before="0" w:after="0" w:line="240" w:lineRule="atLeast"/>
            </w:pPr>
            <w:r>
              <w:rPr>
                <w:rFonts w:ascii="Arial" w:hAnsi="Arial" w:cs="Arial" w:eastAsia="Arial"/>
                <w:sz w:val="16"/>
                <w:szCs w:val="16"/>
              </w:rPr>
              <w:t>CAR</w:t>
            </w:r>
          </w:p>
        </w:tc>
        <w:tc>
          <w:tcPr>
            <w:tcW w:type="dxa" w:w="4889"/>
          </w:tcPr>
          <w:p>
            <w:pPr>
              <w:pStyle w:val="TableContents"/>
              <w:spacing w:before="0" w:after="0" w:line="240" w:lineRule="atLeast"/>
            </w:pPr>
            <w:r>
              <w:rPr>
                <w:rFonts w:ascii="Arial" w:hAnsi="Arial" w:cs="Arial" w:eastAsia="Arial"/>
                <w:sz w:val="16"/>
                <w:szCs w:val="16"/>
              </w:rPr>
              <w:t>Corrective Action Request - a formal documented instruction requiring a responsible party to investigate, remediate and close out a identified non-conformance or non-compliance within a defined timeframe.</w:t>
            </w:r>
          </w:p>
        </w:tc>
      </w:tr>
      <w:tr>
        <w:tc>
          <w:tcPr>
            <w:tcW w:type="dxa" w:w="4888"/>
          </w:tcPr>
          <w:p>
            <w:pPr>
              <w:pStyle w:val="TableContents"/>
              <w:spacing w:before="0" w:after="0" w:line="240" w:lineRule="atLeast"/>
            </w:pPr>
            <w:r>
              <w:rPr>
                <w:rFonts w:ascii="Arial" w:hAnsi="Arial" w:cs="Arial" w:eastAsia="Arial"/>
                <w:sz w:val="16"/>
                <w:szCs w:val="16"/>
              </w:rPr>
              <w:t>NCR</w:t>
            </w:r>
          </w:p>
        </w:tc>
        <w:tc>
          <w:tcPr>
            <w:tcW w:type="dxa" w:w="4889"/>
          </w:tcPr>
          <w:p>
            <w:pPr>
              <w:pStyle w:val="TableContents"/>
              <w:spacing w:before="0" w:after="0" w:line="240" w:lineRule="atLeast"/>
            </w:pPr>
            <w:r>
              <w:rPr>
                <w:rFonts w:ascii="Arial" w:hAnsi="Arial" w:cs="Arial" w:eastAsia="Arial"/>
                <w:sz w:val="16"/>
                <w:szCs w:val="16"/>
              </w:rPr>
              <w:t>Non-Conformance Report - a formal record documenting a deviation from a specified requirement, standard, procedure or legal obligation, requiring investigation and corrective action.</w:t>
            </w:r>
          </w:p>
        </w:tc>
      </w:tr>
      <w:tr>
        <w:tc>
          <w:tcPr>
            <w:tcW w:type="dxa" w:w="4888"/>
          </w:tcPr>
          <w:p>
            <w:pPr>
              <w:pStyle w:val="TableContents"/>
              <w:spacing w:before="0" w:after="0" w:line="240" w:lineRule="atLeast"/>
            </w:pPr>
            <w:r>
              <w:rPr>
                <w:rFonts w:ascii="Arial" w:hAnsi="Arial" w:cs="Arial" w:eastAsia="Arial"/>
                <w:sz w:val="16"/>
                <w:szCs w:val="16"/>
              </w:rPr>
              <w:t>PCBU</w:t>
            </w:r>
          </w:p>
        </w:tc>
        <w:tc>
          <w:tcPr>
            <w:tcW w:type="dxa" w:w="4889"/>
          </w:tcPr>
          <w:p>
            <w:pPr>
              <w:pStyle w:val="TableContents"/>
              <w:spacing w:before="0" w:after="0" w:line="240" w:lineRule="atLeast"/>
            </w:pPr>
            <w:r>
              <w:rPr>
                <w:rFonts w:ascii="Arial" w:hAnsi="Arial" w:cs="Arial" w:eastAsia="Arial"/>
                <w:sz w:val="16"/>
                <w:szCs w:val="16"/>
              </w:rPr>
              <w:t>Person Conducting a Business or Undertaking - a defined duty-holder under work health and safety legislation who has primary obligations to ensure, so far as is reasonably practicable, the health and safety of workers and others.</w:t>
            </w:r>
          </w:p>
        </w:tc>
      </w:tr>
      <w:tr>
        <w:tc>
          <w:tcPr>
            <w:tcW w:type="dxa" w:w="4888"/>
          </w:tcPr>
          <w:p>
            <w:pPr>
              <w:pStyle w:val="TableContents"/>
              <w:spacing w:before="0" w:after="0" w:line="240" w:lineRule="atLeast"/>
            </w:pPr>
            <w:r>
              <w:rPr>
                <w:rFonts w:ascii="Arial" w:hAnsi="Arial" w:cs="Arial" w:eastAsia="Arial"/>
                <w:sz w:val="16"/>
                <w:szCs w:val="16"/>
              </w:rPr>
              <w:t>WHS</w:t>
            </w:r>
          </w:p>
        </w:tc>
        <w:tc>
          <w:tcPr>
            <w:tcW w:type="dxa" w:w="4889"/>
          </w:tcPr>
          <w:p>
            <w:pPr>
              <w:pStyle w:val="TableContents"/>
              <w:spacing w:before="0" w:after="0" w:line="240" w:lineRule="atLeast"/>
            </w:pPr>
            <w:r>
              <w:rPr>
                <w:rFonts w:ascii="Arial" w:hAnsi="Arial" w:cs="Arial" w:eastAsia="Arial"/>
                <w:sz w:val="16"/>
                <w:szCs w:val="16"/>
              </w:rPr>
              <w:t>Work Health and Safety - the legislative and regulatory framework governing the health, safety and welfare of persons at work, including applicable Acts, Regulations and Codes of Practice.</w:t>
            </w:r>
          </w:p>
        </w:tc>
      </w:tr>
      <w:tr>
        <w:tc>
          <w:tcPr>
            <w:tcW w:type="dxa" w:w="4888"/>
          </w:tcPr>
          <w:p>
            <w:pPr>
              <w:pStyle w:val="TableContents"/>
              <w:spacing w:before="0" w:after="0" w:line="240" w:lineRule="atLeast"/>
            </w:pPr>
            <w:r>
              <w:rPr>
                <w:rFonts w:ascii="Arial" w:hAnsi="Arial" w:cs="Arial" w:eastAsia="Arial"/>
                <w:sz w:val="16"/>
                <w:szCs w:val="16"/>
              </w:rPr>
              <w:t>EPL</w:t>
            </w:r>
          </w:p>
        </w:tc>
        <w:tc>
          <w:tcPr>
            <w:tcW w:type="dxa" w:w="4889"/>
          </w:tcPr>
          <w:p>
            <w:pPr>
              <w:pStyle w:val="TableContents"/>
              <w:spacing w:before="0" w:after="0" w:line="240" w:lineRule="atLeast"/>
            </w:pPr>
            <w:r>
              <w:rPr>
                <w:rFonts w:ascii="Arial" w:hAnsi="Arial" w:cs="Arial" w:eastAsia="Arial"/>
                <w:sz w:val="16"/>
                <w:szCs w:val="16"/>
              </w:rPr>
              <w:t>Environment Protection Licence - a statutory approval issued by a relevant regulatory authority that specifies conditions, limits and monitoring requirements for activities with potential environmental impact.</w:t>
            </w:r>
          </w:p>
        </w:tc>
      </w:tr>
      <w:tr>
        <w:tc>
          <w:tcPr>
            <w:tcW w:type="dxa" w:w="4888"/>
          </w:tcPr>
          <w:p>
            <w:pPr>
              <w:pStyle w:val="TableContents"/>
              <w:spacing w:before="0" w:after="0" w:line="240" w:lineRule="atLeast"/>
            </w:pPr>
            <w:r>
              <w:rPr>
                <w:rFonts w:ascii="Arial" w:hAnsi="Arial" w:cs="Arial" w:eastAsia="Arial"/>
                <w:sz w:val="16"/>
                <w:szCs w:val="16"/>
              </w:rPr>
              <w:t>DA</w:t>
            </w:r>
          </w:p>
        </w:tc>
        <w:tc>
          <w:tcPr>
            <w:tcW w:type="dxa" w:w="4889"/>
          </w:tcPr>
          <w:p>
            <w:pPr>
              <w:pStyle w:val="TableContents"/>
              <w:spacing w:before="0" w:after="0" w:line="240" w:lineRule="atLeast"/>
            </w:pPr>
            <w:r>
              <w:rPr>
                <w:rFonts w:ascii="Arial" w:hAnsi="Arial" w:cs="Arial" w:eastAsia="Arial"/>
                <w:sz w:val="16"/>
                <w:szCs w:val="16"/>
              </w:rPr>
              <w:t>Development Approval - a regulatory consent issued by a planning or environment authority permitting specific project construction or operational activities subject to defined conditions.</w:t>
            </w:r>
          </w:p>
        </w:tc>
      </w:tr>
      <w:tr>
        <w:tc>
          <w:tcPr>
            <w:tcW w:type="dxa" w:w="4888"/>
          </w:tcPr>
          <w:p>
            <w:pPr>
              <w:pStyle w:val="TableContents"/>
              <w:spacing w:before="0" w:after="0" w:line="240" w:lineRule="atLeast"/>
            </w:pPr>
            <w:r>
              <w:rPr>
                <w:rFonts w:ascii="Arial" w:hAnsi="Arial" w:cs="Arial" w:eastAsia="Arial"/>
                <w:sz w:val="16"/>
                <w:szCs w:val="16"/>
              </w:rPr>
              <w:t>SME</w:t>
            </w:r>
          </w:p>
        </w:tc>
        <w:tc>
          <w:tcPr>
            <w:tcW w:type="dxa" w:w="4889"/>
          </w:tcPr>
          <w:p>
            <w:pPr>
              <w:pStyle w:val="TableContents"/>
              <w:spacing w:before="0" w:after="0" w:line="240" w:lineRule="atLeast"/>
            </w:pPr>
            <w:r>
              <w:rPr>
                <w:rFonts w:ascii="Arial" w:hAnsi="Arial" w:cs="Arial" w:eastAsia="Arial"/>
                <w:sz w:val="16"/>
                <w:szCs w:val="16"/>
              </w:rPr>
              <w:t>Subject Matter Expert - an individual with demonstrated specialist knowledge and competence in a specific technical, legal or functional discipline relevant to the project.</w:t>
            </w:r>
          </w:p>
        </w:tc>
      </w:tr>
      <w:tr>
        <w:tc>
          <w:tcPr>
            <w:tcW w:type="dxa" w:w="4888"/>
          </w:tcPr>
          <w:p>
            <w:pPr>
              <w:pStyle w:val="TableContents"/>
              <w:spacing w:before="0" w:after="0" w:line="240" w:lineRule="atLeast"/>
            </w:pPr>
            <w:r>
              <w:rPr>
                <w:rFonts w:ascii="Arial" w:hAnsi="Arial" w:cs="Arial" w:eastAsia="Arial"/>
                <w:sz w:val="16"/>
                <w:szCs w:val="16"/>
              </w:rPr>
              <w:t>KPI</w:t>
            </w:r>
          </w:p>
        </w:tc>
        <w:tc>
          <w:tcPr>
            <w:tcW w:type="dxa" w:w="4889"/>
          </w:tcPr>
          <w:p>
            <w:pPr>
              <w:pStyle w:val="TableContents"/>
              <w:spacing w:before="0" w:after="0" w:line="240" w:lineRule="atLeast"/>
            </w:pPr>
            <w:r>
              <w:rPr>
                <w:rFonts w:ascii="Arial" w:hAnsi="Arial" w:cs="Arial" w:eastAsia="Arial"/>
                <w:sz w:val="16"/>
                <w:szCs w:val="16"/>
              </w:rPr>
              <w:t>Key Performance Indicator - a measurable value used to evaluate the effectiveness of compliance with legal and other requirements over a defined reporting period.</w:t>
            </w:r>
          </w:p>
        </w:tc>
      </w:tr>
      <w:tr>
        <w:tc>
          <w:tcPr>
            <w:tcW w:type="dxa" w:w="4888"/>
          </w:tcPr>
          <w:p>
            <w:pPr>
              <w:pStyle w:val="TableContents"/>
              <w:spacing w:before="0" w:after="0" w:line="240" w:lineRule="atLeast"/>
            </w:pPr>
            <w:r>
              <w:rPr>
                <w:rFonts w:ascii="Arial" w:hAnsi="Arial" w:cs="Arial" w:eastAsia="Arial"/>
                <w:sz w:val="16"/>
                <w:szCs w:val="16"/>
              </w:rPr>
              <w:t>ISO</w:t>
            </w:r>
          </w:p>
        </w:tc>
        <w:tc>
          <w:tcPr>
            <w:tcW w:type="dxa" w:w="4889"/>
          </w:tcPr>
          <w:p>
            <w:pPr>
              <w:pStyle w:val="TableContents"/>
              <w:spacing w:before="0" w:after="0" w:line="240" w:lineRule="atLeast"/>
            </w:pPr>
            <w:r>
              <w:rPr>
                <w:rFonts w:ascii="Arial" w:hAnsi="Arial" w:cs="Arial" w:eastAsia="Arial"/>
                <w:sz w:val="16"/>
                <w:szCs w:val="16"/>
              </w:rPr>
              <w:t>International Organization for Standardization - the independent international body that develops and publishes voluntary consensus standards, including ISO 14001 and ISO 45001 referenced as framework documents.</w:t>
            </w:r>
          </w:p>
        </w:tc>
      </w:tr>
      <w:tr>
        <w:tc>
          <w:tcPr>
            <w:tcW w:type="dxa" w:w="4888"/>
          </w:tcPr>
          <w:p>
            <w:pPr>
              <w:pStyle w:val="TableContents"/>
              <w:spacing w:before="0" w:after="0" w:line="240" w:lineRule="atLeast"/>
            </w:pPr>
            <w:r>
              <w:rPr>
                <w:rFonts w:ascii="Arial" w:hAnsi="Arial" w:cs="Arial" w:eastAsia="Arial"/>
                <w:sz w:val="16"/>
                <w:szCs w:val="16"/>
              </w:rPr>
              <w:t>ICMM</w:t>
            </w:r>
          </w:p>
        </w:tc>
        <w:tc>
          <w:tcPr>
            <w:tcW w:type="dxa" w:w="4889"/>
          </w:tcPr>
          <w:p>
            <w:pPr>
              <w:pStyle w:val="TableContents"/>
              <w:spacing w:before="0" w:after="0" w:line="240" w:lineRule="atLeast"/>
            </w:pPr>
            <w:r>
              <w:rPr>
                <w:rFonts w:ascii="Arial" w:hAnsi="Arial" w:cs="Arial" w:eastAsia="Arial"/>
                <w:sz w:val="16"/>
                <w:szCs w:val="16"/>
              </w:rPr>
              <w:t>International Council on Mining and Metals - the industry body whose principles and position statements constitute voluntary commitments and 'other requirements' applicable to Rio Tinto operations and projects.</w:t>
            </w:r>
          </w:p>
        </w:tc>
      </w:tr>
      <w:tr>
        <w:tc>
          <w:tcPr>
            <w:tcW w:type="dxa" w:w="4888"/>
          </w:tcPr>
          <w:p>
            <w:pPr>
              <w:pStyle w:val="TableContents"/>
              <w:spacing w:before="0" w:after="0" w:line="240" w:lineRule="atLeast"/>
            </w:pPr>
            <w:r>
              <w:rPr>
                <w:rFonts w:ascii="Arial" w:hAnsi="Arial" w:cs="Arial" w:eastAsia="Arial"/>
                <w:b/>
                <w:bCs/>
                <w:color w:val="0059D1"/>
                <w:sz w:val="16"/>
                <w:szCs w:val="16"/>
              </w:rPr>
              <w:t>[INSERT: add project-specific terms]</w:t>
            </w:r>
          </w:p>
        </w:tc>
        <w:tc>
          <w:tcPr>
            <w:tcW w:type="dxa" w:w="4889"/>
          </w:tcPr>
          <w:p>
            <w:pPr>
              <w:pStyle w:val="TableContents"/>
              <w:spacing w:before="0" w:after="0" w:line="240" w:lineRule="atLeast"/>
            </w:pPr>
            <w:r>
              <w:rPr>
                <w:rFonts w:ascii="Arial" w:hAnsi="Arial" w:cs="Arial" w:eastAsia="Arial"/>
                <w:b/>
                <w:bCs/>
                <w:color w:val="0059D1"/>
                <w:sz w:val="16"/>
                <w:szCs w:val="16"/>
              </w:rPr>
              <w:t>[INSERT: definition]</w:t>
            </w:r>
          </w:p>
        </w:tc>
      </w:tr>
    </w:tbl>
    <w:p>
      <w:pPr>
        <w:pStyle w:val="NormalNumberedtext"/>
      </w:pPr>
    </w:p>
    <w:p>
      <w:pPr>
        <w:pStyle w:val="Heading1Numbered"/>
      </w:pPr>
      <w:r>
        <w:rPr>
          <w:rFonts w:ascii="Arial" w:hAnsi="Arial" w:cs="Arial" w:eastAsia="Arial"/>
        </w:rPr>
        <w:t>8  References and Source Information</w:t>
      </w:r>
    </w:p>
    <w:p>
      <w:pPr>
        <w:pStyle w:val="NormalNumberedtext"/>
      </w:pPr>
      <w:r>
        <w:rPr>
          <w:rFonts w:ascii="Arial" w:hAnsi="Arial" w:cs="Arial" w:eastAsia="Arial"/>
        </w:rPr>
        <w:t>This section lists the internal and external documents this procedure relies on. This section remains in the procedure once published. Where a referenced document is updated, this procedure is reviewed to confirm the reference remains current.</w:t>
      </w:r>
    </w:p>
    <w:tbl>
      <w:tblPr>
        <w:tblStyle w:val="TableOption2"/>
        <w:tblW w:type="pct" w:w="5000"/>
      </w:tblPr>
      <w:tr>
        <w:trPr>
          <w:tblHeader/>
        </w:trPr>
        <w:tc>
          <w:tcPr>
            <w:shd w:val="clear" w:color="auto" w:fill="1F3864"/>
          </w:tcPr>
          <w:p>
            <w:pPr>
              <w:pStyle w:val="TableContents"/>
            </w:pPr>
            <w:r>
              <w:rPr>
                <w:b/>
                <w:bCs/>
                <w:color w:val="FFFFFF"/>
              </w:rPr>
              <w:t>Document</w:t>
            </w:r>
          </w:p>
        </w:tc>
        <w:tc>
          <w:tcPr>
            <w:shd w:val="clear" w:color="auto" w:fill="1F3864"/>
          </w:tcPr>
          <w:p>
            <w:pPr>
              <w:pStyle w:val="TableContents"/>
            </w:pPr>
            <w:r>
              <w:rPr>
                <w:b/>
                <w:bCs/>
                <w:color w:val="FFFFFF"/>
              </w:rPr>
              <w:t>Reference</w:t>
            </w:r>
          </w:p>
        </w:tc>
        <w:tc>
          <w:tcPr>
            <w:shd w:val="clear" w:color="auto" w:fill="1F3864"/>
          </w:tcPr>
          <w:p>
            <w:pPr>
              <w:pStyle w:val="TableContents"/>
            </w:pPr>
            <w:r>
              <w:rPr>
                <w:b/>
                <w:bCs/>
                <w:color w:val="FFFFFF"/>
              </w:rPr>
              <w:t>Type</w:t>
            </w:r>
          </w:p>
        </w:tc>
      </w:tr>
      <w:tr>
        <w:tc>
          <w:tcPr/>
          <w:p>
            <w:pPr>
              <w:pStyle w:val="TableContents"/>
            </w:pPr>
            <w:r>
              <w:t>Document Control Procedure</w:t>
            </w:r>
          </w:p>
        </w:tc>
        <w:tc>
          <w:tcPr/>
          <w:p>
            <w:pPr>
              <w:pStyle w:val="TableContents"/>
            </w:pPr>
            <w:r>
              <w:t>[INSERT: Project Document Number]</w:t>
            </w:r>
          </w:p>
        </w:tc>
        <w:tc>
          <w:tcPr/>
          <w:p>
            <w:pPr>
              <w:pStyle w:val="TableContents"/>
            </w:pPr>
            <w:r>
              <w:t>Internal procedure</w:t>
            </w:r>
          </w:p>
        </w:tc>
      </w:tr>
      <w:tr>
        <w:tc>
          <w:tcPr/>
          <w:p>
            <w:pPr>
              <w:pStyle w:val="TableContents"/>
            </w:pPr>
            <w:r>
              <w:t>Incident Management Procedure</w:t>
            </w:r>
          </w:p>
        </w:tc>
        <w:tc>
          <w:tcPr/>
          <w:p>
            <w:pPr>
              <w:pStyle w:val="TableContents"/>
            </w:pPr>
            <w:r>
              <w:t>[INSERT: Project Document Number]</w:t>
            </w:r>
          </w:p>
        </w:tc>
        <w:tc>
          <w:tcPr/>
          <w:p>
            <w:pPr>
              <w:pStyle w:val="TableContents"/>
            </w:pPr>
            <w:r>
              <w:t>Internal procedure</w:t>
            </w:r>
          </w:p>
        </w:tc>
      </w:tr>
      <w:tr>
        <w:tc>
          <w:tcPr/>
          <w:p>
            <w:pPr>
              <w:pStyle w:val="TableContents"/>
            </w:pPr>
            <w:r>
              <w:t>Records Management Procedure</w:t>
            </w:r>
          </w:p>
        </w:tc>
        <w:tc>
          <w:tcPr/>
          <w:p>
            <w:pPr>
              <w:pStyle w:val="TableContents"/>
            </w:pPr>
            <w:r>
              <w:t>[INSERT: Project Document Number]</w:t>
            </w:r>
          </w:p>
        </w:tc>
        <w:tc>
          <w:tcPr/>
          <w:p>
            <w:pPr>
              <w:pStyle w:val="TableContents"/>
            </w:pPr>
            <w:r>
              <w:t>Internal procedure</w:t>
            </w:r>
          </w:p>
        </w:tc>
      </w:tr>
      <w:tr>
        <w:tc>
          <w:tcPr/>
          <w:p>
            <w:pPr>
              <w:pStyle w:val="TableContents"/>
            </w:pPr>
            <w:r>
              <w:t>Rio Tinto Risk Management Standard</w:t>
            </w:r>
          </w:p>
        </w:tc>
        <w:tc>
          <w:tcPr/>
          <w:p>
            <w:pPr>
              <w:pStyle w:val="TableContents"/>
            </w:pPr>
            <w:r>
              <w:t>RT Risk Management Standard</w:t>
            </w:r>
          </w:p>
        </w:tc>
        <w:tc>
          <w:tcPr/>
          <w:p>
            <w:pPr>
              <w:pStyle w:val="TableContents"/>
            </w:pPr>
            <w:r>
              <w:t>External RT</w:t>
            </w:r>
          </w:p>
        </w:tc>
      </w:tr>
      <w:tr>
        <w:tc>
          <w:tcPr/>
          <w:p>
            <w:pPr>
              <w:pStyle w:val="TableContents"/>
            </w:pPr>
            <w:r>
              <w:t>Rio Tinto Risk Management Standard - Appendix C, Section C-1: Compliance and Legal Obligations</w:t>
            </w:r>
          </w:p>
        </w:tc>
        <w:tc>
          <w:tcPr/>
          <w:p>
            <w:pPr>
              <w:pStyle w:val="TableContents"/>
            </w:pPr>
            <w:r>
              <w:t>RT Risk Management Standard - Appendix C, C-1</w:t>
            </w:r>
          </w:p>
        </w:tc>
        <w:tc>
          <w:tcPr/>
          <w:p>
            <w:pPr>
              <w:pStyle w:val="TableContents"/>
            </w:pPr>
            <w:r>
              <w:t>External RT</w:t>
            </w:r>
          </w:p>
        </w:tc>
      </w:tr>
      <w:tr>
        <w:tc>
          <w:tcPr/>
          <w:p>
            <w:pPr>
              <w:pStyle w:val="TableContents"/>
            </w:pPr>
            <w:r>
              <w:t>Rio Tinto Health, Safety, Environment and Communities (HSEC) Way - Obligations Framework</w:t>
            </w:r>
          </w:p>
        </w:tc>
        <w:tc>
          <w:tcPr/>
          <w:p>
            <w:pPr>
              <w:pStyle w:val="TableContents"/>
            </w:pPr>
            <w:r>
              <w:t>RT HSEC Way</w:t>
            </w:r>
          </w:p>
        </w:tc>
        <w:tc>
          <w:tcPr/>
          <w:p>
            <w:pPr>
              <w:pStyle w:val="TableContents"/>
            </w:pPr>
            <w:r>
              <w:t>External RT</w:t>
            </w:r>
          </w:p>
        </w:tc>
      </w:tr>
      <w:tr>
        <w:tc>
          <w:tcPr/>
          <w:p>
            <w:pPr>
              <w:pStyle w:val="TableContents"/>
            </w:pPr>
            <w:r>
              <w:t>Rio Tinto Legal and Compliance Obligations Management Standard</w:t>
            </w:r>
          </w:p>
        </w:tc>
        <w:tc>
          <w:tcPr/>
          <w:p>
            <w:pPr>
              <w:pStyle w:val="TableContents"/>
            </w:pPr>
            <w:r>
              <w:t>RT Legal Compliance Standard</w:t>
            </w:r>
          </w:p>
        </w:tc>
        <w:tc>
          <w:tcPr/>
          <w:p>
            <w:pPr>
              <w:pStyle w:val="TableContents"/>
            </w:pPr>
            <w:r>
              <w:t>External RT</w:t>
            </w:r>
          </w:p>
        </w:tc>
      </w:tr>
      <w:tr>
        <w:tc>
          <w:tcPr/>
          <w:p>
            <w:pPr>
              <w:pStyle w:val="TableContents"/>
            </w:pPr>
            <w:r>
              <w:t>Environmental Management Systems - Requirements with Guidance for Use</w:t>
            </w:r>
          </w:p>
        </w:tc>
        <w:tc>
          <w:tcPr/>
          <w:p>
            <w:pPr>
              <w:pStyle w:val="TableContents"/>
            </w:pPr>
            <w:r>
              <w:t>ISO 14001:2015</w:t>
            </w:r>
          </w:p>
        </w:tc>
        <w:tc>
          <w:tcPr/>
          <w:p>
            <w:pPr>
              <w:pStyle w:val="TableContents"/>
            </w:pPr>
            <w:r>
              <w:t>External framework</w:t>
            </w:r>
          </w:p>
        </w:tc>
      </w:tr>
      <w:tr>
        <w:tc>
          <w:tcPr/>
          <w:p>
            <w:pPr>
              <w:pStyle w:val="TableContents"/>
            </w:pPr>
            <w:r>
              <w:t>Occupational Health and Safety Management Systems - Requirements with Guidance for Use</w:t>
            </w:r>
          </w:p>
        </w:tc>
        <w:tc>
          <w:tcPr/>
          <w:p>
            <w:pPr>
              <w:pStyle w:val="TableContents"/>
            </w:pPr>
            <w:r>
              <w:t>ISO 45001:2018</w:t>
            </w:r>
          </w:p>
        </w:tc>
        <w:tc>
          <w:tcPr/>
          <w:p>
            <w:pPr>
              <w:pStyle w:val="TableContents"/>
            </w:pPr>
            <w:r>
              <w:t>External framework</w:t>
            </w:r>
          </w:p>
        </w:tc>
      </w:tr>
      <w:tr>
        <w:tc>
          <w:tcPr/>
          <w:p>
            <w:pPr>
              <w:pStyle w:val="TableContents"/>
            </w:pPr>
            <w:r>
              <w:t>ICMM Mining Principles - Principle 6: Uphold Fundamental Human Rights and Respect Cultures, Customs and Values</w:t>
            </w:r>
          </w:p>
        </w:tc>
        <w:tc>
          <w:tcPr/>
          <w:p>
            <w:pPr>
              <w:pStyle w:val="TableContents"/>
            </w:pPr>
            <w:r>
              <w:t>ICMM 10 Mining Principles</w:t>
            </w:r>
          </w:p>
        </w:tc>
        <w:tc>
          <w:tcPr/>
          <w:p>
            <w:pPr>
              <w:pStyle w:val="TableContents"/>
            </w:pPr>
            <w:r>
              <w:t>External framework</w:t>
            </w:r>
          </w:p>
        </w:tc>
      </w:tr>
      <w:tr>
        <w:tc>
          <w:tcPr/>
          <w:p>
            <w:pPr>
              <w:pStyle w:val="TableContents"/>
            </w:pPr>
            <w:r>
              <w:t>Work Health and Safety Act (Model WHS Act)</w:t>
            </w:r>
          </w:p>
        </w:tc>
        <w:tc>
          <w:tcPr/>
          <w:p>
            <w:pPr>
              <w:pStyle w:val="TableContents"/>
            </w:pPr>
            <w:r>
              <w:t>Model WHS Act 2011 (as adopted in applicable jurisdictions)</w:t>
            </w:r>
          </w:p>
        </w:tc>
        <w:tc>
          <w:tcPr/>
          <w:p>
            <w:pPr>
              <w:pStyle w:val="TableContents"/>
            </w:pPr>
            <w:r>
              <w:t>External framework</w:t>
            </w:r>
          </w:p>
        </w:tc>
      </w:tr>
      <w:tr>
        <w:tc>
          <w:tcPr/>
          <w:p>
            <w:pPr>
              <w:pStyle w:val="TableContents"/>
            </w:pPr>
            <w:r>
              <w:t>Work Health and Safety Regulations (Model WHS Regulations)</w:t>
            </w:r>
          </w:p>
        </w:tc>
        <w:tc>
          <w:tcPr/>
          <w:p>
            <w:pPr>
              <w:pStyle w:val="TableContents"/>
            </w:pPr>
            <w:r>
              <w:t>Model WHS Regulations 2017 (as adopted in applicable jurisdictions)</w:t>
            </w:r>
          </w:p>
        </w:tc>
        <w:tc>
          <w:tcPr/>
          <w:p>
            <w:pPr>
              <w:pStyle w:val="TableContents"/>
            </w:pPr>
            <w:r>
              <w:t>External framework</w:t>
            </w:r>
          </w:p>
        </w:tc>
      </w:tr>
      <w:tr>
        <w:tc>
          <w:tcPr/>
          <w:p>
            <w:pPr>
              <w:pStyle w:val="TableContents"/>
            </w:pPr>
            <w:r>
              <w:rPr>
                <w:b/>
                <w:bCs/>
                <w:color w:val="0059D1"/>
              </w:rPr>
              <w:t>[INSERT: further referenced document, where applicable]</w:t>
            </w:r>
          </w:p>
        </w:tc>
        <w:tc>
          <w:tcPr/>
          <w:p>
            <w:pPr>
              <w:pStyle w:val="TableContents"/>
            </w:pPr>
            <w:r>
              <w:rPr>
                <w:b/>
                <w:bCs/>
                <w:color w:val="0059D1"/>
              </w:rPr>
              <w:t>[INSERT: reference]</w:t>
            </w:r>
          </w:p>
        </w:tc>
        <w:tc>
          <w:tcPr/>
          <w:p>
            <w:pPr>
              <w:pStyle w:val="TableContents"/>
            </w:pPr>
            <w:r>
              <w:rPr>
                <w:b/>
                <w:bCs/>
                <w:color w:val="0059D1"/>
              </w:rPr>
              <w:t>[INSERT: type]</w:t>
            </w:r>
          </w:p>
        </w:tc>
      </w:tr>
    </w:tbl>
    <w:p>
      <w:pPr>
        <w:pStyle w:val="NormalNumberedtext"/>
      </w:pPr>
    </w:p>
    <w:p>
      <w:pPr>
        <w:pStyle w:val="Heading1Numbered"/>
      </w:pPr>
      <w:r>
        <w:rPr>
          <w:rFonts w:ascii="Arial" w:hAnsi="Arial" w:cs="Arial" w:eastAsia="Arial"/>
        </w:rPr>
        <w:t>9  Project Localisation Edits</w:t>
      </w:r>
    </w:p>
    <w:p>
      <w:pPr>
        <w:pStyle w:val="NormalNumberedtext"/>
      </w:pPr>
      <w:r>
        <w:rPr>
          <w:rFonts w:ascii="Arial" w:hAnsi="Arial" w:cs="Arial" w:eastAsia="Arial"/>
        </w:rPr>
        <w:t>This section captures the project-specific edits made to this document during preparation. This section stays in the document once published and is updated at each document revision. Record all additions, deletions, and wording changes from the original template.</w:t>
      </w:r>
    </w:p>
    <w:p>
      <w:pPr>
        <w:pStyle w:val="NormalNumberedtext"/>
      </w:pPr>
      <w:r>
        <w:rPr>
          <w:rFonts w:ascii="Arial" w:hAnsi="Arial" w:cs="Arial" w:eastAsia="Arial"/>
        </w:rPr>
        <w:t>Records of wording changes</w:t>
      </w:r>
    </w:p>
    <w:tbl>
      <w:tblPr>
        <w:tblStyle w:val="TableOption2"/>
        <w:tblW w:type="pct" w:w="5000"/>
      </w:tblPr>
      <w:tr>
        <w:trPr>
          <w:tblHeader/>
        </w:trPr>
        <w:tc>
          <w:tcPr>
            <w:shd w:val="clear" w:color="auto" w:fill="1F3864"/>
          </w:tcPr>
          <w:p>
            <w:pPr>
              <w:pStyle w:val="TableContents"/>
            </w:pPr>
            <w:r>
              <w:rPr>
                <w:b/>
                <w:bCs/>
                <w:color w:val="FFFFFF"/>
              </w:rPr>
              <w:t>Description of the Change</w:t>
            </w:r>
          </w:p>
        </w:tc>
        <w:tc>
          <w:tcPr>
            <w:shd w:val="clear" w:color="auto" w:fill="1F3864"/>
          </w:tcPr>
          <w:p>
            <w:pPr>
              <w:pStyle w:val="TableContents"/>
            </w:pPr>
            <w:r>
              <w:rPr>
                <w:b/>
                <w:bCs/>
                <w:color w:val="FFFFFF"/>
              </w:rPr>
              <w:t>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bl>
    <w:p>
      <w:pPr>
        <w:pStyle w:val="NormalNumberedtext"/>
      </w:pPr>
    </w:p>
    <w:p>
      <w:pPr>
        <w:pStyle w:val="NormalNumberedtext"/>
      </w:pPr>
      <w:r>
        <w:rPr>
          <w:rFonts w:ascii="Arial" w:hAnsi="Arial" w:cs="Arial" w:eastAsia="Arial"/>
        </w:rPr>
        <w:t>Records of new content additions</w:t>
      </w:r>
    </w:p>
    <w:tbl>
      <w:tblPr>
        <w:tblStyle w:val="TableOption2"/>
        <w:tblW w:type="pct" w:w="5000"/>
      </w:tblPr>
      <w:tr>
        <w:trPr>
          <w:tblHeader/>
        </w:trPr>
        <w:tc>
          <w:tcPr>
            <w:shd w:val="clear" w:color="auto" w:fill="1F3864"/>
          </w:tcPr>
          <w:p>
            <w:pPr>
              <w:pStyle w:val="TableContents"/>
            </w:pPr>
            <w:r>
              <w:rPr>
                <w:b/>
                <w:bCs/>
                <w:color w:val="FFFFFF"/>
              </w:rPr>
              <w:t>Description of the Change</w:t>
            </w:r>
          </w:p>
        </w:tc>
        <w:tc>
          <w:tcPr>
            <w:shd w:val="clear" w:color="auto" w:fill="1F3864"/>
          </w:tcPr>
          <w:p>
            <w:pPr>
              <w:pStyle w:val="TableContents"/>
            </w:pPr>
            <w:r>
              <w:rPr>
                <w:b/>
                <w:bCs/>
                <w:color w:val="FFFFFF"/>
              </w:rPr>
              <w:t>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bl>
    <w:p>
      <w:pPr>
        <w:pStyle w:val="NormalNumberedtext"/>
      </w:pPr>
    </w:p>
    <w:p>
      <w:pPr>
        <w:pStyle w:val="NormalNumberedtext"/>
      </w:pPr>
      <w:r>
        <w:rPr>
          <w:rFonts w:ascii="Arial" w:hAnsi="Arial" w:cs="Arial" w:eastAsia="Arial"/>
        </w:rPr>
        <w:t>Records of content removal</w:t>
      </w:r>
    </w:p>
    <w:tbl>
      <w:tblPr>
        <w:tblStyle w:val="TableOption2"/>
        <w:tblW w:type="pct" w:w="5000"/>
      </w:tblPr>
      <w:tr>
        <w:trPr>
          <w:tblHeader/>
        </w:trPr>
        <w:tc>
          <w:tcPr>
            <w:shd w:val="clear" w:color="auto" w:fill="1F3864"/>
          </w:tcPr>
          <w:p>
            <w:pPr>
              <w:pStyle w:val="TableContents"/>
            </w:pPr>
            <w:r>
              <w:rPr>
                <w:b/>
                <w:bCs/>
                <w:color w:val="FFFFFF"/>
              </w:rPr>
              <w:t>Description of the Change</w:t>
            </w:r>
          </w:p>
        </w:tc>
        <w:tc>
          <w:tcPr>
            <w:shd w:val="clear" w:color="auto" w:fill="1F3864"/>
          </w:tcPr>
          <w:p>
            <w:pPr>
              <w:pStyle w:val="TableContents"/>
            </w:pPr>
            <w:r>
              <w:rPr>
                <w:b/>
                <w:bCs/>
                <w:color w:val="FFFFFF"/>
              </w:rPr>
              <w:t>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r>
        <w:tc>
          <w:tcPr/>
          <w:p>
            <w:pPr>
              <w:pStyle w:val="TableContents"/>
            </w:pPr>
            <w:r>
              <w:rPr>
                <w:b/>
                <w:bCs/>
                <w:color w:val="0059D1"/>
              </w:rPr>
              <w:t>[INSERT: description of change]</w:t>
            </w:r>
          </w:p>
        </w:tc>
        <w:tc>
          <w:tcPr/>
          <w:p>
            <w:pPr>
              <w:pStyle w:val="TableContents"/>
            </w:pPr>
            <w:r>
              <w:rPr>
                <w:b/>
                <w:bCs/>
                <w:color w:val="0059D1"/>
              </w:rPr>
              <w:t>[INSERT: section]</w:t>
            </w:r>
          </w:p>
        </w:tc>
      </w:tr>
    </w:tbl>
    <w:p>
      <w:pPr>
        <w:pStyle w:val="NormalNumberedtext"/>
      </w:pPr>
    </w:p>
    <w:tbl>
      <w:tblPr>
        <w:tblStyle w:val="TableOption1"/>
        <w:tblW w:type="pct" w:w="5000"/>
      </w:tblPr>
      <w:tr>
        <w:tc>
          <w:tcPr>
            <w:shd w:val="clear" w:color="auto" w:fill="FCE4D6"/>
          </w:tcPr>
          <w:p>
            <w:pPr>
              <w:pStyle w:val="Instructions"/>
            </w:pPr>
            <w:r>
              <w:rPr>
                <w:b/>
                <w:bCs/>
                <w:color w:val="C55A11"/>
              </w:rPr>
              <w:t>REMOVABLE SECTION - Source Requirements Traceability. Delete this entire section before the document is issued for approval. It must not appear in any approved version of this document. Table A records requirements addressed in this procedure. Table B records requirements not fully addressed, with written justification for each.</w:t>
            </w:r>
          </w:p>
        </w:tc>
      </w:tr>
    </w:tbl>
    <w:p>
      <w:pPr>
        <w:pStyle w:val="Heading1Numbered"/>
      </w:pPr>
      <w:r>
        <w:rPr>
          <w:rFonts w:ascii="Arial" w:hAnsi="Arial" w:cs="Arial" w:eastAsia="Arial"/>
        </w:rPr>
        <w:t>10  Source Requirements Traceability (DELETE BEFORE ISSUE)</w:t>
      </w:r>
    </w:p>
    <w:p>
      <w:pPr>
        <w:pStyle w:val="Heading2Numbered"/>
      </w:pPr>
      <w:r>
        <w:rPr>
          <w:rFonts w:ascii="Arial" w:hAnsi="Arial" w:cs="Arial" w:eastAsia="Arial"/>
        </w:rPr>
        <w:t>10.1  Requirements Addressed in This Procedure</w:t>
      </w:r>
    </w:p>
    <w:tbl>
      <w:tblPr>
        <w:tblStyle w:val="TableOption2"/>
        <w:tblW w:type="pct" w:w="5000"/>
      </w:tblPr>
      <w:tr>
        <w:trPr>
          <w:tblHeader/>
        </w:trPr>
        <w:tc>
          <w:tcPr>
            <w:shd w:val="clear" w:color="auto" w:fill="1F3864"/>
          </w:tcPr>
          <w:p>
            <w:pPr>
              <w:pStyle w:val="TableContents"/>
            </w:pPr>
            <w:r>
              <w:rPr>
                <w:b/>
                <w:bCs/>
                <w:color w:val="FFFFFF"/>
              </w:rPr>
              <w:t>Section</w:t>
            </w:r>
          </w:p>
        </w:tc>
        <w:tc>
          <w:tcPr>
            <w:shd w:val="clear" w:color="auto" w:fill="1F3864"/>
          </w:tcPr>
          <w:p>
            <w:pPr>
              <w:pStyle w:val="TableContents"/>
            </w:pPr>
            <w:r>
              <w:rPr>
                <w:b/>
                <w:bCs/>
                <w:color w:val="FFFFFF"/>
              </w:rPr>
              <w:t>Source</w:t>
            </w:r>
          </w:p>
        </w:tc>
        <w:tc>
          <w:tcPr>
            <w:shd w:val="clear" w:color="auto" w:fill="1F3864"/>
          </w:tcPr>
          <w:p>
            <w:pPr>
              <w:pStyle w:val="TableContents"/>
            </w:pPr>
            <w:r>
              <w:rPr>
                <w:b/>
                <w:bCs/>
                <w:color w:val="FFFFFF"/>
              </w:rPr>
              <w:t>Requirement</w:t>
            </w:r>
          </w:p>
        </w:tc>
        <w:tc>
          <w:tcPr>
            <w:shd w:val="clear" w:color="auto" w:fill="1F3864"/>
          </w:tcPr>
          <w:p>
            <w:pPr>
              <w:pStyle w:val="TableContents"/>
            </w:pPr>
            <w:r>
              <w:rPr>
                <w:b/>
                <w:bCs/>
                <w:color w:val="FFFFFF"/>
              </w:rPr>
              <w:t>Status</w:t>
            </w:r>
          </w:p>
        </w:tc>
      </w:tr>
      <w:tr>
        <w:tc>
          <w:tcPr/>
          <w:p>
            <w:pPr>
              <w:pStyle w:val="TableContents"/>
            </w:pPr>
            <w:r>
              <w:rPr>
                <w:b/>
                <w:bCs/>
                <w:color w:val="0059D1"/>
              </w:rPr>
              <w:t>[INSERT: section]</w:t>
            </w:r>
          </w:p>
        </w:tc>
        <w:tc>
          <w:tcPr/>
          <w:p>
            <w:pPr>
              <w:pStyle w:val="TableContents"/>
            </w:pPr>
            <w:r>
              <w:t>RT Standard RT - Management &amp; Compliance Standard</w:t>
            </w:r>
          </w:p>
        </w:tc>
        <w:tc>
          <w:tcPr/>
          <w:p>
            <w:pPr>
              <w:pStyle w:val="TableContents"/>
            </w:pPr>
            <w:r>
              <w:t>Requires a continuous method for identifying, tracking, and updating regulatory requirements, with formal review at minimum quarterly and following any legislative or permit change.</w:t>
            </w:r>
          </w:p>
        </w:tc>
        <w:tc>
          <w:tcPr/>
          <w:p>
            <w:pPr>
              <w:pStyle w:val="TableContents"/>
            </w:pPr>
            <w:r>
              <w:t>Full</w:t>
            </w:r>
          </w:p>
        </w:tc>
      </w:tr>
      <w:tr>
        <w:tc>
          <w:tcPr/>
          <w:p>
            <w:pPr>
              <w:pStyle w:val="TableContents"/>
            </w:pPr>
            <w:r>
              <w:rPr>
                <w:b/>
                <w:bCs/>
                <w:color w:val="0059D1"/>
              </w:rPr>
              <w:t>[INSERT: section]</w:t>
            </w:r>
          </w:p>
        </w:tc>
        <w:tc>
          <w:tcPr/>
          <w:p>
            <w:pPr>
              <w:pStyle w:val="TableContents"/>
            </w:pPr>
            <w:r>
              <w:t>Appendix C C-1 §19</w:t>
            </w:r>
          </w:p>
        </w:tc>
        <w:tc>
          <w:tcPr/>
          <w:p>
            <w:pPr>
              <w:pStyle w:val="TableContents"/>
            </w:pPr>
            <w:r>
              <w:t>Requires submission of the regulatory requirements register to the project authority within 30 days of the Effective Date, with clearly defined roles and responsibilities for compliance, and communication of changed requirements to all project participants.</w:t>
            </w:r>
          </w:p>
        </w:tc>
        <w:tc>
          <w:tcPr/>
          <w:p>
            <w:pPr>
              <w:pStyle w:val="TableContents"/>
            </w:pPr>
            <w:r>
              <w:t>Full</w:t>
            </w:r>
          </w:p>
        </w:tc>
      </w:tr>
      <w:tr>
        <w:tc>
          <w:tcPr/>
          <w:p>
            <w:pPr>
              <w:pStyle w:val="TableContents"/>
            </w:pPr>
            <w:r>
              <w:rPr>
                <w:b/>
                <w:bCs/>
                <w:color w:val="0059D1"/>
              </w:rPr>
              <w:t>[INSERT: section]</w:t>
            </w:r>
          </w:p>
        </w:tc>
        <w:tc>
          <w:tcPr/>
          <w:p>
            <w:pPr>
              <w:pStyle w:val="TableContents"/>
            </w:pPr>
            <w:r>
              <w:t>IFC PS1 IFC PS1 §6 and Guidance Note §GN9</w:t>
            </w:r>
          </w:p>
        </w:tc>
        <w:tc>
          <w:tcPr/>
          <w:p>
            <w:pPr>
              <w:pStyle w:val="TableContents"/>
            </w:pPr>
            <w:r>
              <w:t>Requires that all permits, approvals, conditions of consent, and ESIA commitments are included in the register and tracked as binding obligations throughout the project lifecycle.</w:t>
            </w:r>
          </w:p>
        </w:tc>
        <w:tc>
          <w:tcPr/>
          <w:p>
            <w:pPr>
              <w:pStyle w:val="TableContents"/>
            </w:pPr>
            <w:r>
              <w:t>Full</w:t>
            </w:r>
          </w:p>
        </w:tc>
      </w:tr>
      <w:tr>
        <w:tc>
          <w:tcPr/>
          <w:p>
            <w:pPr>
              <w:pStyle w:val="TableContents"/>
            </w:pPr>
            <w:r>
              <w:rPr>
                <w:b/>
                <w:bCs/>
                <w:color w:val="0059D1"/>
              </w:rPr>
              <w:t>[INSERT: section]</w:t>
            </w:r>
          </w:p>
        </w:tc>
        <w:tc>
          <w:tcPr/>
          <w:p>
            <w:pPr>
              <w:pStyle w:val="TableContents"/>
            </w:pPr>
            <w:r>
              <w:t>IFC PS1 IFC PS1 Guidance Note §GN18</w:t>
            </w:r>
          </w:p>
        </w:tc>
        <w:tc>
          <w:tcPr/>
          <w:p>
            <w:pPr>
              <w:pStyle w:val="TableContents"/>
            </w:pPr>
            <w:r>
              <w:t>Requires that where host country laws are less stringent than IFC Performance Standards or World Bank EHS Guidelines, the more stringent requirement is documented as the project standard.</w:t>
            </w:r>
          </w:p>
        </w:tc>
        <w:tc>
          <w:tcPr/>
          <w:p>
            <w:pPr>
              <w:pStyle w:val="TableContents"/>
            </w:pPr>
            <w:r>
              <w:t>Full</w:t>
            </w:r>
          </w:p>
        </w:tc>
      </w:tr>
      <w:tr>
        <w:tc>
          <w:tcPr/>
          <w:p>
            <w:pPr>
              <w:pStyle w:val="TableContents"/>
            </w:pPr>
            <w:r>
              <w:rPr>
                <w:b/>
                <w:bCs/>
                <w:color w:val="0059D1"/>
              </w:rPr>
              <w:t>[INSERT: section]</w:t>
            </w:r>
          </w:p>
        </w:tc>
        <w:tc>
          <w:tcPr/>
          <w:p>
            <w:pPr>
              <w:pStyle w:val="TableContents"/>
            </w:pPr>
            <w:r>
              <w:t>IFC PS1 IFC PS1 Guidance Note §GN33</w:t>
            </w:r>
          </w:p>
        </w:tc>
        <w:tc>
          <w:tcPr/>
          <w:p>
            <w:pPr>
              <w:pStyle w:val="TableContents"/>
            </w:pPr>
            <w:r>
              <w:t>Requires that legal requirements are communicated to contractors through contractual clauses and that contractor compliance is monitored through the project ESMS.</w:t>
            </w:r>
          </w:p>
        </w:tc>
        <w:tc>
          <w:tcPr/>
          <w:p>
            <w:pPr>
              <w:pStyle w:val="TableContents"/>
            </w:pPr>
            <w:r>
              <w:t>Full</w:t>
            </w:r>
          </w:p>
        </w:tc>
      </w:tr>
      <w:tr>
        <w:tc>
          <w:tcPr/>
          <w:p>
            <w:pPr>
              <w:pStyle w:val="TableContents"/>
            </w:pPr>
            <w:r>
              <w:rPr>
                <w:b/>
                <w:bCs/>
                <w:color w:val="0059D1"/>
              </w:rPr>
              <w:t>[INSERT: section]</w:t>
            </w:r>
          </w:p>
        </w:tc>
        <w:tc>
          <w:tcPr/>
          <w:p>
            <w:pPr>
              <w:pStyle w:val="TableContents"/>
            </w:pPr>
            <w:r>
              <w:t>IFC PS1 IFC PS1 §11</w:t>
            </w:r>
          </w:p>
        </w:tc>
        <w:tc>
          <w:tcPr/>
          <w:p>
            <w:pPr>
              <w:pStyle w:val="TableContents"/>
            </w:pPr>
            <w:r>
              <w:t>Requires that any identified non-compliance with applicable laws, regulations, or permit conditions triggers a corrective action process documented in the project action tracking system with a defined closeout date and owner.</w:t>
            </w:r>
          </w:p>
        </w:tc>
        <w:tc>
          <w:tcPr/>
          <w:p>
            <w:pPr>
              <w:pStyle w:val="TableContents"/>
            </w:pPr>
            <w:r>
              <w:t>Full</w:t>
            </w:r>
          </w:p>
        </w:tc>
      </w:tr>
      <w:tr>
        <w:tc>
          <w:tcPr/>
          <w:p>
            <w:pPr>
              <w:pStyle w:val="TableContents"/>
            </w:pPr>
            <w:r>
              <w:rPr>
                <w:b/>
                <w:bCs/>
                <w:color w:val="0059D1"/>
              </w:rPr>
              <w:t>[INSERT: section]</w:t>
            </w:r>
          </w:p>
        </w:tc>
        <w:tc>
          <w:tcPr/>
          <w:p>
            <w:pPr>
              <w:pStyle w:val="TableContents"/>
            </w:pPr>
            <w:r>
              <w:t>ICMM ICMM Principle 1 - Ethical Business</w:t>
            </w:r>
          </w:p>
        </w:tc>
        <w:tc>
          <w:tcPr/>
          <w:p>
            <w:pPr>
              <w:pStyle w:val="TableContents"/>
            </w:pPr>
            <w:r>
              <w:t>Requires that the project commits to full compliance with applicable national and international laws, regulations, and voluntary commitments to which the organisation subscribes.</w:t>
            </w:r>
          </w:p>
        </w:tc>
        <w:tc>
          <w:tcPr/>
          <w:p>
            <w:pPr>
              <w:pStyle w:val="TableContents"/>
            </w:pPr>
            <w:r>
              <w:t>Full</w:t>
            </w:r>
          </w:p>
        </w:tc>
      </w:tr>
      <w:tr>
        <w:tc>
          <w:tcPr/>
          <w:p>
            <w:pPr>
              <w:pStyle w:val="TableContents"/>
            </w:pPr>
            <w:r>
              <w:rPr>
                <w:b/>
                <w:bCs/>
                <w:color w:val="0059D1"/>
              </w:rPr>
              <w:t>[INSERT: section]</w:t>
            </w:r>
          </w:p>
        </w:tc>
        <w:tc>
          <w:tcPr/>
          <w:p>
            <w:pPr>
              <w:pStyle w:val="TableContents"/>
            </w:pPr>
            <w:r>
              <w:t>TSM TSM - Safe, Healthy and Respectful Workplaces Protocol, Indicator SH1</w:t>
            </w:r>
          </w:p>
        </w:tc>
        <w:tc>
          <w:tcPr/>
          <w:p>
            <w:pPr>
              <w:pStyle w:val="TableContents"/>
            </w:pPr>
            <w:r>
              <w:t>Requires that all applicable occupational health and safety legislation is captured in the register and that senior management accountability for its currency is clearly assigned.</w:t>
            </w:r>
          </w:p>
        </w:tc>
        <w:tc>
          <w:tcPr/>
          <w:p>
            <w:pPr>
              <w:pStyle w:val="TableContents"/>
            </w:pPr>
            <w:r>
              <w:t>Full</w:t>
            </w:r>
          </w:p>
        </w:tc>
      </w:tr>
      <w:tr>
        <w:tc>
          <w:tcPr/>
          <w:p>
            <w:pPr>
              <w:pStyle w:val="TableContents"/>
            </w:pPr>
            <w:r>
              <w:rPr>
                <w:b/>
                <w:bCs/>
                <w:color w:val="0059D1"/>
              </w:rPr>
              <w:t>[INSERT: section]</w:t>
            </w:r>
          </w:p>
        </w:tc>
        <w:tc>
          <w:tcPr/>
          <w:p>
            <w:pPr>
              <w:pStyle w:val="TableContents"/>
            </w:pPr>
            <w:r>
              <w:t>OSHA OSHA RP 2016 - Management Leadership</w:t>
            </w:r>
          </w:p>
        </w:tc>
        <w:tc>
          <w:tcPr/>
          <w:p>
            <w:pPr>
              <w:pStyle w:val="TableContents"/>
            </w:pPr>
            <w:r>
              <w:t>Requires assignment of a named accountable role with authority to ensure the register is current and compliance obligations are actioned within defined timeframes.</w:t>
            </w:r>
          </w:p>
        </w:tc>
        <w:tc>
          <w:tcPr/>
          <w:p>
            <w:pPr>
              <w:pStyle w:val="TableContents"/>
            </w:pPr>
            <w:r>
              <w:t>Full</w:t>
            </w:r>
          </w:p>
        </w:tc>
      </w:tr>
      <w:tr>
        <w:tc>
          <w:tcPr/>
          <w:p>
            <w:pPr>
              <w:pStyle w:val="TableContents"/>
            </w:pPr>
            <w:r>
              <w:rPr>
                <w:b/>
                <w:bCs/>
                <w:color w:val="0059D1"/>
              </w:rPr>
              <w:t>[INSERT: section]</w:t>
            </w:r>
          </w:p>
        </w:tc>
        <w:tc>
          <w:tcPr/>
          <w:p>
            <w:pPr>
              <w:pStyle w:val="TableContents"/>
            </w:pPr>
            <w:r>
              <w:t>OSHA OSHA RP 2016 - Worker Participation</w:t>
            </w:r>
          </w:p>
        </w:tc>
        <w:tc>
          <w:tcPr/>
          <w:p>
            <w:pPr>
              <w:pStyle w:val="TableContents"/>
            </w:pPr>
            <w:r>
              <w:t>Requires that workers have access to information about the legal and regulatory requirements applicable to their work, including their rights under applicable health and safety law.</w:t>
            </w:r>
          </w:p>
        </w:tc>
        <w:tc>
          <w:tcPr/>
          <w:p>
            <w:pPr>
              <w:pStyle w:val="TableContents"/>
            </w:pPr>
            <w:r>
              <w:t>Full</w:t>
            </w:r>
          </w:p>
        </w:tc>
      </w:tr>
    </w:tbl>
    <w:p>
      <w:pPr>
        <w:pStyle w:val="NormalNumberedtext"/>
      </w:pPr>
    </w:p>
    <w:p>
      <w:pPr>
        <w:pStyle w:val="Heading2Numbered"/>
      </w:pPr>
      <w:r>
        <w:rPr>
          <w:rFonts w:ascii="Arial" w:hAnsi="Arial" w:cs="Arial" w:eastAsia="Arial"/>
        </w:rPr>
        <w:t>10.2  Requirements Not Fully Addressed in This Procedure</w:t>
      </w:r>
    </w:p>
    <w:p>
      <w:pPr>
        <w:pStyle w:val="NormalNumberedtext"/>
      </w:pPr>
      <w:r>
        <w:rPr>
          <w:rFonts w:ascii="Arial" w:hAnsi="Arial" w:cs="Arial" w:eastAsia="Arial"/>
        </w:rPr>
        <w:t>List any requirements from the external sources above that are not fully addressed in this document, with a specific written justification for each. Acceptable justifications: (a) the requirement is owned by a named standalone procedure cross-referenced here; (b) excluded by a specific business decision endorsed by project leadership, named here; or (c) addressed through an operational control outside this document, identified here.</w:t>
      </w:r>
    </w:p>
    <w:tbl>
      <w:tblPr>
        <w:tblStyle w:val="TableOption2"/>
        <w:tblW w:type="pct" w:w="5000"/>
      </w:tblPr>
      <w:tr>
        <w:trPr>
          <w:tblHeader/>
        </w:trPr>
        <w:tc>
          <w:tcPr>
            <w:shd w:val="clear" w:color="auto" w:fill="1F3864"/>
          </w:tcPr>
          <w:p>
            <w:pPr>
              <w:pStyle w:val="TableContents"/>
            </w:pPr>
            <w:r>
              <w:rPr>
                <w:b/>
                <w:bCs/>
                <w:color w:val="FFFFFF"/>
              </w:rPr>
              <w:t>Requirement Not Covered</w:t>
            </w:r>
          </w:p>
        </w:tc>
        <w:tc>
          <w:tcPr>
            <w:shd w:val="clear" w:color="auto" w:fill="1F3864"/>
          </w:tcPr>
          <w:p>
            <w:pPr>
              <w:pStyle w:val="TableContents"/>
            </w:pPr>
            <w:r>
              <w:rPr>
                <w:b/>
                <w:bCs/>
                <w:color w:val="FFFFFF"/>
              </w:rPr>
              <w:t>Source</w:t>
            </w:r>
          </w:p>
        </w:tc>
        <w:tc>
          <w:tcPr>
            <w:shd w:val="clear" w:color="auto" w:fill="1F3864"/>
          </w:tcPr>
          <w:p>
            <w:pPr>
              <w:pStyle w:val="TableContents"/>
            </w:pPr>
            <w:r>
              <w:rPr>
                <w:b/>
                <w:bCs/>
                <w:color w:val="FFFFFF"/>
              </w:rPr>
              <w:t>Justification</w:t>
            </w:r>
          </w:p>
        </w:tc>
      </w:tr>
      <w:tr>
        <w:tc>
          <w:tcPr/>
          <w:p>
            <w:pPr>
              <w:pStyle w:val="TableContents"/>
            </w:pPr>
            <w:r>
              <w:rPr>
                <w:b/>
                <w:bCs/>
                <w:color w:val="0059D1"/>
              </w:rPr>
              <w:t>[INSERT: description of requirement not covered]</w:t>
            </w:r>
          </w:p>
        </w:tc>
        <w:tc>
          <w:tcPr/>
          <w:p>
            <w:pPr>
              <w:pStyle w:val="TableContents"/>
            </w:pPr>
            <w:r>
              <w:rPr>
                <w:b/>
                <w:bCs/>
                <w:color w:val="0059D1"/>
              </w:rPr>
              <w:t>[INSERT: source and clause]</w:t>
            </w:r>
          </w:p>
        </w:tc>
        <w:tc>
          <w:tcPr/>
          <w:p>
            <w:pPr>
              <w:pStyle w:val="TableContents"/>
            </w:pPr>
            <w:r>
              <w:rPr>
                <w:b/>
                <w:bCs/>
                <w:color w:val="0059D1"/>
              </w:rPr>
              <w:t>[INSERT: specific written justification]</w:t>
            </w:r>
          </w:p>
        </w:tc>
      </w:tr>
    </w:tbl>
    <w:p>
      <w:pPr>
        <w:pStyle w:val="NormalNumberedtext"/>
      </w:pPr>
    </w:p>
    <w:sectPr w:rsidR="00057588" w:rsidRPr="007D471E">
      <w:headerReference w:type="default" r:id="rId11"/>
      <w:footerReference w:type="default" r:id="rId12"/>
      <w:headerReference w:type="first" r:id="rId13"/>
      <w:footerReference w:type="first" r:id="rId14"/>
      <w:pgSz w:w="11906" w:h="16838"/>
      <w:pgMar w:top="1134" w:right="1134" w:bottom="1134" w:left="1134" w:header="567" w:footer="56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B1923" w14:textId="77777777" w:rsidR="001D41C2" w:rsidRDefault="001D41C2">
      <w:r>
        <w:separator/>
      </w:r>
    </w:p>
  </w:endnote>
  <w:endnote w:type="continuationSeparator" w:id="0">
    <w:p w14:paraId="7FE46BFD" w14:textId="77777777" w:rsidR="001D41C2" w:rsidRDefault="001D4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variable"/>
    <w:sig w:usb0="E0002AFF" w:usb1="C0007841" w:usb2="00000009" w:usb3="00000000" w:csb0="000001FF" w:csb1="00000000"/>
  </w:font>
  <w:font w:name="Arial Bold">
    <w:altName w:val="Arial"/>
    <w:panose1 w:val="020B07040202020202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2C22" w14:textId="77777777" w:rsidR="00FC1013" w:rsidRDefault="004C465B">
    <w:pPr>
      <w:pBdr>
        <w:top w:val="single" w:sz="4" w:space="6" w:color="000000"/>
      </w:pBdr>
      <w:tabs>
        <w:tab w:val="center" w:pos="4513"/>
        <w:tab w:val="right" w:pos="9072"/>
        <w:tab w:val="right" w:pos="9450"/>
      </w:tabs>
      <w:jc w:val="center"/>
      <w:rPr>
        <w:rFonts w:ascii="Arial" w:eastAsia="Times New Roman" w:hAnsi="Arial" w:cs="Arial"/>
        <w:color w:val="333333"/>
        <w:sz w:val="14"/>
        <w:szCs w:val="14"/>
        <w:lang w:val="en-AU"/>
      </w:rPr>
    </w:pPr>
    <w:r>
      <w:rPr>
        <w:rFonts w:eastAsia="Times New Roman" w:cs="Arial"/>
        <w:color w:val="333333"/>
        <w:sz w:val="14"/>
        <w:szCs w:val="14"/>
        <w:lang w:val="en-AU"/>
      </w:rPr>
      <w:t>© 2024 RIO TINTO GROUP</w:t>
    </w:r>
  </w:p>
  <w:p w14:paraId="5B83BBFD" w14:textId="77777777" w:rsidR="00FC1013" w:rsidRDefault="004C465B">
    <w:pPr>
      <w:pBdr>
        <w:top w:val="single" w:sz="4" w:space="6" w:color="000000"/>
      </w:pBdr>
      <w:tabs>
        <w:tab w:val="center" w:pos="4513"/>
        <w:tab w:val="right" w:pos="9072"/>
        <w:tab w:val="right" w:pos="9450"/>
      </w:tabs>
      <w:rPr>
        <w:rFonts w:ascii="Arial" w:eastAsia="Times New Roman" w:hAnsi="Arial" w:cs="Arial"/>
        <w:color w:val="333333"/>
        <w:sz w:val="14"/>
        <w:szCs w:val="14"/>
        <w:lang w:val="en-AU"/>
      </w:rPr>
    </w:pPr>
    <w:r>
      <w:rPr>
        <w:rFonts w:eastAsia="Times New Roman" w:cs="Arial"/>
        <w:color w:val="333333"/>
        <w:sz w:val="14"/>
        <w:szCs w:val="14"/>
        <w:lang w:val="en-AU"/>
      </w:rPr>
      <w:t>This document is the copyright property of Rio Tinto Group and contains information that is confidential to companies within the Rio Tinto Group. Any request to copy or circulate this document outside of the Rio Tinto Group will require the prior written approval of the Group Executive of Development &amp; Technology.</w:t>
    </w:r>
  </w:p>
  <w:p w14:paraId="67CFB61E" w14:textId="77777777" w:rsidR="00FC1013" w:rsidRDefault="004C465B">
    <w:pPr>
      <w:pStyle w:val="DataClassification"/>
    </w:pPr>
    <w:r>
      <w:rPr>
        <w:noProof/>
      </w:rPr>
      <mc:AlternateContent>
        <mc:Choice Requires="wps">
          <w:drawing>
            <wp:anchor distT="0" distB="0" distL="0" distR="0" simplePos="0" relativeHeight="251659264" behindDoc="0" locked="0" layoutInCell="1" allowOverlap="1" wp14:anchorId="6B7239AB" wp14:editId="181B3C00">
              <wp:simplePos x="0" y="0"/>
              <wp:positionH relativeFrom="margin">
                <wp:align>right</wp:align>
              </wp:positionH>
              <wp:positionV relativeFrom="paragraph">
                <wp:posOffset>10795</wp:posOffset>
              </wp:positionV>
              <wp:extent cx="14605" cy="14605"/>
              <wp:effectExtent l="0" t="0" r="0" b="0"/>
              <wp:wrapNone/>
              <wp:docPr id="8" name="Frame5"/>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sdt>
                          <w:sdtPr>
                            <w:id w:val="1613548863"/>
                            <w:docPartObj>
                              <w:docPartGallery w:val="Page Numbers (Bottom of Page)"/>
                              <w:docPartUnique/>
                            </w:docPartObj>
                          </w:sdtPr>
                          <w:sdtEndPr/>
                          <w:sdtContent>
                            <w:p w14:paraId="194C231E" w14:textId="77777777" w:rsidR="00FC1013" w:rsidRDefault="004C465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r>
                                <w:t xml:space="preserve"> / </w:t>
                              </w:r>
                              <w:fldSimple w:instr=" NUMPAGES ">
                                <w:r>
                                  <w:t>14</w:t>
                                </w:r>
                              </w:fldSimple>
                              <w:r>
                                <w:rPr>
                                  <w:rStyle w:val="PageNumber"/>
                                </w:rPr>
                                <w:t xml:space="preserve"> </w:t>
                              </w:r>
                            </w:p>
                          </w:sdtContent>
                        </w:sdt>
                      </w:txbxContent>
                    </wps:txbx>
                    <wps:bodyPr lIns="0" tIns="0" rIns="0" bIns="0" anchor="t">
                      <a:spAutoFit/>
                    </wps:bodyPr>
                  </wps:wsp>
                </a:graphicData>
              </a:graphic>
            </wp:anchor>
          </w:drawing>
        </mc:Choice>
        <mc:Fallback>
          <w:pict>
            <v:shapetype w14:anchorId="6B7239AB" id="_x0000_t202" coordsize="21600,21600" o:spt="202" path="m,l,21600r21600,l21600,xe">
              <v:stroke joinstyle="miter"/>
              <v:path gradientshapeok="t" o:connecttype="rect"/>
            </v:shapetype>
            <v:shape id="Frame5" o:spid="_x0000_s1026" type="#_x0000_t202" style="position:absolute;left:0;text-align:left;margin-left:-50.05pt;margin-top:.8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" stroked="f">
              <v:fill opacity="0"/>
              <v:textbox style="mso-fit-shape-to-text:t" inset="0,0,0,0">
                <w:txbxContent>
                  <w:sdt>
                    <w:sdtPr>
                      <w:id w:val="1613548863"/>
                      <w:docPartObj>
                        <w:docPartGallery w:val="Page Numbers (Bottom of Page)"/>
                        <w:docPartUnique/>
                      </w:docPartObj>
                    </w:sdtPr>
                    <w:sdtEndPr/>
                    <w:sdtContent>
                      <w:p w14:paraId="194C231E" w14:textId="77777777" w:rsidR="00FC1013" w:rsidRDefault="004C465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r>
                          <w:t xml:space="preserve"> / </w:t>
                        </w:r>
                        <w:fldSimple w:instr=" NUMPAGES ">
                          <w:r>
                            <w:t>14</w:t>
                          </w:r>
                        </w:fldSimple>
                        <w:r>
                          <w:rPr>
                            <w:rStyle w:val="PageNumber"/>
                          </w:rPr>
                          <w:t xml:space="preserve"> </w:t>
                        </w:r>
                      </w:p>
                    </w:sdtContent>
                  </w:sdt>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47CD8" w14:textId="77777777" w:rsidR="00FC1013" w:rsidRDefault="004C465B">
    <w:pPr>
      <w:pBdr>
        <w:top w:val="single" w:sz="4" w:space="6" w:color="000000"/>
      </w:pBdr>
      <w:tabs>
        <w:tab w:val="center" w:pos="4513"/>
        <w:tab w:val="right" w:pos="9072"/>
        <w:tab w:val="right" w:pos="9450"/>
      </w:tabs>
      <w:jc w:val="center"/>
      <w:rPr>
        <w:rFonts w:ascii="Arial" w:eastAsia="Times New Roman" w:hAnsi="Arial" w:cs="Arial"/>
        <w:color w:val="333333"/>
        <w:sz w:val="14"/>
        <w:szCs w:val="14"/>
        <w:lang w:val="en-AU"/>
      </w:rPr>
    </w:pPr>
    <w:r>
      <w:rPr>
        <w:rFonts w:eastAsia="Times New Roman" w:cs="Arial"/>
        <w:color w:val="333333"/>
        <w:sz w:val="14"/>
        <w:szCs w:val="14"/>
        <w:lang w:val="en-AU"/>
      </w:rPr>
      <w:t>© 2024 RIO TINTO GROUP</w:t>
    </w:r>
  </w:p>
  <w:p w14:paraId="239653D2" w14:textId="77777777" w:rsidR="00FC1013" w:rsidRDefault="004C465B">
    <w:pPr>
      <w:pStyle w:val="Footer"/>
    </w:pPr>
    <w:r>
      <w:rPr>
        <w:rFonts w:eastAsia="Times New Roman" w:cs="Arial"/>
        <w:color w:val="333333"/>
        <w:szCs w:val="14"/>
        <w:lang w:val="en-AU"/>
      </w:rPr>
      <w:t>This document is the copyright property of Rio Tinto Group and contains information that is confidential to companies within the Rio Tinto Group. Any request to copy or circulate this document outside of the Rio Tinto Group will require the prior written approval of the Group Executive of Development &amp; Technology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31837" w14:textId="77777777" w:rsidR="001D41C2" w:rsidRDefault="001D41C2">
      <w:r>
        <w:separator/>
      </w:r>
    </w:p>
  </w:footnote>
  <w:footnote w:type="continuationSeparator" w:id="0">
    <w:p w14:paraId="3177BF59" w14:textId="77777777" w:rsidR="001D41C2" w:rsidRDefault="001D4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38D11" w14:textId="77777777" w:rsidR="00FC1013" w:rsidRDefault="00FC1013">
    <w:pPr>
      <w:pStyle w:val="DataClassification"/>
    </w:pPr>
  </w:p>
  <w:p w14:paraId="2E97B8F1" w14:textId="77777777" w:rsidR="00FC1013" w:rsidRDefault="00FC1013">
    <w:pPr>
      <w:pStyle w:val="Header"/>
    </w:pPr>
  </w:p>
  <w:p w14:paraId="0D9EC162" w14:textId="77777777" w:rsidR="00FC1013" w:rsidRDefault="00FC1013">
    <w:pPr>
      <w:pStyle w:val="Header"/>
    </w:pPr>
  </w:p>
  <w:p w14:paraId="1E6D7930" w14:textId="59657AA0" w:rsidR="00FC1013" w:rsidRDefault="00B03658">
    <w:pPr>
      <w:pStyle w:val="Headerunderline"/>
    </w:pPr>
    <w:fldSimple w:instr=" STYLEREF &quot;Automated Project Name&quot; ">
      <w:r w:rsidR="00F92E88">
        <w:rPr>
          <w:noProof/>
        </w:rPr>
        <w:t>[Enter Project Name]</w:t>
      </w:r>
    </w:fldSimple>
    <w:r w:rsidR="004C465B">
      <w:t xml:space="preserve"> - </w:t>
    </w:r>
    <w:fldSimple w:instr=" STYLEREF &quot;Front cover: Heading_&quot; ">
      <w:r w:rsidR="00F92E88">
        <w:rPr>
          <w:noProof/>
        </w:rPr>
        <w:t>PROCEDURE TITLE</w:t>
      </w:r>
    </w:fldSimple>
  </w:p>
  <w:p w14:paraId="68CEDCD5" w14:textId="77777777" w:rsidR="00FC1013" w:rsidRDefault="00FC1013">
    <w:pPr>
      <w:pStyle w:val="Header"/>
    </w:pPr>
  </w:p>
  <w:p w14:paraId="62FAD2A2" w14:textId="77777777" w:rsidR="00FC1013" w:rsidRDefault="00FC1013">
    <w:pPr>
      <w:pStyle w:val="Header"/>
    </w:pPr>
  </w:p>
  <w:p w14:paraId="4B6F8956" w14:textId="77777777" w:rsidR="00FC1013" w:rsidRDefault="00FC10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42B4" w14:textId="77777777" w:rsidR="00E3554C" w:rsidRDefault="00E3554C" w:rsidP="00E3554C">
    <w:pPr>
      <w:pStyle w:val="Header"/>
      <w:tabs>
        <w:tab w:val="clear" w:pos="9639"/>
        <w:tab w:val="right" w:pos="9638"/>
      </w:tabs>
      <w:ind w:left="7088"/>
    </w:pPr>
  </w:p>
  <w:p w14:paraId="098BD27A" w14:textId="77777777" w:rsidR="00E3554C" w:rsidRDefault="00E3554C" w:rsidP="00E3554C">
    <w:pPr>
      <w:pStyle w:val="Header"/>
      <w:tabs>
        <w:tab w:val="clear" w:pos="9639"/>
        <w:tab w:val="right" w:pos="9638"/>
      </w:tabs>
      <w:ind w:left="7088"/>
    </w:pPr>
  </w:p>
  <w:p w14:paraId="5416590D" w14:textId="77777777" w:rsidR="00FC1013" w:rsidRDefault="00E87570" w:rsidP="00C33144">
    <w:pPr>
      <w:pStyle w:val="Header"/>
      <w:tabs>
        <w:tab w:val="clear" w:pos="9639"/>
        <w:tab w:val="right" w:pos="9638"/>
      </w:tabs>
      <w:ind w:left="7088"/>
    </w:pPr>
    <w:r>
      <w:rPr>
        <w:noProof/>
      </w:rPr>
      <w:drawing>
        <wp:anchor distT="0" distB="0" distL="114300" distR="114300" simplePos="0" relativeHeight="251668992" behindDoc="1" locked="0" layoutInCell="1" allowOverlap="1" wp14:anchorId="0F900CAF" wp14:editId="14E85CC9">
          <wp:simplePos x="0" y="0"/>
          <wp:positionH relativeFrom="column">
            <wp:posOffset>-1653540</wp:posOffset>
          </wp:positionH>
          <wp:positionV relativeFrom="paragraph">
            <wp:posOffset>-798196</wp:posOffset>
          </wp:positionV>
          <wp:extent cx="4302125" cy="3999230"/>
          <wp:effectExtent l="800100" t="952500" r="727075" b="953770"/>
          <wp:wrapNone/>
          <wp:docPr id="19262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30117" name="Picture 1"/>
                  <pic:cNvPicPr>
                    <a:picLocks noChangeAspect="1"/>
                  </pic:cNvPicPr>
                </pic:nvPicPr>
                <pic:blipFill rotWithShape="1">
                  <a:blip r:embed="rId1">
                    <a:grayscl/>
                    <a:alphaModFix amt="20000"/>
                    <a:extLst>
                      <a:ext uri="{28A0092B-C50C-407E-A947-70E740481C1C}">
                        <a14:useLocalDpi xmlns:a14="http://schemas.microsoft.com/office/drawing/2010/main" val="0"/>
                      </a:ext>
                    </a:extLst>
                  </a:blip>
                  <a:srcRect l="39613"/>
                  <a:stretch>
                    <a:fillRect/>
                  </a:stretch>
                </pic:blipFill>
                <pic:spPr bwMode="auto">
                  <a:xfrm rot="18916714">
                    <a:off x="0" y="0"/>
                    <a:ext cx="4302125" cy="3999230"/>
                  </a:xfrm>
                  <a:prstGeom prst="rect">
                    <a:avLst/>
                  </a:prstGeom>
                  <a:ln>
                    <a:noFill/>
                  </a:ln>
                  <a:extLst>
                    <a:ext uri="{53640926-AAD7-44D8-BBD7-CCE9431645EC}">
                      <a14:shadowObscured xmlns:a14="http://schemas.microsoft.com/office/drawing/2010/main"/>
                    </a:ext>
                  </a:extLst>
                </pic:spPr>
              </pic:pic>
            </a:graphicData>
          </a:graphic>
        </wp:anchor>
      </w:drawing>
    </w:r>
    <w:r w:rsidR="00E3554C" w:rsidRPr="00E3554C">
      <w:rPr>
        <w:noProof/>
      </w:rPr>
      <w:drawing>
        <wp:inline distT="0" distB="0" distL="0" distR="0" wp14:anchorId="15309544" wp14:editId="63AF0FCE">
          <wp:extent cx="1188085" cy="252095"/>
          <wp:effectExtent l="0" t="0" r="0" b="0"/>
          <wp:docPr id="172954863" name="Graphic 4"/>
          <wp:cNvGraphicFramePr/>
          <a:graphic xmlns:a="http://schemas.openxmlformats.org/drawingml/2006/main">
            <a:graphicData uri="http://schemas.openxmlformats.org/drawingml/2006/picture">
              <pic:pic xmlns:pic="http://schemas.openxmlformats.org/drawingml/2006/picture">
                <pic:nvPicPr>
                  <pic:cNvPr id="1" name="Graphic 1"/>
                  <pic:cNvPicPr>
                    <a:picLocks noChangeAspect="1"/>
                  </pic:cNvPicPr>
                </pic:nvPicPr>
                <pic:blipFill>
                  <a:blip r:embed="rId2" cstate="print">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187450" cy="251460"/>
                  </a:xfrm>
                  <a:prstGeom prst="rect">
                    <a:avLst/>
                  </a:prstGeom>
                </pic:spPr>
              </pic:pic>
            </a:graphicData>
          </a:graphic>
        </wp:inline>
      </w:drawing>
    </w:r>
  </w:p>
  <w:p w14:paraId="7863338B" w14:textId="77777777" w:rsidR="00C33144" w:rsidRPr="005157BB" w:rsidRDefault="00C33144" w:rsidP="00C33144">
    <w:pPr>
      <w:pStyle w:val="Header"/>
      <w:tabs>
        <w:tab w:val="clear" w:pos="9639"/>
        <w:tab w:val="right" w:pos="9638"/>
      </w:tabs>
      <w:spacing w:before="120" w:line="281" w:lineRule="auto"/>
      <w:ind w:left="7088"/>
      <w:rPr>
        <w:color w:val="404040" w:themeColor="text1" w:themeTint="BF"/>
        <w:sz w:val="28"/>
        <w:szCs w:val="28"/>
      </w:rPr>
    </w:pPr>
    <w:r w:rsidRPr="005157BB">
      <w:rPr>
        <w:color w:val="404040" w:themeColor="text1" w:themeTint="BF"/>
        <w:sz w:val="28"/>
        <w:szCs w:val="28"/>
      </w:rPr>
      <w:t>RioProjects HSESC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84F"/>
    <w:multiLevelType w:val="hybridMultilevel"/>
    <w:tmpl w:val="A81CCCA6"/>
    <w:lvl w:ilvl="0" w:tplc="0C090011">
      <w:start w:val="1"/>
      <w:numFmt w:val="decimal"/>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 w15:restartNumberingAfterBreak="0">
    <w:nsid w:val="1E781775"/>
    <w:multiLevelType w:val="multilevel"/>
    <w:tmpl w:val="421CAB70"/>
    <w:lvl w:ilvl="0">
      <w:start w:val="1"/>
      <w:numFmt w:val="bullet"/>
      <w:pStyle w:val="TableText"/>
      <w:lvlText w:val="-"/>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1F86000B"/>
    <w:multiLevelType w:val="hybridMultilevel"/>
    <w:tmpl w:val="8D768A86"/>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3" w15:restartNumberingAfterBreak="0">
    <w:nsid w:val="26D856E2"/>
    <w:multiLevelType w:val="multilevel"/>
    <w:tmpl w:val="0CC2C232"/>
    <w:lvl w:ilvl="0">
      <w:numFmt w:val="decimal"/>
      <w:pStyle w:val="Heading1Numbered"/>
      <w:lvlText w:val="%1"/>
      <w:lvlJc w:val="left"/>
      <w:pPr>
        <w:tabs>
          <w:tab w:val="num" w:pos="0"/>
        </w:tabs>
        <w:ind w:left="0" w:firstLine="0"/>
      </w:pPr>
      <w:rPr>
        <w:rFonts w:hint="default"/>
      </w:rPr>
    </w:lvl>
    <w:lvl w:ilvl="1">
      <w:start w:val="1"/>
      <w:numFmt w:val="decimal"/>
      <w:pStyle w:val="Heading2Numbered"/>
      <w:lvlText w:val="%1.%2"/>
      <w:lvlJc w:val="left"/>
      <w:pPr>
        <w:tabs>
          <w:tab w:val="num" w:pos="0"/>
        </w:tabs>
        <w:ind w:left="0" w:firstLine="0"/>
      </w:pPr>
      <w:rPr>
        <w:rFonts w:hint="default"/>
      </w:rPr>
    </w:lvl>
    <w:lvl w:ilvl="2">
      <w:start w:val="1"/>
      <w:numFmt w:val="decimal"/>
      <w:pStyle w:val="Heading3Numbered"/>
      <w:lvlText w:val="%1.%2.%3"/>
      <w:lvlJc w:val="left"/>
      <w:pPr>
        <w:tabs>
          <w:tab w:val="num" w:pos="0"/>
        </w:tabs>
        <w:ind w:left="0" w:firstLine="0"/>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4" w15:restartNumberingAfterBreak="0">
    <w:nsid w:val="334B0544"/>
    <w:multiLevelType w:val="multilevel"/>
    <w:tmpl w:val="403460A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369072CA"/>
    <w:multiLevelType w:val="hybridMultilevel"/>
    <w:tmpl w:val="EB26D97C"/>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6" w15:restartNumberingAfterBreak="0">
    <w:nsid w:val="38DC165C"/>
    <w:multiLevelType w:val="hybridMultilevel"/>
    <w:tmpl w:val="3D5EC2DC"/>
    <w:lvl w:ilvl="0" w:tplc="0C090011">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3D0412CB"/>
    <w:multiLevelType w:val="multilevel"/>
    <w:tmpl w:val="535EBD4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8" w15:restartNumberingAfterBreak="0">
    <w:nsid w:val="3FB30254"/>
    <w:multiLevelType w:val="multilevel"/>
    <w:tmpl w:val="095A320A"/>
    <w:lvl w:ilvl="0">
      <w:start w:val="1"/>
      <w:numFmt w:val="bullet"/>
      <w:pStyle w:val="BulletL1"/>
      <w:lvlText w:val="•"/>
      <w:lvlJc w:val="left"/>
      <w:pPr>
        <w:tabs>
          <w:tab w:val="num" w:pos="0"/>
        </w:tabs>
        <w:ind w:left="360" w:hanging="360"/>
      </w:pPr>
      <w:rPr>
        <w:rFonts w:ascii="Arial" w:hAnsi="Arial" w:cs="Arial" w:hint="default"/>
        <w:color w:val="auto"/>
      </w:rPr>
    </w:lvl>
    <w:lvl w:ilvl="1">
      <w:start w:val="1"/>
      <w:numFmt w:val="bullet"/>
      <w:lvlText w:val="–"/>
      <w:lvlJc w:val="left"/>
      <w:pPr>
        <w:tabs>
          <w:tab w:val="num" w:pos="0"/>
        </w:tabs>
        <w:ind w:left="720" w:hanging="360"/>
      </w:pPr>
      <w:rPr>
        <w:rFonts w:ascii="Arial" w:hAnsi="Arial" w:cs="Arial" w:hint="default"/>
        <w:color w:val="auto"/>
      </w:rPr>
    </w:lvl>
    <w:lvl w:ilvl="2">
      <w:start w:val="1"/>
      <w:numFmt w:val="bullet"/>
      <w:lvlText w:val="–"/>
      <w:lvlJc w:val="left"/>
      <w:pPr>
        <w:tabs>
          <w:tab w:val="num" w:pos="0"/>
        </w:tabs>
        <w:ind w:left="1080" w:hanging="360"/>
      </w:pPr>
      <w:rPr>
        <w:rFonts w:ascii="Arial" w:hAnsi="Arial" w:cs="Arial" w:hint="default"/>
        <w:color w:val="auto"/>
      </w:rPr>
    </w:lvl>
    <w:lvl w:ilvl="3">
      <w:start w:val="1"/>
      <w:numFmt w:val="bullet"/>
      <w:lvlText w:val="–"/>
      <w:lvlJc w:val="left"/>
      <w:pPr>
        <w:tabs>
          <w:tab w:val="num" w:pos="0"/>
        </w:tabs>
        <w:ind w:left="1440" w:hanging="360"/>
      </w:pPr>
      <w:rPr>
        <w:rFonts w:ascii="Arial" w:hAnsi="Arial" w:cs="Arial" w:hint="default"/>
        <w:color w:val="auto"/>
      </w:rPr>
    </w:lvl>
    <w:lvl w:ilvl="4">
      <w:start w:val="1"/>
      <w:numFmt w:val="bullet"/>
      <w:lvlText w:val="–"/>
      <w:lvlJc w:val="left"/>
      <w:pPr>
        <w:tabs>
          <w:tab w:val="num" w:pos="0"/>
        </w:tabs>
        <w:ind w:left="1800" w:hanging="360"/>
      </w:pPr>
      <w:rPr>
        <w:rFonts w:ascii="Arial" w:hAnsi="Arial" w:cs="Arial" w:hint="default"/>
        <w:color w:val="auto"/>
      </w:rPr>
    </w:lvl>
    <w:lvl w:ilvl="5">
      <w:start w:val="1"/>
      <w:numFmt w:val="bullet"/>
      <w:lvlText w:val="–"/>
      <w:lvlJc w:val="left"/>
      <w:pPr>
        <w:tabs>
          <w:tab w:val="num" w:pos="0"/>
        </w:tabs>
        <w:ind w:left="2160" w:hanging="360"/>
      </w:pPr>
      <w:rPr>
        <w:rFonts w:ascii="Arial" w:hAnsi="Arial" w:cs="Arial" w:hint="default"/>
        <w:color w:val="auto"/>
      </w:rPr>
    </w:lvl>
    <w:lvl w:ilvl="6">
      <w:start w:val="1"/>
      <w:numFmt w:val="bullet"/>
      <w:lvlText w:val="–"/>
      <w:lvlJc w:val="left"/>
      <w:pPr>
        <w:tabs>
          <w:tab w:val="num" w:pos="0"/>
        </w:tabs>
        <w:ind w:left="2520" w:hanging="360"/>
      </w:pPr>
      <w:rPr>
        <w:rFonts w:ascii="Arial" w:hAnsi="Arial" w:cs="Arial" w:hint="default"/>
        <w:color w:val="auto"/>
      </w:rPr>
    </w:lvl>
    <w:lvl w:ilvl="7">
      <w:start w:val="1"/>
      <w:numFmt w:val="bullet"/>
      <w:lvlText w:val="–"/>
      <w:lvlJc w:val="left"/>
      <w:pPr>
        <w:tabs>
          <w:tab w:val="num" w:pos="0"/>
        </w:tabs>
        <w:ind w:left="2880" w:hanging="360"/>
      </w:pPr>
      <w:rPr>
        <w:rFonts w:ascii="Arial" w:hAnsi="Arial" w:cs="Arial" w:hint="default"/>
        <w:color w:val="auto"/>
      </w:rPr>
    </w:lvl>
    <w:lvl w:ilvl="8">
      <w:start w:val="1"/>
      <w:numFmt w:val="bullet"/>
      <w:lvlText w:val="–"/>
      <w:lvlJc w:val="left"/>
      <w:pPr>
        <w:tabs>
          <w:tab w:val="num" w:pos="0"/>
        </w:tabs>
        <w:ind w:left="3240" w:hanging="360"/>
      </w:pPr>
      <w:rPr>
        <w:rFonts w:ascii="Arial" w:hAnsi="Arial" w:cs="Arial" w:hint="default"/>
        <w:color w:val="auto"/>
      </w:rPr>
    </w:lvl>
  </w:abstractNum>
  <w:abstractNum w:abstractNumId="9" w15:restartNumberingAfterBreak="0">
    <w:nsid w:val="49E17D42"/>
    <w:multiLevelType w:val="multilevel"/>
    <w:tmpl w:val="403460A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0" w15:restartNumberingAfterBreak="0">
    <w:nsid w:val="52264BC4"/>
    <w:multiLevelType w:val="multilevel"/>
    <w:tmpl w:val="C31EF118"/>
    <w:lvl w:ilvl="0">
      <w:start w:val="1"/>
      <w:numFmt w:val="bullet"/>
      <w:pStyle w:val="NumberedBulletL1"/>
      <w:lvlText w:val="•"/>
      <w:lvlJc w:val="left"/>
      <w:pPr>
        <w:tabs>
          <w:tab w:val="num" w:pos="0"/>
        </w:tabs>
        <w:ind w:left="360" w:hanging="360"/>
      </w:pPr>
      <w:rPr>
        <w:rFonts w:ascii="Arial" w:hAnsi="Arial" w:cs="Arial" w:hint="default"/>
        <w:color w:val="auto"/>
      </w:rPr>
    </w:lvl>
    <w:lvl w:ilvl="1">
      <w:start w:val="1"/>
      <w:numFmt w:val="bullet"/>
      <w:lvlText w:val="–"/>
      <w:lvlJc w:val="left"/>
      <w:pPr>
        <w:tabs>
          <w:tab w:val="num" w:pos="0"/>
        </w:tabs>
        <w:ind w:left="720" w:hanging="360"/>
      </w:pPr>
      <w:rPr>
        <w:rFonts w:ascii="Arial" w:hAnsi="Arial" w:cs="Arial" w:hint="default"/>
        <w:color w:val="auto"/>
      </w:rPr>
    </w:lvl>
    <w:lvl w:ilvl="2">
      <w:start w:val="1"/>
      <w:numFmt w:val="bullet"/>
      <w:lvlText w:val="–"/>
      <w:lvlJc w:val="left"/>
      <w:pPr>
        <w:tabs>
          <w:tab w:val="num" w:pos="0"/>
        </w:tabs>
        <w:ind w:left="1080" w:hanging="360"/>
      </w:pPr>
      <w:rPr>
        <w:rFonts w:ascii="Arial" w:hAnsi="Arial" w:cs="Arial" w:hint="default"/>
        <w:color w:val="auto"/>
      </w:rPr>
    </w:lvl>
    <w:lvl w:ilvl="3">
      <w:start w:val="1"/>
      <w:numFmt w:val="bullet"/>
      <w:lvlText w:val="–"/>
      <w:lvlJc w:val="left"/>
      <w:pPr>
        <w:tabs>
          <w:tab w:val="num" w:pos="0"/>
        </w:tabs>
        <w:ind w:left="1440" w:hanging="360"/>
      </w:pPr>
      <w:rPr>
        <w:rFonts w:ascii="Arial" w:hAnsi="Arial" w:cs="Arial" w:hint="default"/>
        <w:color w:val="auto"/>
      </w:rPr>
    </w:lvl>
    <w:lvl w:ilvl="4">
      <w:start w:val="1"/>
      <w:numFmt w:val="bullet"/>
      <w:lvlText w:val="–"/>
      <w:lvlJc w:val="left"/>
      <w:pPr>
        <w:tabs>
          <w:tab w:val="num" w:pos="0"/>
        </w:tabs>
        <w:ind w:left="1800" w:hanging="360"/>
      </w:pPr>
      <w:rPr>
        <w:rFonts w:ascii="Arial" w:hAnsi="Arial" w:cs="Arial" w:hint="default"/>
        <w:color w:val="auto"/>
      </w:rPr>
    </w:lvl>
    <w:lvl w:ilvl="5">
      <w:start w:val="1"/>
      <w:numFmt w:val="bullet"/>
      <w:lvlText w:val="–"/>
      <w:lvlJc w:val="left"/>
      <w:pPr>
        <w:tabs>
          <w:tab w:val="num" w:pos="0"/>
        </w:tabs>
        <w:ind w:left="2160" w:hanging="360"/>
      </w:pPr>
      <w:rPr>
        <w:rFonts w:ascii="Arial" w:hAnsi="Arial" w:cs="Arial" w:hint="default"/>
        <w:color w:val="auto"/>
      </w:rPr>
    </w:lvl>
    <w:lvl w:ilvl="6">
      <w:start w:val="1"/>
      <w:numFmt w:val="bullet"/>
      <w:lvlText w:val="–"/>
      <w:lvlJc w:val="left"/>
      <w:pPr>
        <w:tabs>
          <w:tab w:val="num" w:pos="0"/>
        </w:tabs>
        <w:ind w:left="2520" w:hanging="360"/>
      </w:pPr>
      <w:rPr>
        <w:rFonts w:ascii="Arial" w:hAnsi="Arial" w:cs="Arial" w:hint="default"/>
        <w:color w:val="auto"/>
      </w:rPr>
    </w:lvl>
    <w:lvl w:ilvl="7">
      <w:start w:val="1"/>
      <w:numFmt w:val="bullet"/>
      <w:lvlText w:val="–"/>
      <w:lvlJc w:val="left"/>
      <w:pPr>
        <w:tabs>
          <w:tab w:val="num" w:pos="0"/>
        </w:tabs>
        <w:ind w:left="2880" w:hanging="360"/>
      </w:pPr>
      <w:rPr>
        <w:rFonts w:ascii="Arial" w:hAnsi="Arial" w:cs="Arial" w:hint="default"/>
        <w:color w:val="auto"/>
      </w:rPr>
    </w:lvl>
    <w:lvl w:ilvl="8">
      <w:start w:val="1"/>
      <w:numFmt w:val="bullet"/>
      <w:lvlText w:val="–"/>
      <w:lvlJc w:val="left"/>
      <w:pPr>
        <w:tabs>
          <w:tab w:val="num" w:pos="0"/>
        </w:tabs>
        <w:ind w:left="3240" w:hanging="360"/>
      </w:pPr>
      <w:rPr>
        <w:rFonts w:ascii="Arial" w:hAnsi="Arial" w:cs="Arial" w:hint="default"/>
        <w:color w:val="auto"/>
      </w:rPr>
    </w:lvl>
  </w:abstractNum>
  <w:abstractNum w:abstractNumId="11" w15:restartNumberingAfterBreak="0">
    <w:nsid w:val="54951D53"/>
    <w:multiLevelType w:val="multilevel"/>
    <w:tmpl w:val="720E230C"/>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2" w15:restartNumberingAfterBreak="0">
    <w:nsid w:val="58DD5C00"/>
    <w:multiLevelType w:val="multilevel"/>
    <w:tmpl w:val="745C493E"/>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3" w15:restartNumberingAfterBreak="0">
    <w:nsid w:val="5CCC59E1"/>
    <w:multiLevelType w:val="multilevel"/>
    <w:tmpl w:val="BE3801E6"/>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4" w15:restartNumberingAfterBreak="0">
    <w:nsid w:val="635E6056"/>
    <w:multiLevelType w:val="multilevel"/>
    <w:tmpl w:val="B21EDD5E"/>
    <w:styleLink w:val="Headings"/>
    <w:lvl w:ilvl="0">
      <w:start w:val="1"/>
      <w:numFmt w:val="decimal"/>
      <w:lvlText w:val="%1"/>
      <w:lvlJc w:val="left"/>
      <w:pPr>
        <w:ind w:left="360" w:hanging="360"/>
      </w:pPr>
    </w:lvl>
    <w:lvl w:ilvl="1">
      <w:start w:val="1"/>
      <w:numFmt w:val="decimal"/>
      <w:lvlText w:val="%1.%2"/>
      <w:lvlJc w:val="left"/>
      <w:pPr>
        <w:ind w:left="540" w:hanging="360"/>
      </w:pPr>
    </w:lvl>
    <w:lvl w:ilvl="2">
      <w:start w:val="1"/>
      <w:numFmt w:val="decimal"/>
      <w:lvlText w:val="%1.%2.%3"/>
      <w:lvlJc w:val="left"/>
      <w:pPr>
        <w:ind w:left="1080" w:hanging="360"/>
      </w:pPr>
    </w:lvl>
    <w:lvl w:ilvl="3">
      <w:start w:val="1"/>
      <w:numFmt w:val="decimal"/>
      <w:lvlText w:val="%1.%2.%3.%4"/>
      <w:lvlJc w:val="left"/>
      <w:pPr>
        <w:ind w:left="1440" w:hanging="360"/>
      </w:pPr>
    </w:lvl>
    <w:lvl w:ilvl="4">
      <w:start w:val="1"/>
      <w:numFmt w:val="decimal"/>
      <w:lvlText w:val="%1.%2.%3.%4.%5"/>
      <w:lvlJc w:val="left"/>
      <w:pPr>
        <w:ind w:left="1800" w:hanging="360"/>
      </w:pPr>
    </w:lvl>
    <w:lvl w:ilvl="5">
      <w:start w:val="1"/>
      <w:numFmt w:val="none"/>
      <w:lvlText w:val=""/>
      <w:lvlJc w:val="left"/>
      <w:pPr>
        <w:ind w:left="2160" w:hanging="360"/>
      </w:pPr>
    </w:lvl>
    <w:lvl w:ilvl="6">
      <w:start w:val="1"/>
      <w:numFmt w:val="none"/>
      <w:lvlText w:val=""/>
      <w:lvlJc w:val="left"/>
      <w:pPr>
        <w:ind w:left="2520" w:hanging="360"/>
      </w:pPr>
    </w:lvl>
    <w:lvl w:ilvl="7">
      <w:start w:val="1"/>
      <w:numFmt w:val="none"/>
      <w:lvlText w:val=""/>
      <w:lvlJc w:val="left"/>
      <w:pPr>
        <w:ind w:left="2880" w:hanging="360"/>
      </w:pPr>
    </w:lvl>
    <w:lvl w:ilvl="8">
      <w:start w:val="1"/>
      <w:numFmt w:val="none"/>
      <w:lvlText w:val=""/>
      <w:lvlJc w:val="left"/>
      <w:pPr>
        <w:ind w:left="3240" w:hanging="360"/>
      </w:pPr>
    </w:lvl>
  </w:abstractNum>
  <w:abstractNum w:abstractNumId="15" w15:restartNumberingAfterBreak="0">
    <w:nsid w:val="686B1493"/>
    <w:multiLevelType w:val="multilevel"/>
    <w:tmpl w:val="7D5238E4"/>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6" w15:restartNumberingAfterBreak="0">
    <w:nsid w:val="68A26A93"/>
    <w:multiLevelType w:val="multilevel"/>
    <w:tmpl w:val="BE3801E6"/>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7" w15:restartNumberingAfterBreak="0">
    <w:nsid w:val="68FF5560"/>
    <w:multiLevelType w:val="hybridMultilevel"/>
    <w:tmpl w:val="07EC278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8" w15:restartNumberingAfterBreak="0">
    <w:nsid w:val="70D278C6"/>
    <w:multiLevelType w:val="hybridMultilevel"/>
    <w:tmpl w:val="1F24FDC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9" w15:restartNumberingAfterBreak="0">
    <w:nsid w:val="736C5116"/>
    <w:multiLevelType w:val="multilevel"/>
    <w:tmpl w:val="FDDEBA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4D969E2"/>
    <w:multiLevelType w:val="multilevel"/>
    <w:tmpl w:val="7D5238E4"/>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21" w15:restartNumberingAfterBreak="0">
    <w:nsid w:val="79063736"/>
    <w:multiLevelType w:val="hybridMultilevel"/>
    <w:tmpl w:val="A672DBF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22" w15:restartNumberingAfterBreak="0">
    <w:nsid w:val="7F484C89"/>
    <w:multiLevelType w:val="hybridMultilevel"/>
    <w:tmpl w:val="CB18EE86"/>
    <w:lvl w:ilvl="0" w:tplc="54104A76">
      <w:start w:val="1"/>
      <w:numFmt w:val="bullet"/>
      <w:lvlText w:val="•"/>
      <w:lvlJc w:val="left"/>
      <w:pPr>
        <w:ind w:left="540" w:hanging="320"/>
      </w:pPr>
    </w:lvl>
    <w:lvl w:ilvl="1" w:tplc="0F42B0D6">
      <w:numFmt w:val="decimal"/>
      <w:lvlText w:val=""/>
      <w:lvlJc w:val="left"/>
    </w:lvl>
    <w:lvl w:ilvl="2" w:tplc="884C487A">
      <w:numFmt w:val="decimal"/>
      <w:lvlText w:val=""/>
      <w:lvlJc w:val="left"/>
    </w:lvl>
    <w:lvl w:ilvl="3" w:tplc="C0F8A29C">
      <w:numFmt w:val="decimal"/>
      <w:lvlText w:val=""/>
      <w:lvlJc w:val="left"/>
    </w:lvl>
    <w:lvl w:ilvl="4" w:tplc="C6D8D9C6">
      <w:numFmt w:val="decimal"/>
      <w:lvlText w:val=""/>
      <w:lvlJc w:val="left"/>
    </w:lvl>
    <w:lvl w:ilvl="5" w:tplc="2902A088">
      <w:numFmt w:val="decimal"/>
      <w:lvlText w:val=""/>
      <w:lvlJc w:val="left"/>
    </w:lvl>
    <w:lvl w:ilvl="6" w:tplc="EAA426DC">
      <w:numFmt w:val="decimal"/>
      <w:lvlText w:val=""/>
      <w:lvlJc w:val="left"/>
    </w:lvl>
    <w:lvl w:ilvl="7" w:tplc="2604B6A6">
      <w:numFmt w:val="decimal"/>
      <w:lvlText w:val=""/>
      <w:lvlJc w:val="left"/>
    </w:lvl>
    <w:lvl w:ilvl="8" w:tplc="86C22F38">
      <w:numFmt w:val="decimal"/>
      <w:lvlText w:val=""/>
      <w:lvlJc w:val="left"/>
    </w:lvl>
  </w:abstractNum>
  <w:num w:numId="1" w16cid:durableId="253562429">
    <w:abstractNumId w:val="3"/>
  </w:num>
  <w:num w:numId="2" w16cid:durableId="1252468866">
    <w:abstractNumId w:val="10"/>
  </w:num>
  <w:num w:numId="3" w16cid:durableId="1373774163">
    <w:abstractNumId w:val="8"/>
  </w:num>
  <w:num w:numId="4" w16cid:durableId="984310045">
    <w:abstractNumId w:val="1"/>
  </w:num>
  <w:num w:numId="5" w16cid:durableId="995845146">
    <w:abstractNumId w:val="20"/>
  </w:num>
  <w:num w:numId="6" w16cid:durableId="530191151">
    <w:abstractNumId w:val="4"/>
  </w:num>
  <w:num w:numId="7" w16cid:durableId="1659728927">
    <w:abstractNumId w:val="16"/>
  </w:num>
  <w:num w:numId="8" w16cid:durableId="282807434">
    <w:abstractNumId w:val="11"/>
  </w:num>
  <w:num w:numId="9" w16cid:durableId="817113281">
    <w:abstractNumId w:val="12"/>
  </w:num>
  <w:num w:numId="10" w16cid:durableId="1484850594">
    <w:abstractNumId w:val="7"/>
  </w:num>
  <w:num w:numId="11" w16cid:durableId="2080908296">
    <w:abstractNumId w:val="19"/>
  </w:num>
  <w:num w:numId="12" w16cid:durableId="844395967">
    <w:abstractNumId w:val="20"/>
  </w:num>
  <w:num w:numId="13" w16cid:durableId="1469202145">
    <w:abstractNumId w:val="4"/>
  </w:num>
  <w:num w:numId="14" w16cid:durableId="953093519">
    <w:abstractNumId w:val="16"/>
  </w:num>
  <w:num w:numId="15" w16cid:durableId="68694079">
    <w:abstractNumId w:val="15"/>
  </w:num>
  <w:num w:numId="16" w16cid:durableId="492767847">
    <w:abstractNumId w:val="9"/>
  </w:num>
  <w:num w:numId="17" w16cid:durableId="1142843330">
    <w:abstractNumId w:val="13"/>
  </w:num>
  <w:num w:numId="18" w16cid:durableId="1617902721">
    <w:abstractNumId w:val="17"/>
  </w:num>
  <w:num w:numId="19" w16cid:durableId="1274481969">
    <w:abstractNumId w:val="5"/>
  </w:num>
  <w:num w:numId="20" w16cid:durableId="1250119628">
    <w:abstractNumId w:val="21"/>
  </w:num>
  <w:num w:numId="21" w16cid:durableId="1982344307">
    <w:abstractNumId w:val="18"/>
  </w:num>
  <w:num w:numId="22" w16cid:durableId="1524441610">
    <w:abstractNumId w:val="2"/>
  </w:num>
  <w:num w:numId="23" w16cid:durableId="186868592">
    <w:abstractNumId w:val="6"/>
  </w:num>
  <w:num w:numId="24" w16cid:durableId="680205980">
    <w:abstractNumId w:val="0"/>
  </w:num>
  <w:num w:numId="25" w16cid:durableId="1768883034">
    <w:abstractNumId w:val="14"/>
  </w:num>
  <w:num w:numId="26" w16cid:durableId="338195397">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013"/>
    <w:rsid w:val="0000265F"/>
    <w:rsid w:val="000051A8"/>
    <w:rsid w:val="00020FCE"/>
    <w:rsid w:val="000212C8"/>
    <w:rsid w:val="00025AB2"/>
    <w:rsid w:val="00035F85"/>
    <w:rsid w:val="000421BE"/>
    <w:rsid w:val="0005107C"/>
    <w:rsid w:val="00057588"/>
    <w:rsid w:val="00070A66"/>
    <w:rsid w:val="000726E8"/>
    <w:rsid w:val="00073703"/>
    <w:rsid w:val="0008149C"/>
    <w:rsid w:val="00093B02"/>
    <w:rsid w:val="000A64CF"/>
    <w:rsid w:val="000B6927"/>
    <w:rsid w:val="000B72CA"/>
    <w:rsid w:val="000D722C"/>
    <w:rsid w:val="000E14CE"/>
    <w:rsid w:val="000E403F"/>
    <w:rsid w:val="0010166F"/>
    <w:rsid w:val="00103CC0"/>
    <w:rsid w:val="001169F4"/>
    <w:rsid w:val="0012537E"/>
    <w:rsid w:val="001268A2"/>
    <w:rsid w:val="00132361"/>
    <w:rsid w:val="0013544E"/>
    <w:rsid w:val="00154E9A"/>
    <w:rsid w:val="00160B36"/>
    <w:rsid w:val="00162650"/>
    <w:rsid w:val="001645B6"/>
    <w:rsid w:val="00184079"/>
    <w:rsid w:val="001914C0"/>
    <w:rsid w:val="00194B94"/>
    <w:rsid w:val="00196F14"/>
    <w:rsid w:val="001A1B18"/>
    <w:rsid w:val="001B4423"/>
    <w:rsid w:val="001B7E54"/>
    <w:rsid w:val="001C2B0D"/>
    <w:rsid w:val="001D41C2"/>
    <w:rsid w:val="001E2D6C"/>
    <w:rsid w:val="00201F1B"/>
    <w:rsid w:val="002135E3"/>
    <w:rsid w:val="00221F1C"/>
    <w:rsid w:val="002317EC"/>
    <w:rsid w:val="00240E6E"/>
    <w:rsid w:val="0024672F"/>
    <w:rsid w:val="00254112"/>
    <w:rsid w:val="00256456"/>
    <w:rsid w:val="00262601"/>
    <w:rsid w:val="002664FA"/>
    <w:rsid w:val="0028765F"/>
    <w:rsid w:val="00291CE1"/>
    <w:rsid w:val="002C1C25"/>
    <w:rsid w:val="002C6BB3"/>
    <w:rsid w:val="002E726C"/>
    <w:rsid w:val="003365EA"/>
    <w:rsid w:val="0033685C"/>
    <w:rsid w:val="00353AE1"/>
    <w:rsid w:val="00356F9A"/>
    <w:rsid w:val="003A486B"/>
    <w:rsid w:val="003C0850"/>
    <w:rsid w:val="003C2B09"/>
    <w:rsid w:val="003C4F86"/>
    <w:rsid w:val="003E62DE"/>
    <w:rsid w:val="003F4778"/>
    <w:rsid w:val="003F6ABF"/>
    <w:rsid w:val="00403B6A"/>
    <w:rsid w:val="00410345"/>
    <w:rsid w:val="00411BFC"/>
    <w:rsid w:val="0042192E"/>
    <w:rsid w:val="00435BE3"/>
    <w:rsid w:val="00442CF1"/>
    <w:rsid w:val="0044577B"/>
    <w:rsid w:val="004B2CF4"/>
    <w:rsid w:val="004B3FA6"/>
    <w:rsid w:val="004B52D0"/>
    <w:rsid w:val="004C465B"/>
    <w:rsid w:val="004C5CA9"/>
    <w:rsid w:val="004D2A6A"/>
    <w:rsid w:val="004D687C"/>
    <w:rsid w:val="004D6E31"/>
    <w:rsid w:val="004E45B4"/>
    <w:rsid w:val="004E623E"/>
    <w:rsid w:val="004E7E96"/>
    <w:rsid w:val="004E7F42"/>
    <w:rsid w:val="0050397D"/>
    <w:rsid w:val="005157BB"/>
    <w:rsid w:val="00526212"/>
    <w:rsid w:val="0053047F"/>
    <w:rsid w:val="00535300"/>
    <w:rsid w:val="005635BB"/>
    <w:rsid w:val="00566A46"/>
    <w:rsid w:val="0058242C"/>
    <w:rsid w:val="005944A9"/>
    <w:rsid w:val="005A0A93"/>
    <w:rsid w:val="005C0255"/>
    <w:rsid w:val="005E3E9F"/>
    <w:rsid w:val="005F1667"/>
    <w:rsid w:val="00601272"/>
    <w:rsid w:val="0060285D"/>
    <w:rsid w:val="006121C6"/>
    <w:rsid w:val="006175F7"/>
    <w:rsid w:val="0062458A"/>
    <w:rsid w:val="006333EE"/>
    <w:rsid w:val="00662C6E"/>
    <w:rsid w:val="00670C60"/>
    <w:rsid w:val="006764A9"/>
    <w:rsid w:val="006E1AD7"/>
    <w:rsid w:val="00727931"/>
    <w:rsid w:val="00730A2A"/>
    <w:rsid w:val="0073547A"/>
    <w:rsid w:val="00743F54"/>
    <w:rsid w:val="007553CA"/>
    <w:rsid w:val="0075674D"/>
    <w:rsid w:val="00765AC3"/>
    <w:rsid w:val="00771B92"/>
    <w:rsid w:val="00776B52"/>
    <w:rsid w:val="007928F4"/>
    <w:rsid w:val="007965DF"/>
    <w:rsid w:val="007B6B9B"/>
    <w:rsid w:val="007B7585"/>
    <w:rsid w:val="007C754C"/>
    <w:rsid w:val="007D2D8B"/>
    <w:rsid w:val="007D471E"/>
    <w:rsid w:val="007D59CC"/>
    <w:rsid w:val="007D6FC1"/>
    <w:rsid w:val="007F371E"/>
    <w:rsid w:val="00835A28"/>
    <w:rsid w:val="00843318"/>
    <w:rsid w:val="00852B62"/>
    <w:rsid w:val="0086454E"/>
    <w:rsid w:val="00872AF0"/>
    <w:rsid w:val="0088769A"/>
    <w:rsid w:val="008A2147"/>
    <w:rsid w:val="008A7A56"/>
    <w:rsid w:val="008A7C99"/>
    <w:rsid w:val="008B491A"/>
    <w:rsid w:val="008B7ED2"/>
    <w:rsid w:val="008D1441"/>
    <w:rsid w:val="008D1F3E"/>
    <w:rsid w:val="008D3C50"/>
    <w:rsid w:val="008E13F0"/>
    <w:rsid w:val="008E4521"/>
    <w:rsid w:val="009156E6"/>
    <w:rsid w:val="00917F98"/>
    <w:rsid w:val="0092238B"/>
    <w:rsid w:val="00932E1A"/>
    <w:rsid w:val="009361B1"/>
    <w:rsid w:val="00941897"/>
    <w:rsid w:val="00953286"/>
    <w:rsid w:val="00963BF6"/>
    <w:rsid w:val="00965D77"/>
    <w:rsid w:val="00966910"/>
    <w:rsid w:val="00987F17"/>
    <w:rsid w:val="009A4C1F"/>
    <w:rsid w:val="009B0A0C"/>
    <w:rsid w:val="009B7448"/>
    <w:rsid w:val="009C5FE3"/>
    <w:rsid w:val="009E2242"/>
    <w:rsid w:val="009E5AD1"/>
    <w:rsid w:val="00A01D0C"/>
    <w:rsid w:val="00A22346"/>
    <w:rsid w:val="00A27CF4"/>
    <w:rsid w:val="00A31AE7"/>
    <w:rsid w:val="00A559D2"/>
    <w:rsid w:val="00A6771F"/>
    <w:rsid w:val="00A70854"/>
    <w:rsid w:val="00A73AE8"/>
    <w:rsid w:val="00A7759C"/>
    <w:rsid w:val="00A879B4"/>
    <w:rsid w:val="00A87E16"/>
    <w:rsid w:val="00A9375E"/>
    <w:rsid w:val="00A94978"/>
    <w:rsid w:val="00AA04FF"/>
    <w:rsid w:val="00AB4E10"/>
    <w:rsid w:val="00AC09D8"/>
    <w:rsid w:val="00AC1610"/>
    <w:rsid w:val="00AD1836"/>
    <w:rsid w:val="00AD7E06"/>
    <w:rsid w:val="00AE59DD"/>
    <w:rsid w:val="00AF4D10"/>
    <w:rsid w:val="00B03658"/>
    <w:rsid w:val="00B03A9C"/>
    <w:rsid w:val="00B13942"/>
    <w:rsid w:val="00B17194"/>
    <w:rsid w:val="00B6721F"/>
    <w:rsid w:val="00BB15FA"/>
    <w:rsid w:val="00BD1B44"/>
    <w:rsid w:val="00BE56F5"/>
    <w:rsid w:val="00BE7A83"/>
    <w:rsid w:val="00BF1B5E"/>
    <w:rsid w:val="00BF2FA3"/>
    <w:rsid w:val="00C10AB2"/>
    <w:rsid w:val="00C1287A"/>
    <w:rsid w:val="00C20D78"/>
    <w:rsid w:val="00C2491F"/>
    <w:rsid w:val="00C33144"/>
    <w:rsid w:val="00C46050"/>
    <w:rsid w:val="00C47846"/>
    <w:rsid w:val="00C54428"/>
    <w:rsid w:val="00C56287"/>
    <w:rsid w:val="00C56EDD"/>
    <w:rsid w:val="00C73320"/>
    <w:rsid w:val="00C7476E"/>
    <w:rsid w:val="00C753F5"/>
    <w:rsid w:val="00C8565B"/>
    <w:rsid w:val="00C93FDE"/>
    <w:rsid w:val="00CA1F8A"/>
    <w:rsid w:val="00CA299E"/>
    <w:rsid w:val="00CA503F"/>
    <w:rsid w:val="00CC0D50"/>
    <w:rsid w:val="00CE3885"/>
    <w:rsid w:val="00D01B82"/>
    <w:rsid w:val="00D216C1"/>
    <w:rsid w:val="00D21A55"/>
    <w:rsid w:val="00D2325C"/>
    <w:rsid w:val="00D508E6"/>
    <w:rsid w:val="00D8045A"/>
    <w:rsid w:val="00DA0EEB"/>
    <w:rsid w:val="00DB5CCE"/>
    <w:rsid w:val="00DD2205"/>
    <w:rsid w:val="00DD6817"/>
    <w:rsid w:val="00DD766F"/>
    <w:rsid w:val="00DE22F2"/>
    <w:rsid w:val="00DF132F"/>
    <w:rsid w:val="00DF7812"/>
    <w:rsid w:val="00E026BC"/>
    <w:rsid w:val="00E1601B"/>
    <w:rsid w:val="00E31E85"/>
    <w:rsid w:val="00E3554C"/>
    <w:rsid w:val="00E378D6"/>
    <w:rsid w:val="00E4144B"/>
    <w:rsid w:val="00E41AD3"/>
    <w:rsid w:val="00E44974"/>
    <w:rsid w:val="00E6249E"/>
    <w:rsid w:val="00E748FB"/>
    <w:rsid w:val="00E74ED6"/>
    <w:rsid w:val="00E87570"/>
    <w:rsid w:val="00E947EC"/>
    <w:rsid w:val="00EB1E2A"/>
    <w:rsid w:val="00EC1E09"/>
    <w:rsid w:val="00EC35CA"/>
    <w:rsid w:val="00ED2D68"/>
    <w:rsid w:val="00EF2D7C"/>
    <w:rsid w:val="00EF6531"/>
    <w:rsid w:val="00F047AC"/>
    <w:rsid w:val="00F0533E"/>
    <w:rsid w:val="00F05B64"/>
    <w:rsid w:val="00F1323E"/>
    <w:rsid w:val="00F24500"/>
    <w:rsid w:val="00F36EE0"/>
    <w:rsid w:val="00F5071C"/>
    <w:rsid w:val="00F50865"/>
    <w:rsid w:val="00F65D89"/>
    <w:rsid w:val="00F8493B"/>
    <w:rsid w:val="00F87F71"/>
    <w:rsid w:val="00F92E88"/>
    <w:rsid w:val="00FA3CFD"/>
    <w:rsid w:val="00FB10C5"/>
    <w:rsid w:val="00FB2CEF"/>
    <w:rsid w:val="00FB6D88"/>
    <w:rsid w:val="00FC1013"/>
    <w:rsid w:val="00FE24AA"/>
    <w:rsid w:val="00FE28C0"/>
    <w:rsid w:val="00FE68DA"/>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4FBF8"/>
  <w15:docId w15:val="{8B23AFC0-DD17-41F9-9DBA-8FAEA66F9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31"/>
    <w:rPr>
      <w:sz w:val="20"/>
    </w:rPr>
  </w:style>
  <w:style w:type="paragraph" w:styleId="Heading1">
    <w:name w:val="heading 1"/>
    <w:basedOn w:val="Normal"/>
    <w:next w:val="Normal"/>
    <w:link w:val="Heading1Char"/>
    <w:uiPriority w:val="9"/>
    <w:qFormat/>
    <w:rsid w:val="00C5432C"/>
    <w:pPr>
      <w:keepNext/>
      <w:keepLines/>
      <w:spacing w:before="120" w:after="60"/>
      <w:contextualSpacing/>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8B7ED2"/>
    <w:pPr>
      <w:keepNext/>
      <w:keepLines/>
      <w:spacing w:after="60"/>
      <w:ind w:left="72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unhideWhenUsed/>
    <w:qFormat/>
    <w:rsid w:val="00CE74A2"/>
    <w:pPr>
      <w:keepNext/>
      <w:keepLines/>
      <w:spacing w:after="60"/>
      <w:outlineLvl w:val="2"/>
    </w:pPr>
    <w:rPr>
      <w:rFonts w:asciiTheme="majorHAnsi" w:eastAsiaTheme="majorEastAsia" w:hAnsiTheme="majorHAnsi" w:cstheme="majorBidi"/>
      <w:color w:val="000000" w:themeColor="text1"/>
    </w:rPr>
  </w:style>
  <w:style w:type="paragraph" w:styleId="Heading4">
    <w:name w:val="heading 4"/>
    <w:basedOn w:val="Normal"/>
    <w:next w:val="Normal"/>
    <w:link w:val="Heading4Char"/>
    <w:uiPriority w:val="9"/>
    <w:semiHidden/>
    <w:unhideWhenUsed/>
    <w:qFormat/>
    <w:rsid w:val="009A6302"/>
    <w:pPr>
      <w:keepNext/>
      <w:keepLines/>
      <w:spacing w:after="60"/>
      <w:outlineLvl w:val="3"/>
    </w:pPr>
    <w:rPr>
      <w:rFonts w:asciiTheme="majorHAnsi" w:eastAsiaTheme="majorEastAsia" w:hAnsiTheme="majorHAnsi"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F2EC5"/>
    <w:rPr>
      <w:rFonts w:cs="Times New Roman (Body CS)"/>
      <w:sz w:val="14"/>
    </w:rPr>
  </w:style>
  <w:style w:type="character" w:customStyle="1" w:styleId="FooterChar">
    <w:name w:val="Footer Char"/>
    <w:basedOn w:val="DefaultParagraphFont"/>
    <w:link w:val="Footer"/>
    <w:uiPriority w:val="99"/>
    <w:qFormat/>
    <w:rsid w:val="00085C32"/>
    <w:rPr>
      <w:rFonts w:cs="Times New Roman (Body CS)"/>
      <w:caps/>
      <w:sz w:val="14"/>
    </w:rPr>
  </w:style>
  <w:style w:type="character" w:customStyle="1" w:styleId="Heading1Char">
    <w:name w:val="Heading 1 Char"/>
    <w:basedOn w:val="DefaultParagraphFont"/>
    <w:link w:val="Heading1"/>
    <w:uiPriority w:val="9"/>
    <w:qFormat/>
    <w:rsid w:val="00C5432C"/>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qFormat/>
    <w:rsid w:val="008B7ED2"/>
    <w:rPr>
      <w:rFonts w:asciiTheme="majorHAnsi" w:eastAsiaTheme="majorEastAsia" w:hAnsiTheme="majorHAnsi" w:cstheme="majorBidi"/>
      <w:b/>
      <w:color w:val="000000" w:themeColor="text1"/>
      <w:sz w:val="20"/>
      <w:szCs w:val="26"/>
    </w:rPr>
  </w:style>
  <w:style w:type="character" w:customStyle="1" w:styleId="Heading3Char">
    <w:name w:val="Heading 3 Char"/>
    <w:basedOn w:val="DefaultParagraphFont"/>
    <w:link w:val="Heading3"/>
    <w:uiPriority w:val="9"/>
    <w:qFormat/>
    <w:rsid w:val="00CE74A2"/>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qFormat/>
    <w:rsid w:val="009A6302"/>
    <w:rPr>
      <w:rFonts w:asciiTheme="majorHAnsi" w:eastAsiaTheme="majorEastAsia" w:hAnsiTheme="majorHAnsi" w:cstheme="majorBidi"/>
      <w:i/>
      <w:iCs/>
      <w:color w:val="000000" w:themeColor="text1"/>
      <w:sz w:val="20"/>
    </w:rPr>
  </w:style>
  <w:style w:type="character" w:styleId="Hyperlink">
    <w:name w:val="Hyperlink"/>
    <w:basedOn w:val="DefaultParagraphFont"/>
    <w:uiPriority w:val="99"/>
    <w:unhideWhenUsed/>
    <w:rsid w:val="00C65701"/>
    <w:rPr>
      <w:color w:val="000000" w:themeColor="text1"/>
      <w:u w:val="single"/>
    </w:rPr>
  </w:style>
  <w:style w:type="character" w:styleId="PageNumber">
    <w:name w:val="page number"/>
    <w:basedOn w:val="DefaultParagraphFont"/>
    <w:uiPriority w:val="99"/>
    <w:semiHidden/>
    <w:unhideWhenUsed/>
    <w:rsid w:val="00CC2E6E"/>
  </w:style>
  <w:style w:type="character" w:customStyle="1" w:styleId="SubtitleChar">
    <w:name w:val="Subtitle Char"/>
    <w:basedOn w:val="DefaultParagraphFont"/>
    <w:link w:val="Subtitle"/>
    <w:uiPriority w:val="11"/>
    <w:qFormat/>
    <w:rsid w:val="004D6E31"/>
    <w:rPr>
      <w:rFonts w:ascii="Arial Bold" w:eastAsiaTheme="minorEastAsia" w:hAnsi="Arial Bold"/>
      <w:b/>
      <w:caps/>
      <w:spacing w:val="15"/>
      <w:sz w:val="22"/>
      <w:szCs w:val="22"/>
      <w:shd w:val="clear" w:color="auto" w:fill="AE002F" w:themeFill="background2"/>
      <w:lang w:val="en-AU"/>
    </w:rPr>
  </w:style>
  <w:style w:type="character" w:customStyle="1" w:styleId="TableHeadingChar">
    <w:name w:val="Table Heading Char"/>
    <w:basedOn w:val="DefaultParagraphFont"/>
    <w:link w:val="TableHeading"/>
    <w:qFormat/>
    <w:rsid w:val="00A63228"/>
    <w:rPr>
      <w:rFonts w:ascii="Arial Bold" w:hAnsi="Arial Bold"/>
      <w:bCs/>
      <w:sz w:val="18"/>
      <w:szCs w:val="22"/>
      <w:lang w:val="en-AU"/>
    </w:rPr>
  </w:style>
  <w:style w:type="character" w:customStyle="1" w:styleId="TableTextChar">
    <w:name w:val="Table Text Char"/>
    <w:basedOn w:val="DefaultParagraphFont"/>
    <w:link w:val="TableText"/>
    <w:qFormat/>
    <w:rsid w:val="009171AE"/>
    <w:rPr>
      <w:rFonts w:ascii="Arial" w:hAnsi="Arial"/>
      <w:sz w:val="18"/>
      <w:szCs w:val="22"/>
      <w:lang w:val="en-AU" w:eastAsia="en-AU"/>
    </w:rPr>
  </w:style>
  <w:style w:type="character" w:styleId="CommentReference">
    <w:name w:val="annotation reference"/>
    <w:basedOn w:val="DefaultParagraphFont"/>
    <w:uiPriority w:val="99"/>
    <w:semiHidden/>
    <w:unhideWhenUsed/>
    <w:qFormat/>
    <w:rsid w:val="000B368B"/>
    <w:rPr>
      <w:sz w:val="16"/>
      <w:szCs w:val="16"/>
    </w:rPr>
  </w:style>
  <w:style w:type="character" w:customStyle="1" w:styleId="CommentTextChar">
    <w:name w:val="Comment Text Char"/>
    <w:basedOn w:val="DefaultParagraphFont"/>
    <w:link w:val="CommentText"/>
    <w:uiPriority w:val="99"/>
    <w:qFormat/>
    <w:rsid w:val="000B368B"/>
    <w:rPr>
      <w:rFonts w:ascii="Arial" w:hAnsi="Arial" w:cs="Arial"/>
      <w:sz w:val="20"/>
      <w:szCs w:val="20"/>
      <w:lang w:val="en-AU"/>
    </w:rPr>
  </w:style>
  <w:style w:type="character" w:styleId="Strong">
    <w:name w:val="Strong"/>
    <w:basedOn w:val="DefaultParagraphFont"/>
    <w:uiPriority w:val="22"/>
    <w:qFormat/>
    <w:rsid w:val="006B0811"/>
    <w:rPr>
      <w:b/>
      <w:bCs/>
    </w:rPr>
  </w:style>
  <w:style w:type="character" w:styleId="Emphasis">
    <w:name w:val="Emphasis"/>
    <w:basedOn w:val="DefaultParagraphFont"/>
    <w:uiPriority w:val="20"/>
    <w:qFormat/>
    <w:rsid w:val="003E1451"/>
    <w:rPr>
      <w:i/>
      <w:iCs/>
    </w:rPr>
  </w:style>
  <w:style w:type="character" w:customStyle="1" w:styleId="sr-only">
    <w:name w:val="sr-only"/>
    <w:basedOn w:val="DefaultParagraphFont"/>
    <w:qFormat/>
    <w:rsid w:val="00191BEE"/>
  </w:style>
  <w:style w:type="character" w:customStyle="1" w:styleId="NormalNumberedtextChar">
    <w:name w:val="Normal: Numbered text_ Char"/>
    <w:basedOn w:val="DefaultParagraphFont"/>
    <w:link w:val="NormalNumberedtext"/>
    <w:qFormat/>
    <w:rsid w:val="00C22FCF"/>
    <w:rPr>
      <w:sz w:val="20"/>
      <w:lang w:val="en-AU"/>
    </w:rPr>
  </w:style>
  <w:style w:type="character" w:styleId="PlaceholderText">
    <w:name w:val="Placeholder Text"/>
    <w:basedOn w:val="DefaultParagraphFont"/>
    <w:uiPriority w:val="99"/>
    <w:semiHidden/>
    <w:qFormat/>
    <w:rsid w:val="0056355F"/>
    <w:rPr>
      <w:color w:val="666666"/>
    </w:rPr>
  </w:style>
  <w:style w:type="character" w:customStyle="1" w:styleId="CommentSubjectChar">
    <w:name w:val="Comment Subject Char"/>
    <w:basedOn w:val="CommentTextChar"/>
    <w:link w:val="CommentSubject"/>
    <w:uiPriority w:val="99"/>
    <w:semiHidden/>
    <w:qFormat/>
    <w:rsid w:val="00E374A8"/>
    <w:rPr>
      <w:rFonts w:ascii="Arial" w:hAnsi="Arial" w:cs="Arial"/>
      <w:b/>
      <w:bCs/>
      <w:sz w:val="20"/>
      <w:szCs w:val="20"/>
      <w:lang w:val="en-AU"/>
    </w:rPr>
  </w:style>
  <w:style w:type="character" w:customStyle="1" w:styleId="AutomatedProjectNameChar">
    <w:name w:val="Automated Project Name Char"/>
    <w:basedOn w:val="DefaultParagraphFont"/>
    <w:link w:val="AutomatedProjectName"/>
    <w:qFormat/>
    <w:rsid w:val="008B5BDD"/>
    <w:rPr>
      <w:sz w:val="28"/>
      <w:szCs w:val="2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customStyle="1" w:styleId="BulletL1">
    <w:name w:val="Bullet: L1_"/>
    <w:basedOn w:val="Normal"/>
    <w:qFormat/>
    <w:rsid w:val="00551909"/>
    <w:pPr>
      <w:numPr>
        <w:numId w:val="3"/>
      </w:numPr>
      <w:ind w:left="170" w:hanging="170"/>
    </w:pPr>
  </w:style>
  <w:style w:type="paragraph" w:customStyle="1" w:styleId="BulletL2">
    <w:name w:val="Bullet: L2_"/>
    <w:basedOn w:val="BulletL1"/>
    <w:qFormat/>
    <w:rsid w:val="00551909"/>
    <w:pPr>
      <w:ind w:left="397" w:hanging="227"/>
    </w:pPr>
  </w:style>
  <w:style w:type="paragraph" w:customStyle="1" w:styleId="BulletL3">
    <w:name w:val="Bullet: L3_"/>
    <w:basedOn w:val="BulletL2"/>
    <w:qFormat/>
    <w:rsid w:val="00871606"/>
    <w:pPr>
      <w:ind w:left="624"/>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EF2EC5"/>
    <w:pPr>
      <w:tabs>
        <w:tab w:val="right" w:pos="9639"/>
      </w:tabs>
      <w:spacing w:line="280" w:lineRule="auto"/>
    </w:pPr>
    <w:rPr>
      <w:rFonts w:cs="Times New Roman (Body CS)"/>
      <w:sz w:val="14"/>
    </w:rPr>
  </w:style>
  <w:style w:type="paragraph" w:styleId="Footer">
    <w:name w:val="footer"/>
    <w:basedOn w:val="Normal"/>
    <w:link w:val="FooterChar"/>
    <w:uiPriority w:val="99"/>
    <w:unhideWhenUsed/>
    <w:rsid w:val="00085C32"/>
    <w:pPr>
      <w:tabs>
        <w:tab w:val="center" w:pos="4513"/>
        <w:tab w:val="right" w:pos="9026"/>
      </w:tabs>
      <w:jc w:val="center"/>
    </w:pPr>
    <w:rPr>
      <w:rFonts w:cs="Times New Roman (Body CS)"/>
      <w:caps/>
      <w:sz w:val="14"/>
    </w:rPr>
  </w:style>
  <w:style w:type="paragraph" w:customStyle="1" w:styleId="FrontcoverSubheading">
    <w:name w:val="Front cover: Subheading_"/>
    <w:basedOn w:val="Normal"/>
    <w:qFormat/>
    <w:rsid w:val="00300ACE"/>
    <w:pPr>
      <w:spacing w:before="120"/>
    </w:pPr>
    <w:rPr>
      <w:sz w:val="32"/>
      <w:szCs w:val="32"/>
    </w:rPr>
  </w:style>
  <w:style w:type="paragraph" w:styleId="ListParagraph">
    <w:name w:val="List Paragraph"/>
    <w:basedOn w:val="Normal"/>
    <w:qFormat/>
    <w:rsid w:val="00AC5179"/>
    <w:pPr>
      <w:ind w:left="720"/>
      <w:contextualSpacing/>
    </w:pPr>
  </w:style>
  <w:style w:type="paragraph" w:customStyle="1" w:styleId="FrontcoverHeading">
    <w:name w:val="Front cover: Heading_"/>
    <w:basedOn w:val="FrontCoverHeading0"/>
    <w:next w:val="Normal"/>
    <w:qFormat/>
    <w:rsid w:val="00FE28C0"/>
  </w:style>
  <w:style w:type="paragraph" w:customStyle="1" w:styleId="Introtext">
    <w:name w:val="Intro text_"/>
    <w:basedOn w:val="Normal"/>
    <w:next w:val="Normal"/>
    <w:qFormat/>
    <w:rsid w:val="005B4F37"/>
    <w:rPr>
      <w:rFonts w:ascii="Arial" w:hAnsi="Arial" w:cs="Times New Roman (Body CS)"/>
      <w:color w:val="000000" w:themeColor="text1"/>
      <w:sz w:val="24"/>
      <w:szCs w:val="38"/>
    </w:rPr>
  </w:style>
  <w:style w:type="paragraph" w:customStyle="1" w:styleId="Caption0">
    <w:name w:val="Caption_"/>
    <w:basedOn w:val="Normal"/>
    <w:qFormat/>
    <w:rsid w:val="0084293D"/>
    <w:rPr>
      <w:color w:val="5D6C7C"/>
      <w:sz w:val="16"/>
    </w:rPr>
  </w:style>
  <w:style w:type="paragraph" w:customStyle="1" w:styleId="Companydetails">
    <w:name w:val="Company details_"/>
    <w:basedOn w:val="Normal"/>
    <w:qFormat/>
    <w:rsid w:val="000B5AC1"/>
    <w:rPr>
      <w:sz w:val="14"/>
      <w:szCs w:val="14"/>
    </w:rPr>
  </w:style>
  <w:style w:type="paragraph" w:customStyle="1" w:styleId="Heading1Numbered">
    <w:name w:val="Heading 1: Numbered_"/>
    <w:basedOn w:val="Heading1"/>
    <w:next w:val="Normal"/>
    <w:qFormat/>
    <w:rsid w:val="00D50EE8"/>
    <w:pPr>
      <w:keepNext w:val="0"/>
      <w:keepLines w:val="0"/>
      <w:numPr>
        <w:numId w:val="1"/>
      </w:numPr>
      <w:tabs>
        <w:tab w:val="left" w:pos="426"/>
      </w:tabs>
      <w:contextualSpacing w:val="0"/>
    </w:pPr>
    <w:rPr>
      <w:rFonts w:eastAsiaTheme="minorHAnsi" w:cstheme="minorBidi"/>
      <w:color w:val="000000" w:themeColor="text1"/>
      <w:szCs w:val="36"/>
    </w:rPr>
  </w:style>
  <w:style w:type="paragraph" w:customStyle="1" w:styleId="Heading2Numbered">
    <w:name w:val="Heading 2: Numbered_"/>
    <w:basedOn w:val="Heading2"/>
    <w:next w:val="Normal"/>
    <w:qFormat/>
    <w:rsid w:val="00703BA8"/>
    <w:pPr>
      <w:numPr>
        <w:ilvl w:val="1"/>
        <w:numId w:val="1"/>
      </w:numPr>
      <w:spacing w:before="120"/>
    </w:pPr>
    <w:rPr>
      <w:szCs w:val="30"/>
    </w:rPr>
  </w:style>
  <w:style w:type="paragraph" w:customStyle="1" w:styleId="Heading3Numbered">
    <w:name w:val="Heading 3: Numbered_"/>
    <w:basedOn w:val="Heading3"/>
    <w:next w:val="Normal"/>
    <w:qFormat/>
    <w:rsid w:val="00A463B3"/>
    <w:pPr>
      <w:numPr>
        <w:ilvl w:val="2"/>
        <w:numId w:val="1"/>
      </w:numPr>
      <w:spacing w:before="120"/>
    </w:pPr>
    <w:rPr>
      <w:rFonts w:asciiTheme="minorHAnsi" w:hAnsiTheme="minorHAnsi"/>
      <w:bCs/>
      <w:szCs w:val="18"/>
    </w:rPr>
  </w:style>
  <w:style w:type="paragraph" w:customStyle="1" w:styleId="NormalNumberedtext">
    <w:name w:val="Normal: Numbered text_"/>
    <w:basedOn w:val="Normal"/>
    <w:link w:val="NormalNumberedtextChar"/>
    <w:qFormat/>
    <w:rsid w:val="005657EF"/>
    <w:pPr>
      <w:ind w:left="709"/>
    </w:pPr>
    <w:rPr>
      <w:lang w:val="en-AU"/>
    </w:rPr>
  </w:style>
  <w:style w:type="paragraph" w:styleId="NormalWeb">
    <w:name w:val="Normal (Web)"/>
    <w:basedOn w:val="Normal"/>
    <w:uiPriority w:val="99"/>
    <w:semiHidden/>
    <w:unhideWhenUsed/>
    <w:qFormat/>
    <w:rsid w:val="00E26015"/>
    <w:rPr>
      <w:rFonts w:ascii="Times New Roman" w:hAnsi="Times New Roman" w:cs="Times New Roman"/>
      <w:sz w:val="24"/>
    </w:rPr>
  </w:style>
  <w:style w:type="paragraph" w:styleId="TOC1">
    <w:name w:val="toc 1"/>
    <w:basedOn w:val="Normal"/>
    <w:next w:val="Normal"/>
    <w:autoRedefine/>
    <w:uiPriority w:val="39"/>
    <w:unhideWhenUsed/>
    <w:rsid w:val="000D491A"/>
    <w:pPr>
      <w:tabs>
        <w:tab w:val="right" w:pos="9639"/>
      </w:tabs>
      <w:spacing w:before="160"/>
      <w:ind w:left="567" w:hanging="567"/>
    </w:pPr>
    <w:rPr>
      <w:b/>
    </w:rPr>
  </w:style>
  <w:style w:type="paragraph" w:styleId="TOC2">
    <w:name w:val="toc 2"/>
    <w:basedOn w:val="Normal"/>
    <w:next w:val="Normal"/>
    <w:autoRedefine/>
    <w:uiPriority w:val="39"/>
    <w:unhideWhenUsed/>
    <w:rsid w:val="00BA2C35"/>
    <w:pPr>
      <w:tabs>
        <w:tab w:val="right" w:pos="9639"/>
      </w:tabs>
      <w:spacing w:before="40"/>
      <w:ind w:left="1134" w:hanging="567"/>
    </w:pPr>
  </w:style>
  <w:style w:type="paragraph" w:styleId="TOC3">
    <w:name w:val="toc 3"/>
    <w:basedOn w:val="Normal"/>
    <w:next w:val="Normal"/>
    <w:autoRedefine/>
    <w:uiPriority w:val="39"/>
    <w:unhideWhenUsed/>
    <w:rsid w:val="00BA2C35"/>
    <w:pPr>
      <w:tabs>
        <w:tab w:val="right" w:pos="9639"/>
      </w:tabs>
      <w:spacing w:before="40"/>
      <w:ind w:left="1701" w:hanging="567"/>
    </w:pPr>
  </w:style>
  <w:style w:type="paragraph" w:customStyle="1" w:styleId="NumberedBulletL1">
    <w:name w:val="Numbered Bullet: L1_"/>
    <w:basedOn w:val="NormalNumberedtext"/>
    <w:qFormat/>
    <w:rsid w:val="00872C4B"/>
    <w:pPr>
      <w:numPr>
        <w:numId w:val="2"/>
      </w:numPr>
      <w:ind w:left="700"/>
    </w:pPr>
  </w:style>
  <w:style w:type="paragraph" w:customStyle="1" w:styleId="NumberedBulletL2">
    <w:name w:val="Numbered Bullet: L2_"/>
    <w:basedOn w:val="NumberedBulletL1"/>
    <w:rsid w:val="000449BE"/>
  </w:style>
  <w:style w:type="paragraph" w:customStyle="1" w:styleId="NumberedBulletL3">
    <w:name w:val="Numbered Bullet: L3_"/>
    <w:basedOn w:val="NumberedBulletL2"/>
    <w:qFormat/>
    <w:rsid w:val="001C6E9B"/>
    <w:pPr>
      <w:ind w:left="1474" w:hanging="227"/>
    </w:pPr>
  </w:style>
  <w:style w:type="paragraph" w:customStyle="1" w:styleId="DataClassification">
    <w:name w:val="Data Classification_"/>
    <w:basedOn w:val="Normal"/>
    <w:qFormat/>
    <w:rsid w:val="00085C32"/>
    <w:pPr>
      <w:jc w:val="center"/>
    </w:pPr>
    <w:rPr>
      <w:rFonts w:cs="Times New Roman (Body CS)"/>
      <w:caps/>
      <w:sz w:val="14"/>
      <w:szCs w:val="14"/>
    </w:rPr>
  </w:style>
  <w:style w:type="paragraph" w:customStyle="1" w:styleId="Headerunderline">
    <w:name w:val="Header underline_"/>
    <w:basedOn w:val="Header"/>
    <w:qFormat/>
    <w:rsid w:val="00EF2EC5"/>
    <w:pPr>
      <w:pBdr>
        <w:bottom w:val="single" w:sz="2" w:space="2" w:color="000000" w:themeColor="dark1"/>
      </w:pBdr>
    </w:pPr>
  </w:style>
  <w:style w:type="paragraph" w:customStyle="1" w:styleId="NumberedCaption">
    <w:name w:val="Numbered Caption_"/>
    <w:basedOn w:val="Caption0"/>
    <w:qFormat/>
    <w:rsid w:val="009A7562"/>
    <w:pPr>
      <w:ind w:left="851"/>
    </w:pPr>
  </w:style>
  <w:style w:type="paragraph" w:customStyle="1" w:styleId="Documentcontroltext">
    <w:name w:val="Document control text_"/>
    <w:basedOn w:val="Normal"/>
    <w:qFormat/>
    <w:rsid w:val="00890B4D"/>
    <w:rPr>
      <w:sz w:val="16"/>
      <w:szCs w:val="16"/>
    </w:rPr>
  </w:style>
  <w:style w:type="paragraph" w:customStyle="1" w:styleId="Instructions">
    <w:name w:val="Instructions"/>
    <w:basedOn w:val="Normal"/>
    <w:qFormat/>
    <w:rsid w:val="00822FEE"/>
    <w:pPr>
      <w:spacing w:after="120" w:line="280" w:lineRule="atLeast"/>
    </w:pPr>
    <w:rPr>
      <w:rFonts w:ascii="Arial" w:eastAsia="Times New Roman" w:hAnsi="Arial" w:cs="Arial"/>
      <w:i/>
      <w:color w:val="0064D8" w:themeColor="accent1" w:themeTint="BF"/>
      <w:sz w:val="18"/>
      <w:szCs w:val="20"/>
      <w:lang w:eastAsia="en-AU"/>
    </w:rPr>
  </w:style>
  <w:style w:type="paragraph" w:styleId="Subtitle">
    <w:name w:val="Subtitle"/>
    <w:basedOn w:val="Normal"/>
    <w:next w:val="Normal"/>
    <w:link w:val="SubtitleChar"/>
    <w:autoRedefine/>
    <w:uiPriority w:val="11"/>
    <w:qFormat/>
    <w:rsid w:val="004D6E31"/>
    <w:pPr>
      <w:widowControl w:val="0"/>
      <w:shd w:val="clear" w:color="auto" w:fill="AE002F" w:themeFill="background2"/>
      <w:spacing w:before="960" w:after="160"/>
      <w:ind w:right="7796"/>
      <w:jc w:val="center"/>
    </w:pPr>
    <w:rPr>
      <w:rFonts w:ascii="Arial Bold" w:eastAsiaTheme="minorEastAsia" w:hAnsi="Arial Bold"/>
      <w:b/>
      <w:caps/>
      <w:spacing w:val="15"/>
      <w:sz w:val="22"/>
      <w:szCs w:val="22"/>
      <w:lang w:val="en-AU"/>
    </w:rPr>
  </w:style>
  <w:style w:type="paragraph" w:customStyle="1" w:styleId="TableContents">
    <w:name w:val="Table Contents"/>
    <w:basedOn w:val="Normal"/>
    <w:qFormat/>
  </w:style>
  <w:style w:type="paragraph" w:customStyle="1" w:styleId="TableHeading">
    <w:name w:val="Table Heading"/>
    <w:basedOn w:val="Normal"/>
    <w:link w:val="TableHeadingChar"/>
    <w:autoRedefine/>
    <w:qFormat/>
    <w:rsid w:val="00A63228"/>
    <w:pPr>
      <w:spacing w:line="240" w:lineRule="atLeast"/>
    </w:pPr>
    <w:rPr>
      <w:rFonts w:ascii="Arial Bold" w:hAnsi="Arial Bold"/>
      <w:bCs/>
      <w:sz w:val="18"/>
      <w:szCs w:val="22"/>
      <w:lang w:val="en-AU"/>
    </w:rPr>
  </w:style>
  <w:style w:type="paragraph" w:customStyle="1" w:styleId="TableText">
    <w:name w:val="Table Text"/>
    <w:basedOn w:val="Normal"/>
    <w:link w:val="TableTextChar"/>
    <w:autoRedefine/>
    <w:qFormat/>
    <w:rsid w:val="009171AE"/>
    <w:pPr>
      <w:numPr>
        <w:numId w:val="4"/>
      </w:numPr>
      <w:spacing w:line="240" w:lineRule="atLeast"/>
    </w:pPr>
    <w:rPr>
      <w:rFonts w:ascii="Arial" w:hAnsi="Arial"/>
      <w:sz w:val="18"/>
      <w:szCs w:val="22"/>
      <w:lang w:val="en-AU" w:eastAsia="en-AU"/>
    </w:rPr>
  </w:style>
  <w:style w:type="paragraph" w:styleId="CommentText">
    <w:name w:val="annotation text"/>
    <w:basedOn w:val="Normal"/>
    <w:link w:val="CommentTextChar"/>
    <w:uiPriority w:val="99"/>
    <w:unhideWhenUsed/>
    <w:rsid w:val="000B368B"/>
    <w:pPr>
      <w:spacing w:before="120" w:after="120"/>
      <w:ind w:left="357"/>
    </w:pPr>
    <w:rPr>
      <w:rFonts w:ascii="Arial" w:hAnsi="Arial" w:cs="Arial"/>
      <w:szCs w:val="20"/>
      <w:lang w:val="en-AU"/>
    </w:rPr>
  </w:style>
  <w:style w:type="paragraph" w:styleId="Revision">
    <w:name w:val="Revision"/>
    <w:uiPriority w:val="99"/>
    <w:semiHidden/>
    <w:qFormat/>
    <w:rsid w:val="000C3DA1"/>
    <w:rPr>
      <w:sz w:val="20"/>
    </w:rPr>
  </w:style>
  <w:style w:type="paragraph" w:styleId="CommentSubject">
    <w:name w:val="annotation subject"/>
    <w:basedOn w:val="CommentText"/>
    <w:next w:val="CommentText"/>
    <w:link w:val="CommentSubjectChar"/>
    <w:uiPriority w:val="99"/>
    <w:semiHidden/>
    <w:unhideWhenUsed/>
    <w:qFormat/>
    <w:rsid w:val="00E374A8"/>
    <w:pPr>
      <w:spacing w:before="0" w:after="0"/>
      <w:ind w:left="0"/>
    </w:pPr>
    <w:rPr>
      <w:rFonts w:asciiTheme="minorHAnsi" w:hAnsiTheme="minorHAnsi" w:cstheme="minorBidi"/>
      <w:b/>
      <w:bCs/>
      <w:lang w:val="en-GB"/>
    </w:rPr>
  </w:style>
  <w:style w:type="paragraph" w:customStyle="1" w:styleId="AutomatedProjectName">
    <w:name w:val="Automated Project Name"/>
    <w:basedOn w:val="Normal"/>
    <w:link w:val="AutomatedProjectNameChar"/>
    <w:qFormat/>
    <w:rsid w:val="008B5BDD"/>
    <w:rPr>
      <w:sz w:val="28"/>
      <w:szCs w:val="28"/>
    </w:rPr>
  </w:style>
  <w:style w:type="paragraph" w:customStyle="1" w:styleId="FrameContents">
    <w:name w:val="Frame Contents"/>
    <w:basedOn w:val="Normal"/>
    <w:qFormat/>
  </w:style>
  <w:style w:type="paragraph" w:customStyle="1" w:styleId="HeaderLeft">
    <w:name w:val="Header Left"/>
    <w:basedOn w:val="Header"/>
    <w:qFormat/>
  </w:style>
  <w:style w:type="numbering" w:customStyle="1" w:styleId="Bulletandendash">
    <w:name w:val="Bullet and en dash_"/>
    <w:uiPriority w:val="99"/>
    <w:qFormat/>
    <w:rsid w:val="007E596C"/>
  </w:style>
  <w:style w:type="numbering" w:customStyle="1" w:styleId="CurrentList1">
    <w:name w:val="Current List1"/>
    <w:uiPriority w:val="99"/>
    <w:qFormat/>
    <w:rsid w:val="00347A8C"/>
  </w:style>
  <w:style w:type="numbering" w:customStyle="1" w:styleId="CurrentList2">
    <w:name w:val="Current List2"/>
    <w:uiPriority w:val="99"/>
    <w:qFormat/>
    <w:rsid w:val="003821F7"/>
  </w:style>
  <w:style w:type="table" w:customStyle="1" w:styleId="Holdingtable">
    <w:name w:val="Holding table_"/>
    <w:basedOn w:val="TableNormal"/>
    <w:uiPriority w:val="99"/>
    <w:rsid w:val="00D219B1"/>
    <w:rPr>
      <w:sz w:val="20"/>
    </w:rPr>
    <w:tblPr/>
    <w:tcPr>
      <w:tcMar>
        <w:left w:w="0" w:type="dxa"/>
        <w:right w:w="0" w:type="dxa"/>
      </w:tcMar>
    </w:tcPr>
  </w:style>
  <w:style w:type="table" w:styleId="TableGrid">
    <w:name w:val="Table Grid"/>
    <w:basedOn w:val="TableNormal"/>
    <w:rsid w:val="007319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Option1">
    <w:name w:val="Table: Option 1_"/>
    <w:basedOn w:val="TableNormal"/>
    <w:uiPriority w:val="99"/>
    <w:rsid w:val="00C45E8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tcMar>
        <w:top w:w="57" w:type="dxa"/>
        <w:bottom w:w="57" w:type="dxa"/>
      </w:tcMar>
    </w:tcPr>
  </w:style>
  <w:style w:type="table" w:customStyle="1" w:styleId="TableOption2">
    <w:name w:val="Table: Option 2_"/>
    <w:basedOn w:val="TableNormal"/>
    <w:uiPriority w:val="99"/>
    <w:rsid w:val="00583A22"/>
    <w:tblPr>
      <w:tblBorders>
        <w:top w:val="single" w:sz="4" w:space="0" w:color="000000" w:themeColor="text1"/>
        <w:bottom w:val="single" w:sz="4" w:space="0" w:color="000000" w:themeColor="text1"/>
        <w:insideH w:val="single" w:sz="4" w:space="0" w:color="000000" w:themeColor="text1"/>
      </w:tblBorders>
    </w:tblPr>
    <w:tcPr>
      <w:tcMar>
        <w:top w:w="57" w:type="dxa"/>
        <w:bottom w:w="57" w:type="dxa"/>
      </w:tcMar>
    </w:tcPr>
  </w:style>
  <w:style w:type="table" w:styleId="ListTable3-Accent3">
    <w:name w:val="List Table 3 Accent 3"/>
    <w:basedOn w:val="TableNormal"/>
    <w:uiPriority w:val="48"/>
    <w:rsid w:val="00BA2C35"/>
    <w:rPr>
      <w:sz w:val="22"/>
      <w:szCs w:val="22"/>
    </w:rPr>
    <w:tblPr>
      <w:tblStyleRowBandSize w:val="1"/>
      <w:tblStyleColBandSize w:val="1"/>
      <w:tblBorders>
        <w:top w:val="single" w:sz="4" w:space="0" w:color="01593C" w:themeColor="accent3"/>
        <w:left w:val="single" w:sz="4" w:space="0" w:color="01593C" w:themeColor="accent3"/>
        <w:bottom w:val="single" w:sz="4" w:space="0" w:color="01593C" w:themeColor="accent3"/>
        <w:right w:val="single" w:sz="4" w:space="0" w:color="01593C" w:themeColor="accent3"/>
      </w:tblBorders>
    </w:tblPr>
    <w:tblStylePr w:type="firstRow">
      <w:rPr>
        <w:b/>
        <w:bCs/>
        <w:color w:val="FFFFFF" w:themeColor="background1"/>
      </w:rPr>
      <w:tblPr/>
      <w:tcPr>
        <w:shd w:val="clear" w:color="auto" w:fill="01593C" w:themeFill="accent3"/>
      </w:tcPr>
    </w:tblStylePr>
    <w:tblStylePr w:type="lastRow">
      <w:rPr>
        <w:b/>
        <w:bCs/>
      </w:rPr>
      <w:tblPr/>
      <w:tcPr>
        <w:tcBorders>
          <w:top w:val="double" w:sz="4" w:space="0" w:color="01593C"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1593C" w:themeColor="accent3"/>
          <w:right w:val="single" w:sz="4" w:space="0" w:color="01593C" w:themeColor="accent3"/>
        </w:tcBorders>
      </w:tcPr>
    </w:tblStylePr>
    <w:tblStylePr w:type="band1Horz">
      <w:tblPr/>
      <w:tcPr>
        <w:tcBorders>
          <w:top w:val="single" w:sz="4" w:space="0" w:color="01593C" w:themeColor="accent3"/>
          <w:bottom w:val="single" w:sz="4" w:space="0" w:color="01593C"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1593C" w:themeColor="accent3"/>
          <w:left w:val="nil"/>
        </w:tcBorders>
      </w:tcPr>
    </w:tblStylePr>
    <w:tblStylePr w:type="swCell">
      <w:tblPr/>
      <w:tcPr>
        <w:tcBorders>
          <w:top w:val="double" w:sz="4" w:space="0" w:color="01593C" w:themeColor="accent3"/>
          <w:right w:val="nil"/>
        </w:tcBorders>
      </w:tcPr>
    </w:tblStylePr>
  </w:style>
  <w:style w:type="paragraph" w:customStyle="1" w:styleId="HeaderRight">
    <w:name w:val="Header Right"/>
    <w:basedOn w:val="Normal"/>
    <w:rsid w:val="00A31AE7"/>
    <w:pPr>
      <w:suppressAutoHyphens w:val="0"/>
      <w:spacing w:before="240"/>
      <w:jc w:val="right"/>
    </w:pPr>
    <w:rPr>
      <w:rFonts w:ascii="Arial" w:eastAsia="Times New Roman" w:hAnsi="Arial" w:cs="Times New Roman"/>
      <w:sz w:val="28"/>
      <w:szCs w:val="20"/>
    </w:rPr>
  </w:style>
  <w:style w:type="paragraph" w:customStyle="1" w:styleId="FrontCoverSubheading0">
    <w:name w:val="Front Cover Subheading"/>
    <w:basedOn w:val="Normal"/>
    <w:qFormat/>
    <w:rsid w:val="003C2B09"/>
    <w:pPr>
      <w:suppressAutoHyphens w:val="0"/>
      <w:spacing w:before="120" w:after="360"/>
    </w:pPr>
    <w:rPr>
      <w:rFonts w:ascii="Arial" w:eastAsia="Times New Roman" w:hAnsi="Arial" w:cs="Times New Roman"/>
      <w:color w:val="404040" w:themeColor="text1" w:themeTint="BF"/>
      <w:sz w:val="40"/>
      <w:szCs w:val="32"/>
      <w:lang w:val="en-AU" w:bidi="en-US"/>
    </w:rPr>
  </w:style>
  <w:style w:type="paragraph" w:customStyle="1" w:styleId="FrontCoverHeading0">
    <w:name w:val="Front Cover Heading"/>
    <w:basedOn w:val="Normal"/>
    <w:next w:val="Normal"/>
    <w:qFormat/>
    <w:rsid w:val="003C2B09"/>
    <w:pPr>
      <w:tabs>
        <w:tab w:val="right" w:pos="9639"/>
      </w:tabs>
      <w:suppressAutoHyphens w:val="0"/>
      <w:spacing w:before="960"/>
    </w:pPr>
    <w:rPr>
      <w:rFonts w:ascii="Arial" w:eastAsia="Times New Roman" w:hAnsi="Arial" w:cs="Times New Roman"/>
      <w:b/>
      <w:bCs/>
      <w:color w:val="404040" w:themeColor="text1" w:themeTint="BF"/>
      <w:sz w:val="56"/>
      <w:szCs w:val="56"/>
      <w:lang w:val="en-AU" w:eastAsia="en-AU" w:bidi="en-US"/>
    </w:rPr>
  </w:style>
  <w:style w:type="numbering" w:customStyle="1" w:styleId="Headings">
    <w:name w:val="Headings"/>
    <w:uiPriority w:val="99"/>
    <w:rsid w:val="003C2B09"/>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RioTintoMSWordFeb2023">
  <a:themeElements>
    <a:clrScheme name="Custom 5">
      <a:dk1>
        <a:srgbClr val="000000"/>
      </a:dk1>
      <a:lt1>
        <a:srgbClr val="FFFFFF"/>
      </a:lt1>
      <a:dk2>
        <a:srgbClr val="CA2320"/>
      </a:dk2>
      <a:lt2>
        <a:srgbClr val="AE002F"/>
      </a:lt2>
      <a:accent1>
        <a:srgbClr val="003776"/>
      </a:accent1>
      <a:accent2>
        <a:srgbClr val="0059D1"/>
      </a:accent2>
      <a:accent3>
        <a:srgbClr val="01593C"/>
      </a:accent3>
      <a:accent4>
        <a:srgbClr val="007461"/>
      </a:accent4>
      <a:accent5>
        <a:srgbClr val="B5B8C0"/>
      </a:accent5>
      <a:accent6>
        <a:srgbClr val="5D6C7C"/>
      </a:accent6>
      <a:hlink>
        <a:srgbClr val="000000"/>
      </a:hlink>
      <a:folHlink>
        <a:srgbClr val="CA2320"/>
      </a:folHlink>
    </a:clrScheme>
    <a:fontScheme name="Arial">
      <a:majorFont>
        <a:latin typeface="Arial" panose="020B0604020202020204"/>
        <a:ea typeface=""/>
        <a:cs typeface=""/>
      </a:majorFont>
      <a:minorFont>
        <a:latin typeface="Arial" panose="020B06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5e197f2-df1a-4275-af0d-2d425d2305ac">
      <Terms xmlns="http://schemas.microsoft.com/office/infopath/2007/PartnerControls"/>
    </lcf76f155ced4ddcb4097134ff3c332f>
    <TaxCatchAll xmlns="3f8b23f9-ca21-47be-b3e2-2641c8058dd1" xsi:nil="true"/>
    <ApprovalCompleted xmlns="65e197f2-df1a-4275-af0d-2d425d2305ac" xsi:nil="true"/>
    <IssuedForUse xmlns="65e197f2-df1a-4275-af0d-2d425d2305ac" xsi:nil="true"/>
    <ReviewStatus xmlns="65e197f2-df1a-4275-af0d-2d425d2305ac">Not Started</ReviewStatus>
    <UpdateNotes xmlns="65e197f2-df1a-4275-af0d-2d425d2305ac" xsi:nil="true"/>
    <DocumentType xmlns="65e197f2-df1a-4275-af0d-2d425d2305ac" xsi:nil="true"/>
    <ReviewCompleted xmlns="65e197f2-df1a-4275-af0d-2d425d2305ac" xsi:nil="true"/>
    <WorkScopeCategory xmlns="65e197f2-df1a-4275-af0d-2d425d2305a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8957747BE8EC348A2D657B974A8D1F0" ma:contentTypeVersion="20" ma:contentTypeDescription="Create a new document." ma:contentTypeScope="" ma:versionID="612ab7ca577f1aff0f37e3112c079435">
  <xsd:schema xmlns:xsd="http://www.w3.org/2001/XMLSchema" xmlns:xs="http://www.w3.org/2001/XMLSchema" xmlns:p="http://schemas.microsoft.com/office/2006/metadata/properties" xmlns:ns2="65e197f2-df1a-4275-af0d-2d425d2305ac" xmlns:ns3="3f8b23f9-ca21-47be-b3e2-2641c8058dd1" targetNamespace="http://schemas.microsoft.com/office/2006/metadata/properties" ma:root="true" ma:fieldsID="583ff3aa54861f6fe227510cdf6252f8" ns2:_="" ns3:_="">
    <xsd:import namespace="65e197f2-df1a-4275-af0d-2d425d2305ac"/>
    <xsd:import namespace="3f8b23f9-ca21-47be-b3e2-2641c8058d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ReviewStatus" minOccurs="0"/>
                <xsd:element ref="ns2:UpdateNotes" minOccurs="0"/>
                <xsd:element ref="ns2:ReviewCompleted" minOccurs="0"/>
                <xsd:element ref="ns2:ApprovalCompleted" minOccurs="0"/>
                <xsd:element ref="ns2:IssuedForUse" minOccurs="0"/>
                <xsd:element ref="ns2:WorkScopeCategory" minOccurs="0"/>
                <xsd:element ref="ns2:MediaServiceLocation" minOccurs="0"/>
                <xsd:element ref="ns2:MediaLengthInSeconds" minOccurs="0"/>
                <xsd:element ref="ns2:Document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e197f2-df1a-4275-af0d-2d425d2305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eee30a-abdd-4ed4-9221-278e5f31030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ewStatus" ma:index="19" nillable="true" ma:displayName="Review Status" ma:default="Not Started" ma:format="Dropdown" ma:internalName="ReviewStatus">
      <xsd:simpleType>
        <xsd:restriction base="dms:Choice">
          <xsd:enumeration value="Not Started"/>
          <xsd:enumeration value="In Progress"/>
          <xsd:enumeration value="Delayed"/>
          <xsd:enumeration value="Pending Input"/>
          <xsd:enumeration value="Pending Review/ Approval"/>
          <xsd:enumeration value="Void"/>
          <xsd:enumeration value="Completed"/>
          <xsd:enumeration value="Issued For Use"/>
          <xsd:enumeration value="Information Only"/>
        </xsd:restriction>
      </xsd:simpleType>
    </xsd:element>
    <xsd:element name="UpdateNotes" ma:index="20" nillable="true" ma:displayName="Update Notes" ma:format="Dropdown" ma:internalName="UpdateNotes">
      <xsd:simpleType>
        <xsd:restriction base="dms:Note">
          <xsd:maxLength value="255"/>
        </xsd:restriction>
      </xsd:simpleType>
    </xsd:element>
    <xsd:element name="ReviewCompleted" ma:index="21" nillable="true" ma:displayName="Review Completed" ma:format="DateOnly" ma:internalName="ReviewCompleted">
      <xsd:simpleType>
        <xsd:restriction base="dms:DateTime"/>
      </xsd:simpleType>
    </xsd:element>
    <xsd:element name="ApprovalCompleted" ma:index="22" nillable="true" ma:displayName="Approval Completed" ma:format="DateOnly" ma:internalName="ApprovalCompleted">
      <xsd:simpleType>
        <xsd:restriction base="dms:DateTime"/>
      </xsd:simpleType>
    </xsd:element>
    <xsd:element name="IssuedForUse" ma:index="23" nillable="true" ma:displayName="Issued For Use" ma:format="DateOnly" ma:internalName="IssuedForUse">
      <xsd:simpleType>
        <xsd:restriction base="dms:DateTime"/>
      </xsd:simpleType>
    </xsd:element>
    <xsd:element name="WorkScopeCategory" ma:index="24" nillable="true" ma:displayName="Work Scope Category" ma:format="Dropdown" ma:internalName="WorkScopeCategory">
      <xsd:simpleType>
        <xsd:restriction base="dms:Choice">
          <xsd:enumeration value="Appendix C Refresh"/>
          <xsd:enumeration value="Critical Requirements"/>
          <xsd:enumeration value="PM+ Supporting Document Update"/>
          <xsd:enumeration value="HSSEC Stewardship (Non-Managed)"/>
          <xsd:enumeration value="HSSECMS Development"/>
          <xsd:enumeration value="No Action Required"/>
        </xsd:restriction>
      </xsd:simpleType>
    </xsd:element>
    <xsd:element name="MediaServiceLocation" ma:index="25" nillable="true" ma:displayName="Location" ma:indexed="true" ma:internalName="MediaServiceLocation" ma:readOnly="true">
      <xsd:simpleType>
        <xsd:restriction base="dms:Text"/>
      </xsd:simpleType>
    </xsd:element>
    <xsd:element name="MediaLengthInSeconds" ma:index="26" nillable="true" ma:displayName="MediaLengthInSeconds" ma:hidden="true" ma:internalName="MediaLengthInSeconds" ma:readOnly="true">
      <xsd:simpleType>
        <xsd:restriction base="dms:Unknown"/>
      </xsd:simpleType>
    </xsd:element>
    <xsd:element name="DocumentType" ma:index="27" nillable="true" ma:displayName="Document Type" ma:format="Dropdown" ma:internalName="DocumentType">
      <xsd:simpleType>
        <xsd:restriction base="dms:Choice">
          <xsd:enumeration value="Procedure"/>
          <xsd:enumeration value="Guidance/ Management Plan"/>
          <xsd:enumeration value="Registers"/>
          <xsd:enumeration value="Forms/ Templates"/>
        </xsd:restriction>
      </xsd:simpleType>
    </xsd:element>
  </xsd:schema>
  <xsd:schema xmlns:xsd="http://www.w3.org/2001/XMLSchema" xmlns:xs="http://www.w3.org/2001/XMLSchema" xmlns:dms="http://schemas.microsoft.com/office/2006/documentManagement/types" xmlns:pc="http://schemas.microsoft.com/office/infopath/2007/PartnerControls" targetNamespace="3f8b23f9-ca21-47be-b3e2-2641c8058dd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4a3a3c5-8bfa-431a-a526-0901b8485d2f}" ma:internalName="TaxCatchAll" ma:showField="CatchAllData" ma:web="3f8b23f9-ca21-47be-b3e2-2641c8058d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2D9E33-4E07-413F-8EE7-94DAF9FB6A95}">
  <ds:schemaRefs>
    <ds:schemaRef ds:uri="http://schemas.microsoft.com/office/2006/metadata/properties"/>
    <ds:schemaRef ds:uri="http://schemas.microsoft.com/office/infopath/2007/PartnerControls"/>
    <ds:schemaRef ds:uri="65e197f2-df1a-4275-af0d-2d425d2305ac"/>
    <ds:schemaRef ds:uri="3f8b23f9-ca21-47be-b3e2-2641c8058dd1"/>
  </ds:schemaRefs>
</ds:datastoreItem>
</file>

<file path=customXml/itemProps2.xml><?xml version="1.0" encoding="utf-8"?>
<ds:datastoreItem xmlns:ds="http://schemas.openxmlformats.org/officeDocument/2006/customXml" ds:itemID="{CCA599EC-14D5-4590-832F-AEA543218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e197f2-df1a-4275-af0d-2d425d2305ac"/>
    <ds:schemaRef ds:uri="3f8b23f9-ca21-47be-b3e2-2641c8058d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478EB8-DA8F-46D0-9691-BB91349D1352}">
  <ds:schemaRefs>
    <ds:schemaRef ds:uri="http://schemas.microsoft.com/sharepoint/v3/contenttype/forms"/>
  </ds:schemaRefs>
</ds:datastoreItem>
</file>

<file path=customXml/itemProps4.xml><?xml version="1.0" encoding="utf-8"?>
<ds:datastoreItem xmlns:ds="http://schemas.openxmlformats.org/officeDocument/2006/customXml" ds:itemID="{7319BAC4-4476-4951-9EC7-615C0F36B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Pages>
  <Words>89</Words>
  <Characters>518</Characters>
  <Application>Microsoft Office Word</Application>
  <DocSecurity>0</DocSecurity>
  <Lines>76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Ashleigh Phillips</dc:creator>
  <cp:lastModifiedBy>Ashleigh Phillips</cp:lastModifiedBy>
  <cp:revision>4</cp:revision>
  <dcterms:created xsi:type="dcterms:W3CDTF">2026-06-16T05:02:00Z</dcterms:created>
  <dcterms:modified xsi:type="dcterms:W3CDTF">2026-06-22T10:24:00Z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2025-11-28T01:34:00Z</dcterms:created>
  <dc:creator>De Roo, Justin (STP)</dc:creator>
  <dc:description/>
  <dc:language>en-US</dc:language>
  <cp:lastModifiedBy>Ashleigh Phillips</cp:lastModifiedBy>
  <cp:lastPrinted>2026-02-09T07:22:00Z</cp:lastPrinted>
  <dcterms:modified xsi:type="dcterms:W3CDTF">2026-05-04T04:36:00Z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0x01010098957747BE8EC348A2D657B974A8D1F0</vt:lpwstr>
  </property>
  <property fmtid="{D5CDD505-2E9C-101B-9397-08002B2CF9AE}" pid="3" name="Doc Type">
    <vt:lpwstr>23;#Template|c9df5e63-6677-4a8a-bf18-582bdefa876e</vt:lpwstr>
  </property>
  <property fmtid="{D5CDD505-2E9C-101B-9397-08002B2CF9AE}" pid="4" name="Doc_x0020_Type">
    <vt:lpwstr>23;#Template|c9df5e63-6677-4a8a-bf18-582bdefa876e</vt:lpwstr>
  </property>
  <property fmtid="{D5CDD505-2E9C-101B-9397-08002B2CF9AE}" pid="5" name="Function Group">
    <vt:lpwstr/>
  </property>
  <property fmtid="{D5CDD505-2E9C-101B-9397-08002B2CF9AE}" pid="6" name="Function_x0020_Group">
    <vt:lpwstr/>
  </property>
  <property fmtid="{D5CDD505-2E9C-101B-9397-08002B2CF9AE}" pid="7" name="GrammarlyDocumentId">
    <vt:lpwstr>fe4ffe3e-119a-4f91-9429-2d1e97004826</vt:lpwstr>
  </property>
  <property fmtid="{D5CDD505-2E9C-101B-9397-08002B2CF9AE}" pid="8" name="MediaServiceImageTags">
    <vt:lpwstr/>
  </property>
  <property fmtid="{D5CDD505-2E9C-101B-9397-08002B2CF9AE}" pid="9" name="Project Phases">
    <vt:lpwstr/>
  </property>
  <property fmtid="{D5CDD505-2E9C-101B-9397-08002B2CF9AE}" pid="10" name="Project_x0020_Phases">
    <vt:lpwstr/>
  </property>
</Properties>
</file>