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Biodiversity</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Biodiversity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biodiversity impacts across the owner-led project, including fauna management, invasive species control, and achieving the project's no-net-loss commitment for priority biodiversity values.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biodiversity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biodiversity domains within scope, and the lifecycle phases during which biodiversity controls apply on this project.</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the standards this procedure operationalises, and the requirements it establishes for the project.</w:t>
      </w:r>
    </w:p>
    <w:p>
      <w:pPr>
        <w:pStyle w:val="NormalNumberedtext"/>
      </w:pPr>
      <w:r>
        <w:t>This procedure meets the following purpose requirements:</w:t>
      </w:r>
    </w:p>
    <w:p>
      <w:pPr>
        <w:pStyle w:val="NormalNumberedtext"/>
      </w:pPr>
      <w:r>
        <w:t>This procedure operationalises the following requirements into a documented, project-specific biodiversity management process:</w:t>
      </w:r>
    </w:p>
    <w:p>
      <w:pPr>
        <w:pStyle w:val="NumberedBulletL1"/>
      </w:pPr>
      <w:r>
        <w:t>RT Environment and Nature - Biodiversity Standard, including the no-net-loss pathway obligation and the prohibition on operations within World Heritage-listed properties.</w:t>
      </w:r>
    </w:p>
    <w:p>
      <w:pPr>
        <w:pStyle w:val="NumberedBulletL1"/>
      </w:pPr>
      <w:r>
        <w:t>ICMM Principle 7 - Conservation of Biodiversity, including rigorous application of the mitigation hierarchy.</w:t>
      </w:r>
    </w:p>
    <w:p>
      <w:pPr>
        <w:pStyle w:val="NumberedBulletL1"/>
      </w:pPr>
      <w:r>
        <w:t>IFC Performance Standard 6 (PS6), including no-net-loss of natural habitat and critical habitat protection.</w:t>
      </w:r>
    </w:p>
    <w:p>
      <w:pPr>
        <w:pStyle w:val="NumberedBulletL1"/>
      </w:pPr>
      <w:r>
        <w:t>Applicable project environmental approval conditions governing fauna management, invasive species biosecurity, and biodiversity offsets.</w:t>
      </w:r>
    </w:p>
    <w:p>
      <w:pPr>
        <w:pStyle w:val="NormalNumberedtext"/>
      </w:pPr>
      <w:r>
        <w:t>This procedure defines biodiversity management requirements from project mobilisation through to handover. Habitat rehabilitation requirements post-clearance are governed by [INSERT: Project Document Number] - Land Disturbance. Biodiversity monitoring programme requirements are governed by [INSERT: Project Document Number] - Monitoring. Fauna protection approvals are governed by [INSERT: Project Document Number] - Legal Requirements.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biodiversity activities and project lifecycle phases are governed by this procedure.</w:t>
      </w:r>
    </w:p>
    <w:p>
      <w:pPr>
        <w:pStyle w:val="NormalNumberedtext"/>
      </w:pPr>
      <w:r>
        <w:t>This procedure applies the following scope requirements:</w:t>
      </w:r>
    </w:p>
    <w:p>
      <w:pPr>
        <w:pStyle w:val="NormalNumberedtext"/>
      </w:pPr>
      <w:r>
        <w:t>This procedure governs the following biodiversity management activities across all project phases from mobilisation to handover:</w:t>
      </w:r>
    </w:p>
    <w:p>
      <w:pPr>
        <w:pStyle w:val="NumberedBulletL1"/>
      </w:pPr>
      <w:r>
        <w:t>No-net-loss pathway definition and implementation.</w:t>
      </w:r>
    </w:p>
    <w:p>
      <w:pPr>
        <w:pStyle w:val="NumberedBulletL1"/>
      </w:pPr>
      <w:r>
        <w:t>Pre-clearance fauna survey requirements and fauna management plans.</w:t>
      </w:r>
    </w:p>
    <w:p>
      <w:pPr>
        <w:pStyle w:val="NumberedBulletL1"/>
      </w:pPr>
      <w:r>
        <w:t>Fauna rescue, translocation, and exclusion fencing operations.</w:t>
      </w:r>
    </w:p>
    <w:p>
      <w:pPr>
        <w:pStyle w:val="NumberedBulletL1"/>
      </w:pPr>
      <w:r>
        <w:t>Invasive species biosecurity controls, including vehicle wash-down, soil and plant material movement, and marine biosecurity.</w:t>
      </w:r>
    </w:p>
    <w:p>
      <w:pPr>
        <w:pStyle w:val="NumberedBulletL1"/>
      </w:pPr>
      <w:r>
        <w:t>Noise, light, and vibration controls for operations near sensitive ecosystems.</w:t>
      </w:r>
    </w:p>
    <w:p>
      <w:pPr>
        <w:pStyle w:val="NumberedBulletL1"/>
      </w:pPr>
      <w:r>
        <w:t>Biodiversity offset or conservation programme obligations where required by regulatory approval.</w:t>
      </w:r>
    </w:p>
    <w:p>
      <w:pPr>
        <w:pStyle w:val="NormalNumberedtext"/>
      </w:pPr>
      <w:r>
        <w:t>Marine biosecurity controls for vessels are defined in this procedure and cross-referenced to [INSERT: Project Document Number] - Over Water for vessel-specific requirements. Biodiversity impact assessment inputs are governed by [INSERT: Project Document Number] - Risk Management.</w:t>
      </w:r>
    </w:p>
    <w:p>
      <w:pPr>
        <w:pStyle w:val="NormalNumberedtext"/>
      </w:pPr>
    </w:p>
    <w:p>
      <w:pPr>
        <w:pStyle w:val="Heading1Numbered"/>
        <w:numPr>
          <w:ilvl w:val="0"/>
          <w:numId w:val="1"/>
        </w:numPr>
      </w:pPr>
      <w:r>
        <w:rPr>
          <w:rFonts w:ascii="Arial" w:hAnsi="Arial" w:cs="Arial" w:eastAsia="Arial"/>
        </w:rPr>
        <w:t>No-Net-Loss Pathway</w:t>
      </w:r>
    </w:p>
    <w:p>
      <w:pPr>
        <w:pStyle w:val="NormalNumberedtext"/>
      </w:pPr>
      <w:r>
        <w:t>This section defines the project no-net-loss pathway, the mitigation hierarchy that underpins it, and the prohibition on operations within World Heritage-listed properties.</w:t>
      </w:r>
    </w:p>
    <w:p>
      <w:pPr>
        <w:pStyle w:val="NormalNumberedtext"/>
      </w:pPr>
    </w:p>
    <w:p>
      <w:pPr>
        <w:pStyle w:val="Heading2Numbered"/>
        <w:numPr>
          <w:ilvl w:val="1"/>
          <w:numId w:val="1"/>
        </w:numPr>
      </w:pPr>
      <w:r>
        <w:rPr>
          <w:rFonts w:ascii="Arial" w:hAnsi="Arial" w:cs="Arial" w:eastAsia="Arial"/>
        </w:rPr>
        <w:t>Priority Biodiversity Values</w:t>
      </w:r>
    </w:p>
    <w:p>
      <w:pPr>
        <w:pStyle w:val="NormalNumberedtext"/>
      </w:pPr>
      <w:r>
        <w:t>This section identifies the priority biodiversity values for the project area that the no-net-loss pathway must protect.</w:t>
      </w:r>
    </w:p>
    <w:p>
      <w:pPr>
        <w:pStyle w:val="NormalNumberedtext"/>
      </w:pPr>
      <w:r>
        <w:t>The project must define and document priority biodiversity values before any ground disturbance commences. Priority values are the baseline against which losses and gains are calculated throughout the project lifecycle and through to closure.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Define the priority biodiversity values for this project's area of interest. The no-net-loss pathway starts with identifying what must not experience net loss. Engage a qualified ecologist to define the priority values and insert them in the table below before this procedure is issued.</w:t>
            </w:r>
          </w:p>
        </w:tc>
      </w:tr>
    </w:tbl>
    <w:p>
      <w:pPr>
        <w:pStyle w:val="NormalNumberedtext"/>
      </w:pPr>
    </w:p>
    <w:p>
      <w:pPr>
        <w:pStyle w:val="NormalNumberedtext"/>
      </w:pPr>
      <w:r>
        <w:t>Table 1: Project Priority Biodiversity Values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Priority Value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Classification (e.g. critical habitat, threatened community)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Key Attributes</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Ecologist Reference / Assessment Date</w:t>
            </w:r>
          </w:p>
        </w:tc>
      </w:tr>
      <w:tr>
        <w:tc>
          <w:tcPr>
            <w:tcW w:type="dxa" w:w="2256"/>
          </w:tcPr>
          <w:p>
            <w:pPr>
              <w:pStyle w:val="TableContents"/>
              <w:spacing w:before="0" w:after="0" w:line="240" w:lineRule="atLeast"/>
            </w:pPr>
            <w:r>
              <w:rPr>
                <w:rFonts w:ascii="Arial" w:hAnsi="Arial" w:cs="Arial" w:eastAsia="Arial"/>
                <w:b/>
                <w:bCs/>
                <w:color w:val="0059D1"/>
                <w:sz w:val="16"/>
                <w:szCs w:val="16"/>
              </w:rPr>
              <w:t>[INSERT: priority biodiversity value 1]</w:t>
            </w:r>
          </w:p>
        </w:tc>
        <w:tc>
          <w:tcPr>
            <w:tcW w:type="dxa" w:w="2256"/>
          </w:tcPr>
          <w:p>
            <w:pPr>
              <w:pStyle w:val="TableContents"/>
              <w:spacing w:before="0" w:after="0" w:line="240" w:lineRule="atLeast"/>
            </w:pPr>
            <w:r>
              <w:rPr>
                <w:rFonts w:ascii="Arial" w:hAnsi="Arial" w:cs="Arial" w:eastAsia="Arial"/>
                <w:b/>
                <w:bCs/>
                <w:color w:val="0059D1"/>
                <w:sz w:val="16"/>
                <w:szCs w:val="16"/>
              </w:rPr>
              <w:t>[INSERT: classification]</w:t>
            </w:r>
          </w:p>
        </w:tc>
        <w:tc>
          <w:tcPr>
            <w:tcW w:type="dxa" w:w="2256"/>
          </w:tcPr>
          <w:p>
            <w:pPr>
              <w:pStyle w:val="TableContents"/>
              <w:spacing w:before="0" w:after="0" w:line="240" w:lineRule="atLeast"/>
            </w:pPr>
            <w:r>
              <w:rPr>
                <w:rFonts w:ascii="Arial" w:hAnsi="Arial" w:cs="Arial" w:eastAsia="Arial"/>
                <w:b/>
                <w:bCs/>
                <w:color w:val="0059D1"/>
                <w:sz w:val="16"/>
                <w:szCs w:val="16"/>
              </w:rPr>
              <w:t>[INSERT: key attributes]</w:t>
            </w:r>
          </w:p>
        </w:tc>
        <w:tc>
          <w:tcPr>
            <w:tcW w:type="dxa" w:w="2258"/>
          </w:tcPr>
          <w:p>
            <w:pPr>
              <w:pStyle w:val="TableContents"/>
              <w:spacing w:before="0" w:after="0" w:line="240" w:lineRule="atLeast"/>
            </w:pPr>
            <w:r>
              <w:rPr>
                <w:rFonts w:ascii="Arial" w:hAnsi="Arial" w:cs="Arial" w:eastAsia="Arial"/>
                <w:b/>
                <w:bCs/>
                <w:color w:val="0059D1"/>
                <w:sz w:val="16"/>
                <w:szCs w:val="16"/>
              </w:rPr>
              <w:t>[INSERT: ecologist name / date]</w:t>
            </w:r>
          </w:p>
        </w:tc>
      </w:tr>
      <w:tr>
        <w:tc>
          <w:tcPr>
            <w:tcW w:type="dxa" w:w="2256"/>
          </w:tcPr>
          <w:p>
            <w:pPr>
              <w:pStyle w:val="TableContents"/>
              <w:spacing w:before="0" w:after="0" w:line="240" w:lineRule="atLeast"/>
            </w:pPr>
            <w:r>
              <w:rPr>
                <w:rFonts w:ascii="Arial" w:hAnsi="Arial" w:cs="Arial" w:eastAsia="Arial"/>
                <w:b/>
                <w:bCs/>
                <w:color w:val="0059D1"/>
                <w:sz w:val="16"/>
                <w:szCs w:val="16"/>
              </w:rPr>
              <w:t>[INSERT: priority biodiversity value 2]</w:t>
            </w:r>
          </w:p>
        </w:tc>
        <w:tc>
          <w:tcPr>
            <w:tcW w:type="dxa" w:w="2256"/>
          </w:tcPr>
          <w:p>
            <w:pPr>
              <w:pStyle w:val="TableContents"/>
              <w:spacing w:before="0" w:after="0" w:line="240" w:lineRule="atLeast"/>
            </w:pPr>
            <w:r>
              <w:rPr>
                <w:rFonts w:ascii="Arial" w:hAnsi="Arial" w:cs="Arial" w:eastAsia="Arial"/>
                <w:b/>
                <w:bCs/>
                <w:color w:val="0059D1"/>
                <w:sz w:val="16"/>
                <w:szCs w:val="16"/>
              </w:rPr>
              <w:t>[INSERT: classification]</w:t>
            </w:r>
          </w:p>
        </w:tc>
        <w:tc>
          <w:tcPr>
            <w:tcW w:type="dxa" w:w="2256"/>
          </w:tcPr>
          <w:p>
            <w:pPr>
              <w:pStyle w:val="TableContents"/>
              <w:spacing w:before="0" w:after="0" w:line="240" w:lineRule="atLeast"/>
            </w:pPr>
            <w:r>
              <w:rPr>
                <w:rFonts w:ascii="Arial" w:hAnsi="Arial" w:cs="Arial" w:eastAsia="Arial"/>
                <w:b/>
                <w:bCs/>
                <w:color w:val="0059D1"/>
                <w:sz w:val="16"/>
                <w:szCs w:val="16"/>
              </w:rPr>
              <w:t>[INSERT: key attributes]</w:t>
            </w:r>
          </w:p>
        </w:tc>
        <w:tc>
          <w:tcPr>
            <w:tcW w:type="dxa" w:w="2258"/>
          </w:tcPr>
          <w:p>
            <w:pPr>
              <w:pStyle w:val="TableContents"/>
              <w:spacing w:before="0" w:after="0" w:line="240" w:lineRule="atLeast"/>
            </w:pPr>
            <w:r>
              <w:rPr>
                <w:rFonts w:ascii="Arial" w:hAnsi="Arial" w:cs="Arial" w:eastAsia="Arial"/>
                <w:b/>
                <w:bCs/>
                <w:color w:val="0059D1"/>
                <w:sz w:val="16"/>
                <w:szCs w:val="16"/>
              </w:rPr>
              <w:t>[INSERT: ecologist name / date]</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values as identified]</w:t>
            </w:r>
          </w:p>
        </w:tc>
        <w:tc>
          <w:tcPr>
            <w:tcW w:type="dxa" w:w="2256"/>
          </w:tcPr>
          <w:p>
            <w:pPr>
              <w:pStyle w:val="TableContents"/>
              <w:spacing w:before="0" w:after="0" w:line="240" w:lineRule="atLeast"/>
            </w:pPr>
          </w:p>
        </w:tc>
        <w:tc>
          <w:tcPr>
            <w:tcW w:type="dxa" w:w="2256"/>
          </w:tcPr>
          <w:p>
            <w:pPr>
              <w:pStyle w:val="TableContents"/>
              <w:spacing w:before="0" w:after="0" w:line="240" w:lineRule="atLeast"/>
            </w:pPr>
          </w:p>
        </w:tc>
        <w:tc>
          <w:tcPr>
            <w:tcW w:type="dxa" w:w="2258"/>
          </w:tcPr>
          <w:p>
            <w:pPr>
              <w:pStyle w:val="TableContents"/>
              <w:spacing w:before="0" w:after="0" w:line="240" w:lineRule="atLeast"/>
            </w:pPr>
          </w:p>
        </w:tc>
      </w:tr>
    </w:tbl>
    <w:p>
      <w:pPr>
        <w:pStyle w:val="NormalNumberedtext"/>
      </w:pPr>
    </w:p>
    <w:p>
      <w:pPr>
        <w:pStyle w:val="NormalNumberedtext"/>
      </w:pPr>
      <w:r>
        <w:t>A qualified ecologist must verify the priority value identification process. The ecologist's credentials, engagement basis, and verification record are documented in the project environmental management plan.</w:t>
      </w:r>
    </w:p>
    <w:p>
      <w:pPr>
        <w:pStyle w:val="NormalNumberedtext"/>
      </w:pPr>
    </w:p>
    <w:p>
      <w:pPr>
        <w:pStyle w:val="Heading2Numbered"/>
        <w:numPr>
          <w:ilvl w:val="1"/>
          <w:numId w:val="1"/>
        </w:numPr>
      </w:pPr>
      <w:r>
        <w:rPr>
          <w:rFonts w:ascii="Arial" w:hAnsi="Arial" w:cs="Arial" w:eastAsia="Arial"/>
        </w:rPr>
        <w:t>No-Net-Loss Pathway Definition</w:t>
      </w:r>
    </w:p>
    <w:p>
      <w:pPr>
        <w:pStyle w:val="NormalNumberedtext"/>
      </w:pPr>
      <w:r>
        <w:t>This section defines the documented pathway to achieve no net loss of priority biodiversity values by the end of project closure.</w:t>
      </w:r>
    </w:p>
    <w:p>
      <w:pPr>
        <w:pStyle w:val="NormalNumberedtext"/>
      </w:pPr>
      <w:r>
        <w:t>The project must implement a documented no-net-loss pathway consistent with the RT Environment and Nature - Biodiversity Standard. The pathway must identify the priority biodiversity values at risk, calculate projected losses and gains using an independently verified methodology, address value chain impacts, and remain current through all project phases to closure.</w:t>
      </w:r>
    </w:p>
    <w:p>
      <w:pPr>
        <w:pStyle w:val="NormalNumberedtext"/>
      </w:pPr>
      <w:r>
        <w:t>The no-net-loss pathway document must include the following minimum content:</w:t>
      </w:r>
    </w:p>
    <w:p>
      <w:pPr>
        <w:pStyle w:val="NumberedBulletL1"/>
      </w:pPr>
      <w:r>
        <w:t>Identification of all priority biodiversity values within the project area of interest, verified by a qualified ecologist.</w:t>
      </w:r>
    </w:p>
    <w:p>
      <w:pPr>
        <w:pStyle w:val="NumberedBulletL1"/>
      </w:pPr>
      <w:r>
        <w:t>Projected biodiversity losses calculated using the approved impact assessment methodology, refer [INSERT: Project Document Number] - Risk Management.</w:t>
      </w:r>
    </w:p>
    <w:p>
      <w:pPr>
        <w:pStyle w:val="NumberedBulletL1"/>
      </w:pPr>
      <w:r>
        <w:t>Projected gains from avoidance, minimisation, rehabilitation, and offset measures.</w:t>
      </w:r>
    </w:p>
    <w:p>
      <w:pPr>
        <w:pStyle w:val="NumberedBulletL1"/>
      </w:pPr>
      <w:r>
        <w:t>A net position statement demonstrating the pathway to no net loss by closure.</w:t>
      </w:r>
    </w:p>
    <w:p>
      <w:pPr>
        <w:pStyle w:val="NumberedBulletL1"/>
      </w:pPr>
      <w:r>
        <w:t>Value chain impact assessment addressing indirect and supply chain biodiversity risks.</w:t>
      </w:r>
    </w:p>
    <w:p>
      <w:pPr>
        <w:pStyle w:val="NumberedBulletL1"/>
      </w:pPr>
      <w:r>
        <w:t>A schedule of independently verified reviews at each major project phase gate.</w:t>
      </w:r>
    </w:p>
    <w:p>
      <w:pPr>
        <w:pStyle w:val="NumberedBulletL1"/>
      </w:pPr>
      <w:r>
        <w:rPr>
          <w:color w:val="C55A11"/>
        </w:rPr>
        <w:t>Annual update of the net position calculation by a qualified ecologist, with outputs reported to the Project Director.</w:t>
      </w:r>
    </w:p>
    <w:p>
      <w:pPr>
        <w:pStyle w:val="NormalNumberedtext"/>
      </w:pPr>
      <w:r>
        <w:t>The no-net-loss pathway document is registered as</w:t>
      </w:r>
    </w:p>
    <w:p>
      <w:pPr>
        <w:pStyle w:val="NormalNumberedtext"/>
      </w:pPr>
      <w:r>
        <w:rPr>
          <w:b/>
          <w:bCs/>
          <w:color w:val="0059D1"/>
        </w:rPr>
        <w:t>[INSERT: no_net_loss_pathway_document_reference] — Document number and title of the project no-net-loss pathway document</w:t>
      </w:r>
    </w:p>
    <w:p>
      <w:pPr>
        <w:pStyle w:val="NormalNumberedtext"/>
      </w:pPr>
      <w:r>
        <w:t>and is reviewed and updated at each project phase gate and whenever a design change, scope change, or management of change outcome alters the project disturbance footprint.</w:t>
      </w:r>
    </w:p>
    <w:p>
      <w:pPr>
        <w:pStyle w:val="NormalNumberedtext"/>
      </w:pPr>
    </w:p>
    <w:p>
      <w:pPr>
        <w:pStyle w:val="Heading2Numbered"/>
        <w:numPr>
          <w:ilvl w:val="1"/>
          <w:numId w:val="1"/>
        </w:numPr>
      </w:pPr>
      <w:r>
        <w:rPr>
          <w:rFonts w:ascii="Arial" w:hAnsi="Arial" w:cs="Arial" w:eastAsia="Arial"/>
        </w:rPr>
        <w:t>Mitigation Hierarchy</w:t>
      </w:r>
    </w:p>
    <w:p>
      <w:pPr>
        <w:pStyle w:val="NormalNumberedtext"/>
      </w:pPr>
      <w:r>
        <w:t>This section defines the mitigation hierarchy that must be applied and documented for every significant biodiversity impact on the project.</w:t>
      </w:r>
    </w:p>
    <w:p>
      <w:pPr>
        <w:pStyle w:val="NormalNumberedtext"/>
      </w:pPr>
      <w:r>
        <w:t>The project must apply the mitigation hierarchy rigorously for all biodiversity impacts, consistent with ICMM Principle 7 and IFC PS6 §7-8. Offsetting is the measure of last resort and is applied only after avoidance, minimisation, and rehabilitation measures have been exhausted and documented.</w:t>
      </w:r>
    </w:p>
    <w:p>
      <w:pPr>
        <w:pStyle w:val="NormalNumberedtext"/>
      </w:pPr>
      <w:r>
        <w:t>Table 2: Mitigation Hierarchy Application Record</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Significant Biodiversity Impact</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Avoidance Measures Applied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Minimisation Measures Applied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Rehabilitation / Restoration Measures Applied</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Residual Impact Requiring Offset</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Responsible Role</w:t>
            </w:r>
          </w:p>
        </w:tc>
      </w:tr>
      <w:tr>
        <w:tc>
          <w:tcPr>
            <w:tcW w:type="dxa" w:w="1504"/>
          </w:tcPr>
          <w:p>
            <w:pPr>
              <w:pStyle w:val="TableContents"/>
              <w:spacing w:before="0" w:after="0" w:line="240" w:lineRule="atLeast"/>
            </w:pPr>
            <w:r>
              <w:rPr>
                <w:rFonts w:ascii="Arial" w:hAnsi="Arial" w:cs="Arial" w:eastAsia="Arial"/>
                <w:b/>
                <w:bCs/>
                <w:color w:val="0059D1"/>
                <w:sz w:val="16"/>
                <w:szCs w:val="16"/>
              </w:rPr>
              <w:t>[INSERT: impact description]</w:t>
            </w:r>
          </w:p>
        </w:tc>
        <w:tc>
          <w:tcPr>
            <w:tcW w:type="dxa" w:w="1504"/>
          </w:tcPr>
          <w:p>
            <w:pPr>
              <w:pStyle w:val="TableContents"/>
              <w:spacing w:before="0" w:after="0" w:line="240" w:lineRule="atLeast"/>
            </w:pPr>
            <w:r>
              <w:rPr>
                <w:rFonts w:ascii="Arial" w:hAnsi="Arial" w:cs="Arial" w:eastAsia="Arial"/>
                <w:b/>
                <w:bCs/>
                <w:color w:val="0059D1"/>
                <w:sz w:val="16"/>
                <w:szCs w:val="16"/>
              </w:rPr>
              <w:t>[INSERT: avoidance measures]</w:t>
            </w:r>
          </w:p>
        </w:tc>
        <w:tc>
          <w:tcPr>
            <w:tcW w:type="dxa" w:w="1504"/>
          </w:tcPr>
          <w:p>
            <w:pPr>
              <w:pStyle w:val="TableContents"/>
              <w:spacing w:before="0" w:after="0" w:line="240" w:lineRule="atLeast"/>
            </w:pPr>
            <w:r>
              <w:rPr>
                <w:rFonts w:ascii="Arial" w:hAnsi="Arial" w:cs="Arial" w:eastAsia="Arial"/>
                <w:b/>
                <w:bCs/>
                <w:color w:val="0059D1"/>
                <w:sz w:val="16"/>
                <w:szCs w:val="16"/>
              </w:rPr>
              <w:t>[INSERT: minimisation measures]</w:t>
            </w:r>
          </w:p>
        </w:tc>
        <w:tc>
          <w:tcPr>
            <w:tcW w:type="dxa" w:w="1504"/>
          </w:tcPr>
          <w:p>
            <w:pPr>
              <w:pStyle w:val="TableContents"/>
              <w:spacing w:before="0" w:after="0" w:line="240" w:lineRule="atLeast"/>
            </w:pPr>
            <w:r>
              <w:rPr>
                <w:rFonts w:ascii="Arial" w:hAnsi="Arial" w:cs="Arial" w:eastAsia="Arial"/>
                <w:b/>
                <w:bCs/>
                <w:color w:val="0059D1"/>
                <w:sz w:val="16"/>
                <w:szCs w:val="16"/>
              </w:rPr>
              <w:t>[INSERT: rehabilitation measures, refer RTPR-HSE-PRO-0037]</w:t>
            </w:r>
          </w:p>
        </w:tc>
        <w:tc>
          <w:tcPr>
            <w:tcW w:type="dxa" w:w="1504"/>
          </w:tcPr>
          <w:p>
            <w:pPr>
              <w:pStyle w:val="TableContents"/>
              <w:spacing w:before="0" w:after="0" w:line="240" w:lineRule="atLeast"/>
            </w:pPr>
            <w:r>
              <w:rPr>
                <w:rFonts w:ascii="Arial" w:hAnsi="Arial" w:cs="Arial" w:eastAsia="Arial"/>
                <w:b/>
                <w:bCs/>
                <w:color w:val="0059D1"/>
                <w:sz w:val="16"/>
                <w:szCs w:val="16"/>
              </w:rPr>
              <w:t>[INSERT: residual impact description or 'nil']</w:t>
            </w:r>
          </w:p>
        </w:tc>
        <w:tc>
          <w:tcPr>
            <w:tcW w:type="dxa" w:w="1506"/>
          </w:tcPr>
          <w:p>
            <w:pPr>
              <w:pStyle w:val="TableContents"/>
              <w:spacing w:before="0" w:after="0" w:line="240" w:lineRule="atLeast"/>
            </w:pPr>
            <w:r>
              <w:rPr>
                <w:rFonts w:ascii="Arial" w:hAnsi="Arial" w:cs="Arial" w:eastAsia="Arial"/>
                <w:b/>
                <w:bCs/>
                <w:color w:val="0059D1"/>
                <w:sz w:val="16"/>
                <w:szCs w:val="16"/>
              </w:rPr>
              <w:t>[INSERT: role]</w:t>
            </w:r>
          </w:p>
        </w:tc>
      </w:tr>
      <w:tr>
        <w:tc>
          <w:tcPr>
            <w:tcW w:type="dxa" w:w="1504"/>
          </w:tcPr>
          <w:p>
            <w:pPr>
              <w:pStyle w:val="TableContents"/>
              <w:spacing w:before="0" w:after="0" w:line="240" w:lineRule="atLeast"/>
            </w:pPr>
            <w:r>
              <w:rPr>
                <w:rFonts w:ascii="Arial" w:hAnsi="Arial" w:cs="Arial" w:eastAsia="Arial"/>
                <w:b/>
                <w:bCs/>
                <w:color w:val="0059D1"/>
                <w:sz w:val="16"/>
                <w:szCs w:val="16"/>
              </w:rPr>
              <w:t>[INSERT: additional impacts as identified]</w:t>
            </w: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6"/>
          </w:tcPr>
          <w:p>
            <w:pPr>
              <w:pStyle w:val="TableContents"/>
              <w:spacing w:before="0" w:after="0" w:line="240" w:lineRule="atLeast"/>
            </w:pPr>
          </w:p>
        </w:tc>
      </w:tr>
    </w:tbl>
    <w:p>
      <w:pPr>
        <w:pStyle w:val="NormalNumberedtext"/>
      </w:pPr>
    </w:p>
    <w:p>
      <w:pPr>
        <w:pStyle w:val="NormalNumberedtext"/>
      </w:pPr>
      <w:r>
        <w:t>Where critical habitat is present within or adjacent to the project footprint, the project must demonstrate, using independently verified evidence, that project impacts will not significantly affect the key attributes of that critical habitat, consistent with IFC PS6 §7-8. This demonstration is recorded in the project biodiversity impact assessment, refer [INSERT: Project Document Number] - Risk Management.</w:t>
      </w:r>
    </w:p>
    <w:p>
      <w:pPr>
        <w:pStyle w:val="NormalNumberedtext"/>
      </w:pPr>
    </w:p>
    <w:p>
      <w:pPr>
        <w:pStyle w:val="Heading2Numbered"/>
        <w:numPr>
          <w:ilvl w:val="1"/>
          <w:numId w:val="1"/>
        </w:numPr>
      </w:pPr>
      <w:r>
        <w:rPr>
          <w:rFonts w:ascii="Arial" w:hAnsi="Arial" w:cs="Arial" w:eastAsia="Arial"/>
        </w:rPr>
        <w:t>World Heritage Property Prohibition</w:t>
      </w:r>
    </w:p>
    <w:p>
      <w:pPr>
        <w:pStyle w:val="NormalNumberedtext"/>
      </w:pPr>
      <w:r>
        <w:t>This section records the absolute prohibition on exploration, extraction, or operation within World Heritage-listed property boundaries.</w:t>
      </w:r>
    </w:p>
    <w:p>
      <w:pPr>
        <w:pStyle w:val="NormalNumberedtext"/>
      </w:pPr>
      <w:r>
        <w:t>No project exploration, extraction, or operational activity may occur within the boundaries of a World Heritage-listed property. This prohibition is absolute and is not subject to exception, waiver, or management control offset. The Environmental Manager confirms the project footprint does not intersect any World Heritage-listed property boundary before ground disturbance commences.</w:t>
      </w:r>
    </w:p>
    <w:p>
      <w:pPr>
        <w:pStyle w:val="NormalNumberedtext"/>
      </w:pPr>
      <w:r>
        <w:rPr>
          <w:b/>
          <w:bCs/>
          <w:color w:val="0059D1"/>
        </w:rPr>
        <w:t>[INSERT: world_heritage_confirmation_record] — Reference to the document or record that confirms the project footprint does not intersect a World Heritage-listed property, including the confirming ecologist or authority and date</w:t>
      </w:r>
    </w:p>
    <w:p>
      <w:pPr>
        <w:pStyle w:val="NormalNumberedtext"/>
      </w:pPr>
    </w:p>
    <w:p>
      <w:pPr>
        <w:pStyle w:val="Heading2Numbered"/>
        <w:numPr>
          <w:ilvl w:val="1"/>
          <w:numId w:val="1"/>
        </w:numPr>
      </w:pPr>
      <w:r>
        <w:rPr>
          <w:rFonts w:ascii="Arial" w:hAnsi="Arial" w:cs="Arial" w:eastAsia="Arial"/>
        </w:rPr>
        <w:t>Biodiversity Offsets and Conservation Programmes</w:t>
      </w:r>
    </w:p>
    <w:p>
      <w:pPr>
        <w:pStyle w:val="NormalNumberedtext"/>
      </w:pPr>
      <w:r>
        <w:t>This section defines offset obligations where residual biodiversity impacts cannot be fully addressed through avoidance, minimisation, or rehabilitation.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If biodiversity offsets are required for this project, define the offset ratio, offset location, management obligations, and monitoring programme below. These are regulatory commitments and must be documented in this section before this procedure is issued.</w:t>
            </w:r>
          </w:p>
        </w:tc>
      </w:tr>
    </w:tbl>
    <w:p>
      <w:pPr>
        <w:pStyle w:val="NormalNumberedtext"/>
      </w:pPr>
    </w:p>
    <w:p>
      <w:pPr>
        <w:pStyle w:val="NormalNumberedtext"/>
      </w:pPr>
      <w:r>
        <w:t>Where residual biodiversity impacts remain after full application of the mitigation hierarchy, the project implements compensatory conservation measures consistent with IFC PS6 §8. Offset obligations are determined by regulatory approval conditions documented under [INSERT: Project Document Number] - Legal Requirements.</w:t>
      </w:r>
    </w:p>
    <w:p>
      <w:pPr>
        <w:pStyle w:val="NormalNumberedtext"/>
      </w:pPr>
      <w:r>
        <w:t>Table 3: Biodiversity Offset Register</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Residual Impact Requiring Offset</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Offset Type</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Offset Ratio</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Offset Location</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Management Obligations</w:t>
            </w:r>
          </w:p>
        </w:tc>
        <w:tc>
          <w:tcPr>
            <w:shd w:val="clear" w:color="auto" w:fill="1F3864"/>
            <w:tcW w:type="dxa" w:w="1289"/>
          </w:tcPr>
          <w:p>
            <w:pPr>
              <w:pStyle w:val="TableContents"/>
              <w:spacing w:before="0" w:after="0" w:line="240" w:lineRule="atLeast"/>
            </w:pPr>
            <w:r>
              <w:rPr>
                <w:rFonts w:ascii="Arial" w:hAnsi="Arial" w:cs="Arial" w:eastAsia="Arial"/>
                <w:b/>
                <w:bCs/>
                <w:color w:val="FFFFFF"/>
                <w:sz w:val="16"/>
                <w:szCs w:val="16"/>
              </w:rPr>
              <w:t>Monitoring Programme Reference</w:t>
            </w:r>
          </w:p>
        </w:tc>
        <w:tc>
          <w:tcPr>
            <w:shd w:val="clear" w:color="auto" w:fill="1F3864"/>
            <w:tcW w:type="dxa" w:w="1292"/>
          </w:tcPr>
          <w:p>
            <w:pPr>
              <w:pStyle w:val="TableContents"/>
              <w:spacing w:before="0" w:after="0" w:line="240" w:lineRule="atLeast"/>
            </w:pPr>
            <w:r>
              <w:rPr>
                <w:rFonts w:ascii="Arial" w:hAnsi="Arial" w:cs="Arial" w:eastAsia="Arial"/>
                <w:b/>
                <w:bCs/>
                <w:color w:val="FFFFFF"/>
                <w:sz w:val="16"/>
                <w:szCs w:val="16"/>
              </w:rPr>
              <w:t>Regulatory Condition Reference</w:t>
            </w:r>
          </w:p>
        </w:tc>
      </w:tr>
      <w:tr>
        <w:tc>
          <w:tcPr>
            <w:tcW w:type="dxa" w:w="1289"/>
          </w:tcPr>
          <w:p>
            <w:pPr>
              <w:pStyle w:val="TableContents"/>
              <w:spacing w:before="0" w:after="0" w:line="240" w:lineRule="atLeast"/>
            </w:pPr>
            <w:r>
              <w:rPr>
                <w:rFonts w:ascii="Arial" w:hAnsi="Arial" w:cs="Arial" w:eastAsia="Arial"/>
                <w:b/>
                <w:bCs/>
                <w:color w:val="0059D1"/>
                <w:sz w:val="16"/>
                <w:szCs w:val="16"/>
              </w:rPr>
              <w:t>[INSERT: residual impact]</w:t>
            </w:r>
          </w:p>
        </w:tc>
        <w:tc>
          <w:tcPr>
            <w:tcW w:type="dxa" w:w="1289"/>
          </w:tcPr>
          <w:p>
            <w:pPr>
              <w:pStyle w:val="TableContents"/>
              <w:spacing w:before="0" w:after="0" w:line="240" w:lineRule="atLeast"/>
            </w:pPr>
            <w:r>
              <w:rPr>
                <w:rFonts w:ascii="Arial" w:hAnsi="Arial" w:cs="Arial" w:eastAsia="Arial"/>
                <w:b/>
                <w:bCs/>
                <w:color w:val="0059D1"/>
                <w:sz w:val="16"/>
                <w:szCs w:val="16"/>
              </w:rPr>
              <w:t>[INSERT: offset type, e.g. habitat restoration, conservation covenant]</w:t>
            </w:r>
          </w:p>
        </w:tc>
        <w:tc>
          <w:tcPr>
            <w:tcW w:type="dxa" w:w="1289"/>
          </w:tcPr>
          <w:p>
            <w:pPr>
              <w:pStyle w:val="TableContents"/>
              <w:spacing w:before="0" w:after="0" w:line="240" w:lineRule="atLeast"/>
            </w:pPr>
            <w:r>
              <w:rPr>
                <w:rFonts w:ascii="Arial" w:hAnsi="Arial" w:cs="Arial" w:eastAsia="Arial"/>
                <w:b/>
                <w:bCs/>
                <w:color w:val="0059D1"/>
                <w:sz w:val="16"/>
                <w:szCs w:val="16"/>
              </w:rPr>
              <w:t>[INSERT: ratio, e.g. 3:1]</w:t>
            </w:r>
          </w:p>
        </w:tc>
        <w:tc>
          <w:tcPr>
            <w:tcW w:type="dxa" w:w="1289"/>
          </w:tcPr>
          <w:p>
            <w:pPr>
              <w:pStyle w:val="TableContents"/>
              <w:spacing w:before="0" w:after="0" w:line="240" w:lineRule="atLeast"/>
            </w:pPr>
            <w:r>
              <w:rPr>
                <w:rFonts w:ascii="Arial" w:hAnsi="Arial" w:cs="Arial" w:eastAsia="Arial"/>
                <w:b/>
                <w:bCs/>
                <w:color w:val="0059D1"/>
                <w:sz w:val="16"/>
                <w:szCs w:val="16"/>
              </w:rPr>
              <w:t>[INSERT: offset location]</w:t>
            </w:r>
          </w:p>
        </w:tc>
        <w:tc>
          <w:tcPr>
            <w:tcW w:type="dxa" w:w="1289"/>
          </w:tcPr>
          <w:p>
            <w:pPr>
              <w:pStyle w:val="TableContents"/>
              <w:spacing w:before="0" w:after="0" w:line="240" w:lineRule="atLeast"/>
            </w:pPr>
            <w:r>
              <w:rPr>
                <w:rFonts w:ascii="Arial" w:hAnsi="Arial" w:cs="Arial" w:eastAsia="Arial"/>
                <w:b/>
                <w:bCs/>
                <w:color w:val="0059D1"/>
                <w:sz w:val="16"/>
                <w:szCs w:val="16"/>
              </w:rPr>
              <w:t>[INSERT: management obligations]</w:t>
            </w:r>
          </w:p>
        </w:tc>
        <w:tc>
          <w:tcPr>
            <w:tcW w:type="dxa" w:w="1289"/>
          </w:tcPr>
          <w:p>
            <w:pPr>
              <w:pStyle w:val="TableContents"/>
              <w:spacing w:before="0" w:after="0" w:line="240" w:lineRule="atLeast"/>
            </w:pPr>
            <w:r>
              <w:rPr>
                <w:rFonts w:ascii="Arial" w:hAnsi="Arial" w:cs="Arial" w:eastAsia="Arial"/>
                <w:b/>
                <w:bCs/>
                <w:color w:val="0059D1"/>
                <w:sz w:val="16"/>
                <w:szCs w:val="16"/>
              </w:rPr>
              <w:t>[INSERT: refer RTPR-HSE-PRO-0042]</w:t>
            </w:r>
          </w:p>
        </w:tc>
        <w:tc>
          <w:tcPr>
            <w:tcW w:type="dxa" w:w="1292"/>
          </w:tcPr>
          <w:p>
            <w:pPr>
              <w:pStyle w:val="TableContents"/>
              <w:spacing w:before="0" w:after="0" w:line="240" w:lineRule="atLeast"/>
            </w:pPr>
            <w:r>
              <w:rPr>
                <w:rFonts w:ascii="Arial" w:hAnsi="Arial" w:cs="Arial" w:eastAsia="Arial"/>
                <w:b/>
                <w:bCs/>
                <w:color w:val="0059D1"/>
                <w:sz w:val="16"/>
                <w:szCs w:val="16"/>
              </w:rPr>
              <w:t>[INSERT: regulatory condition number]</w:t>
            </w:r>
          </w:p>
        </w:tc>
      </w:tr>
      <w:tr>
        <w:tc>
          <w:tcPr>
            <w:tcW w:type="dxa" w:w="1289"/>
          </w:tcPr>
          <w:p>
            <w:pPr>
              <w:pStyle w:val="TableContents"/>
              <w:spacing w:before="0" w:after="0" w:line="240" w:lineRule="atLeast"/>
            </w:pPr>
            <w:r>
              <w:rPr>
                <w:rFonts w:ascii="Arial" w:hAnsi="Arial" w:cs="Arial" w:eastAsia="Arial"/>
                <w:b/>
                <w:bCs/>
                <w:color w:val="0059D1"/>
                <w:sz w:val="16"/>
                <w:szCs w:val="16"/>
              </w:rPr>
              <w:t>[INSERT: additional offsets as required]</w:t>
            </w:r>
          </w:p>
        </w:tc>
        <w:tc>
          <w:tcPr>
            <w:tcW w:type="dxa" w:w="1289"/>
          </w:tcPr>
          <w:p>
            <w:pPr>
              <w:pStyle w:val="TableContents"/>
              <w:spacing w:before="0" w:after="0" w:line="240" w:lineRule="atLeast"/>
            </w:pPr>
          </w:p>
        </w:tc>
        <w:tc>
          <w:tcPr>
            <w:tcW w:type="dxa" w:w="1289"/>
          </w:tcPr>
          <w:p>
            <w:pPr>
              <w:pStyle w:val="TableContents"/>
              <w:spacing w:before="0" w:after="0" w:line="240" w:lineRule="atLeast"/>
            </w:pPr>
          </w:p>
        </w:tc>
        <w:tc>
          <w:tcPr>
            <w:tcW w:type="dxa" w:w="1289"/>
          </w:tcPr>
          <w:p>
            <w:pPr>
              <w:pStyle w:val="TableContents"/>
              <w:spacing w:before="0" w:after="0" w:line="240" w:lineRule="atLeast"/>
            </w:pPr>
          </w:p>
        </w:tc>
        <w:tc>
          <w:tcPr>
            <w:tcW w:type="dxa" w:w="1289"/>
          </w:tcPr>
          <w:p>
            <w:pPr>
              <w:pStyle w:val="TableContents"/>
              <w:spacing w:before="0" w:after="0" w:line="240" w:lineRule="atLeast"/>
            </w:pPr>
          </w:p>
        </w:tc>
        <w:tc>
          <w:tcPr>
            <w:tcW w:type="dxa" w:w="1289"/>
          </w:tcPr>
          <w:p>
            <w:pPr>
              <w:pStyle w:val="TableContents"/>
              <w:spacing w:before="0" w:after="0" w:line="240" w:lineRule="atLeast"/>
            </w:pPr>
          </w:p>
        </w:tc>
        <w:tc>
          <w:tcPr>
            <w:tcW w:type="dxa" w:w="1292"/>
          </w:tcPr>
          <w:p>
            <w:pPr>
              <w:pStyle w:val="TableContents"/>
              <w:spacing w:before="0" w:after="0" w:line="240" w:lineRule="atLeast"/>
            </w:pPr>
          </w:p>
        </w:tc>
      </w:tr>
    </w:tbl>
    <w:p>
      <w:pPr>
        <w:pStyle w:val="NormalNumberedtext"/>
      </w:pPr>
    </w:p>
    <w:p>
      <w:pPr>
        <w:pStyle w:val="NormalNumberedtext"/>
      </w:pPr>
      <w:r>
        <w:t>The offset monitoring programme is governed by [INSERT: Project Document Number] - Monitoring. Offset performance is reported at the frequency defined in the regulatory approval condition and at each project phase gate review.</w:t>
      </w:r>
    </w:p>
    <w:p>
      <w:pPr>
        <w:pStyle w:val="NormalNumberedtext"/>
      </w:pPr>
    </w:p>
    <w:p>
      <w:pPr>
        <w:pStyle w:val="Heading1Numbered"/>
        <w:numPr>
          <w:ilvl w:val="0"/>
          <w:numId w:val="1"/>
        </w:numPr>
      </w:pPr>
      <w:r>
        <w:rPr>
          <w:rFonts w:ascii="Arial" w:hAnsi="Arial" w:cs="Arial" w:eastAsia="Arial"/>
        </w:rPr>
        <w:t>Fauna Management</w:t>
      </w:r>
    </w:p>
    <w:p>
      <w:pPr>
        <w:pStyle w:val="NormalNumberedtext"/>
      </w:pPr>
      <w:r>
        <w:t>This section defines pre-clearance survey requirements, fauna rescue and translocation controls, species-specific management plans, and the fauna chance discovery protocol for all project personnel.</w:t>
      </w:r>
    </w:p>
    <w:p>
      <w:pPr>
        <w:pStyle w:val="NormalNumberedtext"/>
      </w:pPr>
    </w:p>
    <w:p>
      <w:pPr>
        <w:pStyle w:val="Heading2Numbered"/>
        <w:numPr>
          <w:ilvl w:val="1"/>
          <w:numId w:val="1"/>
        </w:numPr>
      </w:pPr>
      <w:r>
        <w:rPr>
          <w:rFonts w:ascii="Arial" w:hAnsi="Arial" w:cs="Arial" w:eastAsia="Arial"/>
        </w:rPr>
        <w:t>Pre-Clearance Fauna Surveys</w:t>
      </w:r>
    </w:p>
    <w:p>
      <w:pPr>
        <w:pStyle w:val="NormalNumberedtext"/>
      </w:pPr>
      <w:r>
        <w:t>This section defines the survey requirements that must be completed before any vegetation clearing commences.</w:t>
      </w:r>
    </w:p>
    <w:p>
      <w:pPr>
        <w:pStyle w:val="NormalNumberedtext"/>
      </w:pPr>
      <w:r>
        <w:t>A qualified ecologist must complete a pre-clearance fauna survey before vegetation clearing commences in any new disturbance area. The survey identifies the presence of threatened or protected fauna species and informs the clearance methodology and fauna rescue requirements for that area.</w:t>
      </w:r>
    </w:p>
    <w:p>
      <w:pPr>
        <w:pStyle w:val="NormalNumberedtext"/>
      </w:pPr>
      <w:r>
        <w:t>Pre-clearance fauna surveys must meet the following minimum requirements:</w:t>
      </w:r>
    </w:p>
    <w:p>
      <w:pPr>
        <w:pStyle w:val="NumberedBulletL1"/>
      </w:pPr>
      <w:r>
        <w:t>Surveys are conducted by a qualified ecologist holding the relevant fauna survey permits required under state or territory fauna protection legislation, refer [INSERT: Project Document Number] - Legal Requirements.</w:t>
      </w:r>
    </w:p>
    <w:p>
      <w:pPr>
        <w:pStyle w:val="NumberedBulletL1"/>
      </w:pPr>
      <w:r>
        <w:t>Survey scope and methodology are consistent with the approved project biodiversity impact assessment, refer [INSERT: Project Document Number] - Risk Management.</w:t>
      </w:r>
    </w:p>
    <w:p>
      <w:pPr>
        <w:pStyle w:val="NumberedBulletL1"/>
      </w:pPr>
      <w:r>
        <w:rPr>
          <w:color w:val="C55A11"/>
        </w:rPr>
        <w:t>Surveys are completed no more than 12 months before the scheduled clearance date for the surveyed area, with a targeted re-survey completed if more than 12 months elapse before clearance commences.</w:t>
      </w:r>
    </w:p>
    <w:p>
      <w:pPr>
        <w:pStyle w:val="NumberedBulletL1"/>
      </w:pPr>
      <w:r>
        <w:t>Survey outputs are documented in a survey report that includes species lists, habitat condition assessments, and recommended clearance controls.</w:t>
      </w:r>
    </w:p>
    <w:p>
      <w:pPr>
        <w:pStyle w:val="NumberedBulletL1"/>
      </w:pPr>
      <w:r>
        <w:t>The survey report is reviewed by the Environmental Manager before clearance approval is granted.</w:t>
      </w:r>
    </w:p>
    <w:p>
      <w:pPr>
        <w:pStyle w:val="NumberedBulletL1"/>
      </w:pPr>
      <w:r>
        <w:t>All sightings of protected or significant fauna species are reported to the Company environmental representative immediately upon identification.</w:t>
      </w:r>
    </w:p>
    <w:p>
      <w:pPr>
        <w:pStyle w:val="NormalNumberedtext"/>
      </w:pPr>
    </w:p>
    <w:p>
      <w:pPr>
        <w:pStyle w:val="Heading2Numbered"/>
        <w:numPr>
          <w:ilvl w:val="1"/>
          <w:numId w:val="1"/>
        </w:numPr>
      </w:pPr>
      <w:r>
        <w:rPr>
          <w:rFonts w:ascii="Arial" w:hAnsi="Arial" w:cs="Arial" w:eastAsia="Arial"/>
        </w:rPr>
        <w:t>Fauna Rescue, Translocation, and Exclusion Fencing</w:t>
      </w:r>
    </w:p>
    <w:p>
      <w:pPr>
        <w:pStyle w:val="NormalNumberedtext"/>
      </w:pPr>
      <w:r>
        <w:t>This section defines the controls for fauna rescue, translocation, and exclusion fencing applied during and after vegetation clearing.</w:t>
      </w:r>
    </w:p>
    <w:p>
      <w:pPr>
        <w:pStyle w:val="NormalNumberedtext"/>
      </w:pPr>
      <w:r>
        <w:t>Fauna rescue and translocation operations are conducted under the direction of a qualified ecologist holding the relevant fauna handling permits. Rescue operations are completed before clearing machinery enters the clearance area.</w:t>
      </w:r>
    </w:p>
    <w:p>
      <w:pPr>
        <w:pStyle w:val="NormalNumberedtext"/>
      </w:pPr>
      <w:r>
        <w:t>Fauna rescue, translocation, and exclusion fencing controls must meet the following minimum requirements:</w:t>
      </w:r>
    </w:p>
    <w:p>
      <w:pPr>
        <w:pStyle w:val="NumberedBulletL1"/>
      </w:pPr>
      <w:r>
        <w:t>Exclusion fencing is installed around the clearance boundary before clearing commences in any area where threatened or protected fauna have been identified in the pre-clearance survey.</w:t>
      </w:r>
    </w:p>
    <w:p>
      <w:pPr>
        <w:pStyle w:val="NumberedBulletL1"/>
      </w:pPr>
      <w:r>
        <w:rPr>
          <w:color w:val="C55A11"/>
        </w:rPr>
        <w:t>Exclusion fencing is inspected by the Environmental Representative at the start of each working day during active clearing and any damage repaired before clearing resumes.</w:t>
      </w:r>
    </w:p>
    <w:p>
      <w:pPr>
        <w:pStyle w:val="NumberedBulletL1"/>
      </w:pPr>
      <w:r>
        <w:t>Fauna encountered during clearing are rescued by a permit-holding ecologist and translocated to suitable habitat within the project study area, as defined in the species-specific management plan for the relevant species.</w:t>
      </w:r>
    </w:p>
    <w:p>
      <w:pPr>
        <w:pStyle w:val="NumberedBulletL1"/>
      </w:pPr>
      <w:r>
        <w:t>Clearing machinery operates at reduced speed in areas of identified fauna habitat, with spotters deployed ahead of machinery to detect fauna movement.</w:t>
      </w:r>
    </w:p>
    <w:p>
      <w:pPr>
        <w:pStyle w:val="NumberedBulletL1"/>
      </w:pPr>
      <w:r>
        <w:rPr>
          <w:color w:val="C55A11"/>
        </w:rPr>
        <w:t>Clearing speed in fauna habitat areas does not exceed 5 km/h during the initial pass through vegetation.</w:t>
      </w:r>
    </w:p>
    <w:p>
      <w:pPr>
        <w:pStyle w:val="NumberedBulletL1"/>
      </w:pPr>
      <w:r>
        <w:t>All rescued, translocated, or injured fauna are recorded in the fauna rescue log, including species, location, condition, and outcome.</w:t>
      </w:r>
    </w:p>
    <w:p>
      <w:pPr>
        <w:pStyle w:val="NumberedBulletL1"/>
      </w:pPr>
      <w:r>
        <w:t>Injured fauna that cannot be safely translocated are referred to a licensed wildlife carer or veterinary service immediately.</w:t>
      </w:r>
    </w:p>
    <w:p>
      <w:pPr>
        <w:pStyle w:val="NormalNumberedtext"/>
      </w:pPr>
    </w:p>
    <w:p>
      <w:pPr>
        <w:pStyle w:val="Heading2Numbered"/>
        <w:numPr>
          <w:ilvl w:val="1"/>
          <w:numId w:val="1"/>
        </w:numPr>
      </w:pPr>
      <w:r>
        <w:rPr>
          <w:rFonts w:ascii="Arial" w:hAnsi="Arial" w:cs="Arial" w:eastAsia="Arial"/>
        </w:rPr>
        <w:t>Fauna Chance Discovery Protocol</w:t>
      </w:r>
    </w:p>
    <w:p>
      <w:pPr>
        <w:pStyle w:val="NormalNumberedtext"/>
      </w:pPr>
      <w:r>
        <w:t>This section defines the fauna chance discovery protocol that applies to all project personnel during all project activities.</w:t>
      </w:r>
    </w:p>
    <w:p>
      <w:pPr>
        <w:pStyle w:val="NormalNumberedtext"/>
      </w:pPr>
      <w:r>
        <w:t>A fauna chance discovery protocol applies to all project personnel, including Rio Tinto staff and all contractor organisations, from the first day of site mobilisation. All personnel receive training on the protocol as part of the project environmental induction.</w:t>
      </w:r>
    </w:p>
    <w:p>
      <w:pPr>
        <w:pStyle w:val="NormalNumberedtext"/>
      </w:pPr>
      <w:r>
        <w:t>The fauna chance discovery protocol requires all project personnel to comply with the following rules:</w:t>
      </w:r>
    </w:p>
    <w:p>
      <w:pPr>
        <w:pStyle w:val="NumberedBulletL1"/>
      </w:pPr>
      <w:r>
        <w:t>No personnel may capture, feed, harass, deliberately kill, trade animal products from, or have deliberate interactions with wildlife or introduced animals on or adjacent to the project footprint.</w:t>
      </w:r>
    </w:p>
    <w:p>
      <w:pPr>
        <w:pStyle w:val="NumberedBulletL1"/>
      </w:pPr>
      <w:r>
        <w:t>All sightings of protected or significant fauna species are reported to the Company environmental representative as soon as practicable after the sighting.</w:t>
      </w:r>
    </w:p>
    <w:p>
      <w:pPr>
        <w:pStyle w:val="NumberedBulletL1"/>
      </w:pPr>
      <w:r>
        <w:t>Work in the immediate vicinity of a chance discovery stops until the Company environmental representative or a qualified ecologist assesses the situation and provides clearance to resume.</w:t>
      </w:r>
    </w:p>
    <w:p>
      <w:pPr>
        <w:pStyle w:val="NumberedBulletL1"/>
      </w:pPr>
      <w:r>
        <w:t>The Environmental Representative contacts the relevant regulatory authority if a threatened or protected species is found in a condition requiring intervention, consistent with fauna protection approval conditions under [INSERT: Project Document Number] - Legal Requirements.</w:t>
      </w:r>
    </w:p>
    <w:p>
      <w:pPr>
        <w:pStyle w:val="NumberedBulletL1"/>
      </w:pPr>
      <w:r>
        <w:t>All chance discovery events are recorded in the fauna rescue log and reported per project incident reporting requirements, refer [INSERT: Project Document Number].</w:t>
      </w:r>
    </w:p>
    <w:p>
      <w:pPr>
        <w:pStyle w:val="NormalNumberedtext"/>
      </w:pPr>
    </w:p>
    <w:p>
      <w:pPr>
        <w:pStyle w:val="Heading2Numbered"/>
        <w:numPr>
          <w:ilvl w:val="1"/>
          <w:numId w:val="1"/>
        </w:numPr>
      </w:pPr>
      <w:r>
        <w:rPr>
          <w:rFonts w:ascii="Arial" w:hAnsi="Arial" w:cs="Arial" w:eastAsia="Arial"/>
        </w:rPr>
        <w:t>Species-Specific Management Plans</w:t>
      </w:r>
    </w:p>
    <w:p>
      <w:pPr>
        <w:pStyle w:val="NormalNumberedtext"/>
      </w:pPr>
      <w:r>
        <w:t>This section defines the requirement for species-specific management plans for threatened or protected fauna confirmed in the project impact assessment.</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For each threatened or protected fauna species confirmed in the project impact assessment, define a species-specific management plan as an appendix to this procedure. Each plan must specify controls, monitoring frequency, and success criteria, and must be developed in consultation with a qualified ecologist.</w:t>
            </w:r>
          </w:p>
        </w:tc>
      </w:tr>
    </w:tbl>
    <w:p>
      <w:pPr>
        <w:pStyle w:val="NormalNumberedtext"/>
      </w:pPr>
    </w:p>
    <w:p>
      <w:pPr>
        <w:pStyle w:val="NormalNumberedtext"/>
      </w:pPr>
      <w:r>
        <w:t>The project must define a species-specific management plan for each threatened or protected fauna species identified in the project biodiversity impact assessment, refer [INSERT: Project Document Number] - Risk Management. Each plan is developed in consultation with a qualified ecologist and approved by the Environmental Manager before the relevant project activity commences.</w:t>
      </w:r>
    </w:p>
    <w:p>
      <w:pPr>
        <w:pStyle w:val="NormalNumberedtext"/>
      </w:pPr>
      <w:r>
        <w:t>Each species-specific management plan must address the following minimum content:</w:t>
      </w:r>
    </w:p>
    <w:p>
      <w:pPr>
        <w:pStyle w:val="NumberedBulletL1"/>
      </w:pPr>
      <w:r>
        <w:t>Species identification, listing status, and known distribution within the project area.</w:t>
      </w:r>
    </w:p>
    <w:p>
      <w:pPr>
        <w:pStyle w:val="NumberedBulletL1"/>
      </w:pPr>
      <w:r>
        <w:t>Specific controls for each project activity that may affect the species.</w:t>
      </w:r>
    </w:p>
    <w:p>
      <w:pPr>
        <w:pStyle w:val="NumberedBulletL1"/>
      </w:pPr>
      <w:r>
        <w:t>Monitoring method, frequency, and responsible role.</w:t>
      </w:r>
    </w:p>
    <w:p>
      <w:pPr>
        <w:pStyle w:val="NumberedBulletL1"/>
      </w:pPr>
      <w:r>
        <w:t>Success criteria against which control effectiveness is measured.</w:t>
      </w:r>
    </w:p>
    <w:p>
      <w:pPr>
        <w:pStyle w:val="NumberedBulletL1"/>
      </w:pPr>
      <w:r>
        <w:t>Trigger thresholds that require escalation to the Environmental Manager or regulatory authority.</w:t>
      </w:r>
    </w:p>
    <w:p>
      <w:pPr>
        <w:pStyle w:val="NumberedBulletL1"/>
      </w:pPr>
      <w:r>
        <w:t>Contact details for the qualified ecologist responsible for the plan.</w:t>
      </w:r>
    </w:p>
    <w:p>
      <w:pPr>
        <w:pStyle w:val="NormalNumberedtext"/>
      </w:pPr>
      <w:r>
        <w:t>Table 4: Species-Specific Management Plan Register</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Species Common Name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Species Scientific Name</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Listing Status</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Plan Reference (Appendix)</w:t>
            </w:r>
          </w:p>
        </w:tc>
        <w:tc>
          <w:tcPr>
            <w:shd w:val="clear" w:color="auto" w:fill="1F3864"/>
            <w:tcW w:type="dxa" w:w="1504"/>
          </w:tcPr>
          <w:p>
            <w:pPr>
              <w:pStyle w:val="TableContents"/>
              <w:spacing w:before="0" w:after="0" w:line="240" w:lineRule="atLeast"/>
            </w:pPr>
            <w:r>
              <w:rPr>
                <w:rFonts w:ascii="Arial" w:hAnsi="Arial" w:cs="Arial" w:eastAsia="Arial"/>
                <w:b/>
                <w:bCs/>
                <w:color w:val="FFFFFF"/>
                <w:sz w:val="16"/>
                <w:szCs w:val="16"/>
              </w:rPr>
              <w:t>Responsible Ecologist</w:t>
            </w:r>
          </w:p>
        </w:tc>
        <w:tc>
          <w:tcPr>
            <w:shd w:val="clear" w:color="auto" w:fill="1F3864"/>
            <w:tcW w:type="dxa" w:w="1506"/>
          </w:tcPr>
          <w:p>
            <w:pPr>
              <w:pStyle w:val="TableContents"/>
              <w:spacing w:before="0" w:after="0" w:line="240" w:lineRule="atLeast"/>
            </w:pPr>
            <w:r>
              <w:rPr>
                <w:rFonts w:ascii="Arial" w:hAnsi="Arial" w:cs="Arial" w:eastAsia="Arial"/>
                <w:b/>
                <w:bCs/>
                <w:color w:val="FFFFFF"/>
                <w:sz w:val="16"/>
                <w:szCs w:val="16"/>
              </w:rPr>
              <w:t>Approval Date</w:t>
            </w:r>
          </w:p>
        </w:tc>
      </w:tr>
      <w:tr>
        <w:tc>
          <w:tcPr>
            <w:tcW w:type="dxa" w:w="1504"/>
          </w:tcPr>
          <w:p>
            <w:pPr>
              <w:pStyle w:val="TableContents"/>
              <w:spacing w:before="0" w:after="0" w:line="240" w:lineRule="atLeast"/>
            </w:pPr>
            <w:r>
              <w:rPr>
                <w:rFonts w:ascii="Arial" w:hAnsi="Arial" w:cs="Arial" w:eastAsia="Arial"/>
                <w:b/>
                <w:bCs/>
                <w:color w:val="0059D1"/>
                <w:sz w:val="16"/>
                <w:szCs w:val="16"/>
              </w:rPr>
              <w:t>[INSERT: species common name]</w:t>
            </w:r>
          </w:p>
        </w:tc>
        <w:tc>
          <w:tcPr>
            <w:tcW w:type="dxa" w:w="1504"/>
          </w:tcPr>
          <w:p>
            <w:pPr>
              <w:pStyle w:val="TableContents"/>
              <w:spacing w:before="0" w:after="0" w:line="240" w:lineRule="atLeast"/>
            </w:pPr>
            <w:r>
              <w:rPr>
                <w:rFonts w:ascii="Arial" w:hAnsi="Arial" w:cs="Arial" w:eastAsia="Arial"/>
                <w:b/>
                <w:bCs/>
                <w:color w:val="0059D1"/>
                <w:sz w:val="16"/>
                <w:szCs w:val="16"/>
              </w:rPr>
              <w:t>[INSERT: scientific name]</w:t>
            </w:r>
          </w:p>
        </w:tc>
        <w:tc>
          <w:tcPr>
            <w:tcW w:type="dxa" w:w="1504"/>
          </w:tcPr>
          <w:p>
            <w:pPr>
              <w:pStyle w:val="TableContents"/>
              <w:spacing w:before="0" w:after="0" w:line="240" w:lineRule="atLeast"/>
            </w:pPr>
            <w:r>
              <w:rPr>
                <w:rFonts w:ascii="Arial" w:hAnsi="Arial" w:cs="Arial" w:eastAsia="Arial"/>
                <w:b/>
                <w:bCs/>
                <w:color w:val="0059D1"/>
                <w:sz w:val="16"/>
                <w:szCs w:val="16"/>
              </w:rPr>
              <w:t>[INSERT: listing status, e.g. Critically Endangered – EPBC Act]</w:t>
            </w:r>
          </w:p>
        </w:tc>
        <w:tc>
          <w:tcPr>
            <w:tcW w:type="dxa" w:w="1504"/>
          </w:tcPr>
          <w:p>
            <w:pPr>
              <w:pStyle w:val="TableContents"/>
              <w:spacing w:before="0" w:after="0" w:line="240" w:lineRule="atLeast"/>
            </w:pPr>
            <w:r>
              <w:rPr>
                <w:rFonts w:ascii="Arial" w:hAnsi="Arial" w:cs="Arial" w:eastAsia="Arial"/>
                <w:b/>
                <w:bCs/>
                <w:color w:val="0059D1"/>
                <w:sz w:val="16"/>
                <w:szCs w:val="16"/>
              </w:rPr>
              <w:t>[INSERT: appendix reference]</w:t>
            </w:r>
          </w:p>
        </w:tc>
        <w:tc>
          <w:tcPr>
            <w:tcW w:type="dxa" w:w="1504"/>
          </w:tcPr>
          <w:p>
            <w:pPr>
              <w:pStyle w:val="TableContents"/>
              <w:spacing w:before="0" w:after="0" w:line="240" w:lineRule="atLeast"/>
            </w:pPr>
            <w:r>
              <w:rPr>
                <w:rFonts w:ascii="Arial" w:hAnsi="Arial" w:cs="Arial" w:eastAsia="Arial"/>
                <w:b/>
                <w:bCs/>
                <w:color w:val="0059D1"/>
                <w:sz w:val="16"/>
                <w:szCs w:val="16"/>
              </w:rPr>
              <w:t>[INSERT: ecologist name]</w:t>
            </w:r>
          </w:p>
        </w:tc>
        <w:tc>
          <w:tcPr>
            <w:tcW w:type="dxa" w:w="1506"/>
          </w:tcPr>
          <w:p>
            <w:pPr>
              <w:pStyle w:val="TableContents"/>
              <w:spacing w:before="0" w:after="0" w:line="240" w:lineRule="atLeast"/>
            </w:pPr>
            <w:r>
              <w:rPr>
                <w:rFonts w:ascii="Arial" w:hAnsi="Arial" w:cs="Arial" w:eastAsia="Arial"/>
                <w:b/>
                <w:bCs/>
                <w:color w:val="0059D1"/>
                <w:sz w:val="16"/>
                <w:szCs w:val="16"/>
              </w:rPr>
              <w:t>[INSERT: date]</w:t>
            </w:r>
          </w:p>
        </w:tc>
      </w:tr>
      <w:tr>
        <w:tc>
          <w:tcPr>
            <w:tcW w:type="dxa" w:w="1504"/>
          </w:tcPr>
          <w:p>
            <w:pPr>
              <w:pStyle w:val="TableContents"/>
              <w:spacing w:before="0" w:after="0" w:line="240" w:lineRule="atLeast"/>
            </w:pPr>
            <w:r>
              <w:rPr>
                <w:rFonts w:ascii="Arial" w:hAnsi="Arial" w:cs="Arial" w:eastAsia="Arial"/>
                <w:b/>
                <w:bCs/>
                <w:color w:val="0059D1"/>
                <w:sz w:val="16"/>
                <w:szCs w:val="16"/>
              </w:rPr>
              <w:t>[INSERT: additional species as identified]</w:t>
            </w: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4"/>
          </w:tcPr>
          <w:p>
            <w:pPr>
              <w:pStyle w:val="TableContents"/>
              <w:spacing w:before="0" w:after="0" w:line="240" w:lineRule="atLeast"/>
            </w:pPr>
          </w:p>
        </w:tc>
        <w:tc>
          <w:tcPr>
            <w:tcW w:type="dxa" w:w="1506"/>
          </w:tcPr>
          <w:p>
            <w:pPr>
              <w:pStyle w:val="TableContents"/>
              <w:spacing w:before="0" w:after="0" w:line="240" w:lineRule="atLeast"/>
            </w:pPr>
          </w:p>
        </w:tc>
      </w:tr>
    </w:tbl>
    <w:p>
      <w:pPr>
        <w:pStyle w:val="NormalNumberedtext"/>
      </w:pPr>
    </w:p>
    <w:p>
      <w:pPr>
        <w:pStyle w:val="NormalNumberedtext"/>
      </w:pPr>
      <w:r>
        <w:t>Impacts on locally important flora and fauna are managed through avoidance and mitigation measures defined in the applicable species-specific management plan or the project biodiversity impact assessment, consistent with IFC PS6 §8. Where residual impacts remain after full application of controls, compensatory conservation measures are implemented as defined in Section 2.5 of this procedure.</w:t>
      </w:r>
    </w:p>
    <w:p>
      <w:pPr>
        <w:pStyle w:val="NormalNumberedtext"/>
      </w:pPr>
    </w:p>
    <w:p>
      <w:pPr>
        <w:pStyle w:val="Heading1Numbered"/>
        <w:numPr>
          <w:ilvl w:val="0"/>
          <w:numId w:val="1"/>
        </w:numPr>
      </w:pPr>
      <w:r>
        <w:rPr>
          <w:rFonts w:ascii="Arial" w:hAnsi="Arial" w:cs="Arial" w:eastAsia="Arial"/>
        </w:rPr>
        <w:t>Invasive Species and Biosecurity</w:t>
      </w:r>
    </w:p>
    <w:p>
      <w:pPr>
        <w:pStyle w:val="NormalNumberedtext"/>
      </w:pPr>
      <w:r>
        <w:t>This section defines biosecurity controls to prevent the introduction and spread of invasive species, covering vehicle and equipment wash-down, soil and plant material movement, marine biosecurity, and imported equipment inspection.</w:t>
      </w:r>
    </w:p>
    <w:p>
      <w:pPr>
        <w:pStyle w:val="NormalNumberedtext"/>
      </w:pPr>
    </w:p>
    <w:p>
      <w:pPr>
        <w:pStyle w:val="Heading2Numbered"/>
        <w:numPr>
          <w:ilvl w:val="1"/>
          <w:numId w:val="1"/>
        </w:numPr>
      </w:pPr>
      <w:r>
        <w:rPr>
          <w:rFonts w:ascii="Arial" w:hAnsi="Arial" w:cs="Arial" w:eastAsia="Arial"/>
        </w:rPr>
        <w:t>Invasive Species Risk Identification</w:t>
      </w:r>
    </w:p>
    <w:p>
      <w:pPr>
        <w:pStyle w:val="NormalNumberedtext"/>
      </w:pPr>
      <w:r>
        <w:t>This section requires identification of invasive species risks relevant to the project location before controls are defined.</w:t>
      </w:r>
    </w:p>
    <w:p>
      <w:pPr>
        <w:pStyle w:val="NormalNumberedtext"/>
      </w:pPr>
      <w:r>
        <w:t>The project must identify invasive species risks relevant to the project location as a prerequisite to defining biosecurity controls. Risk identification is conducted by a qualified ecologist and recorded in the project biodiversity management plan, consistent with the TSM Biodiversity Conservation Management Protocol, Indicator BC2.</w:t>
      </w:r>
    </w:p>
    <w:p>
      <w:pPr>
        <w:pStyle w:val="NormalNumberedtext"/>
      </w:pPr>
      <w:r>
        <w:t>Table 5: Invasive Species Risk Register</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Invasive Species / Pathogen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Introduction Pathway</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Sensitive Receptor / Area at Risk</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Consequence Rating</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Biosecurity Control Reference</w:t>
            </w:r>
          </w:p>
        </w:tc>
      </w:tr>
      <w:tr>
        <w:tc>
          <w:tcPr>
            <w:tcW w:type="dxa" w:w="1805"/>
          </w:tcPr>
          <w:p>
            <w:pPr>
              <w:pStyle w:val="TableContents"/>
              <w:spacing w:before="0" w:after="0" w:line="240" w:lineRule="atLeast"/>
            </w:pPr>
            <w:r>
              <w:rPr>
                <w:rFonts w:ascii="Arial" w:hAnsi="Arial" w:cs="Arial" w:eastAsia="Arial"/>
                <w:b/>
                <w:bCs/>
                <w:color w:val="0059D1"/>
                <w:sz w:val="16"/>
                <w:szCs w:val="16"/>
              </w:rPr>
              <w:t>[INSERT: species or pathogen name]</w:t>
            </w:r>
          </w:p>
        </w:tc>
        <w:tc>
          <w:tcPr>
            <w:tcW w:type="dxa" w:w="1805"/>
          </w:tcPr>
          <w:p>
            <w:pPr>
              <w:pStyle w:val="TableContents"/>
              <w:spacing w:before="0" w:after="0" w:line="240" w:lineRule="atLeast"/>
            </w:pPr>
            <w:r>
              <w:rPr>
                <w:rFonts w:ascii="Arial" w:hAnsi="Arial" w:cs="Arial" w:eastAsia="Arial"/>
                <w:b/>
                <w:bCs/>
                <w:color w:val="0059D1"/>
                <w:sz w:val="16"/>
                <w:szCs w:val="16"/>
              </w:rPr>
              <w:t>[INSERT: introduction pathway, e.g. vehicle movement, soil import]</w:t>
            </w:r>
          </w:p>
        </w:tc>
        <w:tc>
          <w:tcPr>
            <w:tcW w:type="dxa" w:w="1805"/>
          </w:tcPr>
          <w:p>
            <w:pPr>
              <w:pStyle w:val="TableContents"/>
              <w:spacing w:before="0" w:after="0" w:line="240" w:lineRule="atLeast"/>
            </w:pPr>
            <w:r>
              <w:rPr>
                <w:rFonts w:ascii="Arial" w:hAnsi="Arial" w:cs="Arial" w:eastAsia="Arial"/>
                <w:b/>
                <w:bCs/>
                <w:color w:val="0059D1"/>
                <w:sz w:val="16"/>
                <w:szCs w:val="16"/>
              </w:rPr>
              <w:t>[INSERT: sensitive receptor]</w:t>
            </w:r>
          </w:p>
        </w:tc>
        <w:tc>
          <w:tcPr>
            <w:tcW w:type="dxa" w:w="1805"/>
          </w:tcPr>
          <w:p>
            <w:pPr>
              <w:pStyle w:val="TableContents"/>
              <w:spacing w:before="0" w:after="0" w:line="240" w:lineRule="atLeast"/>
            </w:pPr>
            <w:r>
              <w:rPr>
                <w:rFonts w:ascii="Arial" w:hAnsi="Arial" w:cs="Arial" w:eastAsia="Arial"/>
                <w:b/>
                <w:bCs/>
                <w:color w:val="0059D1"/>
                <w:sz w:val="16"/>
                <w:szCs w:val="16"/>
              </w:rPr>
              <w:t>[INSERT: consequence rating]</w:t>
            </w:r>
          </w:p>
        </w:tc>
        <w:tc>
          <w:tcPr>
            <w:tcW w:type="dxa" w:w="1806"/>
          </w:tcPr>
          <w:p>
            <w:pPr>
              <w:pStyle w:val="TableContents"/>
              <w:spacing w:before="0" w:after="0" w:line="240" w:lineRule="atLeast"/>
            </w:pPr>
            <w:r>
              <w:rPr>
                <w:rFonts w:ascii="Arial" w:hAnsi="Arial" w:cs="Arial" w:eastAsia="Arial"/>
                <w:b/>
                <w:bCs/>
                <w:color w:val="0059D1"/>
                <w:sz w:val="16"/>
                <w:szCs w:val="16"/>
              </w:rPr>
              <w:t>[INSERT: control section reference]</w:t>
            </w:r>
          </w:p>
        </w:tc>
      </w:tr>
      <w:tr>
        <w:tc>
          <w:tcPr>
            <w:tcW w:type="dxa" w:w="1805"/>
          </w:tcPr>
          <w:p>
            <w:pPr>
              <w:pStyle w:val="TableContents"/>
              <w:spacing w:before="0" w:after="0" w:line="240" w:lineRule="atLeast"/>
            </w:pPr>
            <w:r>
              <w:rPr>
                <w:rFonts w:ascii="Arial" w:hAnsi="Arial" w:cs="Arial" w:eastAsia="Arial"/>
                <w:b/>
                <w:bCs/>
                <w:color w:val="0059D1"/>
                <w:sz w:val="16"/>
                <w:szCs w:val="16"/>
              </w:rPr>
              <w:t>[INSERT: additional risks as identified]</w:t>
            </w:r>
          </w:p>
        </w:tc>
        <w:tc>
          <w:tcPr>
            <w:tcW w:type="dxa" w:w="1805"/>
          </w:tcPr>
          <w:p>
            <w:pPr>
              <w:pStyle w:val="TableContents"/>
              <w:spacing w:before="0" w:after="0" w:line="240" w:lineRule="atLeast"/>
            </w:pPr>
          </w:p>
        </w:tc>
        <w:tc>
          <w:tcPr>
            <w:tcW w:type="dxa" w:w="1805"/>
          </w:tcPr>
          <w:p>
            <w:pPr>
              <w:pStyle w:val="TableContents"/>
              <w:spacing w:before="0" w:after="0" w:line="240" w:lineRule="atLeast"/>
            </w:pPr>
          </w:p>
        </w:tc>
        <w:tc>
          <w:tcPr>
            <w:tcW w:type="dxa" w:w="1805"/>
          </w:tcPr>
          <w:p>
            <w:pPr>
              <w:pStyle w:val="TableContents"/>
              <w:spacing w:before="0" w:after="0" w:line="240" w:lineRule="atLeast"/>
            </w:pPr>
          </w:p>
        </w:tc>
        <w:tc>
          <w:tcPr>
            <w:tcW w:type="dxa" w:w="1806"/>
          </w:tcPr>
          <w:p>
            <w:pPr>
              <w:pStyle w:val="TableContents"/>
              <w:spacing w:before="0" w:after="0" w:line="240" w:lineRule="atLeast"/>
            </w:pPr>
          </w:p>
        </w:tc>
      </w:tr>
    </w:tbl>
    <w:p>
      <w:pPr>
        <w:pStyle w:val="NormalNumberedtext"/>
      </w:pPr>
    </w:p>
    <w:p>
      <w:pPr>
        <w:pStyle w:val="Heading2Numbered"/>
        <w:numPr>
          <w:ilvl w:val="1"/>
          <w:numId w:val="1"/>
        </w:numPr>
      </w:pPr>
      <w:r>
        <w:rPr>
          <w:rFonts w:ascii="Arial" w:hAnsi="Arial" w:cs="Arial" w:eastAsia="Arial"/>
        </w:rPr>
        <w:t>Vehicle and Equipment Wash-Down Requirements</w:t>
      </w:r>
    </w:p>
    <w:p>
      <w:pPr>
        <w:pStyle w:val="NormalNumberedtext"/>
      </w:pPr>
      <w:r>
        <w:t>This section defines the mandatory vehicle and equipment wash-down requirements that apply before entering sensitive areas.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Define the project vehicle and equipment wash-down requirements for biosecurity: where wash-down stations are located; what triggers mandatory wash-down; and what the wash-down standard is. Insert this detail in the placeholders below before this procedure is issued.</w:t>
            </w:r>
          </w:p>
        </w:tc>
      </w:tr>
    </w:tbl>
    <w:p>
      <w:pPr>
        <w:pStyle w:val="NormalNumberedtext"/>
      </w:pPr>
    </w:p>
    <w:p>
      <w:pPr>
        <w:pStyle w:val="NormalNumberedtext"/>
      </w:pPr>
      <w:r>
        <w:t>All vehicles and equipment must be inspected and washed down before entering sensitive areas identified in the invasive species risk register. Wash-down is a mandatory requirement that applies to all project personnel and contractor organisations without exception.</w:t>
      </w:r>
    </w:p>
    <w:p>
      <w:pPr>
        <w:pStyle w:val="NormalNumberedtext"/>
      </w:pPr>
      <w:r>
        <w:t>Vehicle and equipment wash-down requirements must meet the following minimum standards:</w:t>
      </w:r>
    </w:p>
    <w:p>
      <w:pPr>
        <w:pStyle w:val="NumberedBulletL1"/>
      </w:pPr>
      <w:r>
        <w:t>Wash-down is mandatory before any vehicle or equipment enters a designated sensitive area, including after travel through any area known to contain declared weed species or regulated pests.</w:t>
      </w:r>
    </w:p>
    <w:p>
      <w:pPr>
        <w:pStyle w:val="NormalNumberedtext"/>
      </w:pPr>
      <w:r>
        <w:rPr>
          <w:b/>
          <w:bCs/>
          <w:color w:val="0059D1"/>
        </w:rPr>
        <w:t>[INSERT: wash_down_station_locations]</w:t>
      </w:r>
    </w:p>
    <w:p>
      <w:pPr>
        <w:pStyle w:val="NormalNumberedtext"/>
      </w:pPr>
    </w:p>
    <w:p>
      <w:pPr>
        <w:pStyle w:val="NormalNumberedtext"/>
      </w:pPr>
      <w:r>
        <w:rPr>
          <w:b/>
          <w:bCs/>
          <w:color w:val="0059D1"/>
        </w:rPr>
        <w:t>[INSERT: wash_down_trigger_conditions]</w:t>
      </w:r>
    </w:p>
    <w:p>
      <w:pPr>
        <w:pStyle w:val="NormalNumberedtext"/>
      </w:pPr>
    </w:p>
    <w:p>
      <w:pPr>
        <w:pStyle w:val="NormalNumberedtext"/>
      </w:pPr>
      <w:r>
        <w:rPr>
          <w:b/>
          <w:bCs/>
          <w:color w:val="0059D1"/>
        </w:rPr>
        <w:t>[INSERT: wash_down_standard]</w:t>
      </w:r>
    </w:p>
    <w:p>
      <w:pPr>
        <w:pStyle w:val="NumberedBulletL1"/>
      </w:pPr>
      <w:r>
        <w:t>Wash-down records are maintained in the project environmental inspection register for the duration of the project.</w:t>
      </w:r>
    </w:p>
    <w:p>
      <w:pPr>
        <w:pStyle w:val="NumberedBulletL1"/>
      </w:pPr>
      <w:r>
        <w:rPr>
          <w:color w:val="C55A11"/>
        </w:rPr>
        <w:t>The Environmental Representative conducts a random inspection of at least two vehicles or items of equipment per week to verify compliance with wash-down requirements.</w:t>
      </w:r>
    </w:p>
    <w:p>
      <w:pPr>
        <w:pStyle w:val="NormalNumberedtext"/>
      </w:pPr>
    </w:p>
    <w:p>
      <w:pPr>
        <w:pStyle w:val="Heading2Numbered"/>
        <w:numPr>
          <w:ilvl w:val="1"/>
          <w:numId w:val="1"/>
        </w:numPr>
      </w:pPr>
      <w:r>
        <w:rPr>
          <w:rFonts w:ascii="Arial" w:hAnsi="Arial" w:cs="Arial" w:eastAsia="Arial"/>
        </w:rPr>
        <w:t>Soil and Plant Material Movement Controls</w:t>
      </w:r>
    </w:p>
    <w:p>
      <w:pPr>
        <w:pStyle w:val="NormalNumberedtext"/>
      </w:pPr>
      <w:r>
        <w:t>This section defines controls governing the movement of soil and plant material to prevent invasive species spread.</w:t>
      </w:r>
    </w:p>
    <w:p>
      <w:pPr>
        <w:pStyle w:val="NormalNumberedtext"/>
      </w:pPr>
      <w:r>
        <w:t>The movement of soil and plant material within and between project locations is a primary pathway for invasive species spread and must be controlled throughout all project phases. Controls apply to both import of material onto the project footprint and movement of material between zones within the project footprint.</w:t>
      </w:r>
    </w:p>
    <w:p>
      <w:pPr>
        <w:pStyle w:val="NormalNumberedtext"/>
      </w:pPr>
      <w:r>
        <w:t>Soil and plant material movement controls must meet the following minimum requirements:</w:t>
      </w:r>
    </w:p>
    <w:p>
      <w:pPr>
        <w:pStyle w:val="NumberedBulletL1"/>
      </w:pPr>
      <w:r>
        <w:t>All imported soil, gravel, and fill material is inspected and confirmed free of invasive species propagules before delivery to the project footprint.</w:t>
      </w:r>
    </w:p>
    <w:p>
      <w:pPr>
        <w:pStyle w:val="NumberedBulletL1"/>
      </w:pPr>
      <w:r>
        <w:rPr>
          <w:color w:val="C55A11"/>
        </w:rPr>
        <w:t>Approved material sources are listed in the project materials register and inspected by the Environmental Representative before first use and after any change to the source location.</w:t>
      </w:r>
    </w:p>
    <w:p>
      <w:pPr>
        <w:pStyle w:val="NumberedBulletL1"/>
      </w:pPr>
      <w:r>
        <w:t>Topsoil stripped from disturbance areas is stockpiled separately from subsoil and managed in accordance with [INSERT: Project Document Number] - Land Disturbance to preserve seed bank integrity and minimise weed introduction.</w:t>
      </w:r>
    </w:p>
    <w:p>
      <w:pPr>
        <w:pStyle w:val="NumberedBulletL1"/>
      </w:pPr>
      <w:r>
        <w:t>Plant material removed from disturbance areas is assessed by the Environmental Representative before off-site disposal and disposed of at an approved waste facility if invasive species are present.</w:t>
      </w:r>
    </w:p>
    <w:p>
      <w:pPr>
        <w:pStyle w:val="NumberedBulletL1"/>
      </w:pPr>
      <w:r>
        <w:t>The transport of plant material known to contain invasive species propagules within the project footprint requires approval from the Environmental Manager before movement commences.</w:t>
      </w:r>
    </w:p>
    <w:p>
      <w:pPr>
        <w:pStyle w:val="NormalNumberedtext"/>
      </w:pPr>
    </w:p>
    <w:p>
      <w:pPr>
        <w:pStyle w:val="Heading2Numbered"/>
        <w:numPr>
          <w:ilvl w:val="1"/>
          <w:numId w:val="1"/>
        </w:numPr>
      </w:pPr>
      <w:r>
        <w:rPr>
          <w:rFonts w:ascii="Arial" w:hAnsi="Arial" w:cs="Arial" w:eastAsia="Arial"/>
        </w:rPr>
        <w:t>Imported Equipment Inspection and Biosecurity Compliance</w:t>
      </w:r>
    </w:p>
    <w:p>
      <w:pPr>
        <w:pStyle w:val="NormalNumberedtext"/>
      </w:pPr>
      <w:r>
        <w:t>This section defines inspection requirements for imported equipment and compliance with applicable biosecurity regulations.</w:t>
      </w:r>
    </w:p>
    <w:p>
      <w:pPr>
        <w:pStyle w:val="NormalNumberedtext"/>
      </w:pPr>
      <w:r>
        <w:t>All imported equipment must be inspected and confirmed free of invasive species before entering the project footprint, consistent with applicable biosecurity regulations. Packing and packaging materials for all imported equipment must meet the biosecurity requirements of the country of import.</w:t>
      </w:r>
    </w:p>
    <w:p>
      <w:pPr>
        <w:pStyle w:val="NormalNumberedtext"/>
      </w:pPr>
      <w:r>
        <w:t>Imported equipment biosecurity controls must meet the following minimum requirements:</w:t>
      </w:r>
    </w:p>
    <w:p>
      <w:pPr>
        <w:pStyle w:val="NumberedBulletL1"/>
      </w:pPr>
      <w:r>
        <w:t>An equipment biosecurity inspection is conducted by the Environmental Representative or a qualified biosecurity officer before any imported equipment is admitted to the project footprint.</w:t>
      </w:r>
    </w:p>
    <w:p>
      <w:pPr>
        <w:pStyle w:val="NumberedBulletL1"/>
      </w:pPr>
      <w:r>
        <w:t>Inspection records are retained in the project environmental inspection register and available for regulatory audit on request.</w:t>
      </w:r>
    </w:p>
    <w:p>
      <w:pPr>
        <w:pStyle w:val="NumberedBulletL1"/>
      </w:pPr>
      <w:r>
        <w:t>All packing and packaging materials from imported equipment are treated as potential biosecurity risk material and disposed of at an approved waste facility unless a qualified inspector confirms they are free of risk.</w:t>
      </w:r>
    </w:p>
    <w:p>
      <w:pPr>
        <w:pStyle w:val="NumberedBulletL1"/>
      </w:pPr>
      <w:r>
        <w:rPr>
          <w:color w:val="C55A11"/>
        </w:rPr>
        <w:t>Equipment imported from high-risk source countries or regions, as listed in the project invasive species risk register, is subject to mandatory quarantine inspection by the relevant regulatory authority before project use.</w:t>
      </w:r>
    </w:p>
    <w:p>
      <w:pPr>
        <w:pStyle w:val="NumberedBulletL1"/>
      </w:pPr>
      <w:r>
        <w:t>Non-compliance with biosecurity regulations is reported to the relevant regulatory authority as required under applicable legislation, refer [INSERT: Project Document Number] - Legal Requirements, and reported per project incident reporting requirements, refer [INSERT: Project Document Number].</w:t>
      </w:r>
    </w:p>
    <w:p>
      <w:pPr>
        <w:pStyle w:val="NormalNumberedtext"/>
      </w:pPr>
    </w:p>
    <w:p>
      <w:pPr>
        <w:pStyle w:val="Heading2Numbered"/>
        <w:numPr>
          <w:ilvl w:val="1"/>
          <w:numId w:val="1"/>
        </w:numPr>
      </w:pPr>
      <w:r>
        <w:rPr>
          <w:rFonts w:ascii="Arial" w:hAnsi="Arial" w:cs="Arial" w:eastAsia="Arial"/>
        </w:rPr>
        <w:t>Marine Biosecurity Controls</w:t>
      </w:r>
    </w:p>
    <w:p>
      <w:pPr>
        <w:pStyle w:val="NormalNumberedtext"/>
      </w:pPr>
      <w:r>
        <w:t>This section defines marine biosecurity controls for vessels operating in project marine areas.</w:t>
      </w:r>
    </w:p>
    <w:p>
      <w:pPr>
        <w:pStyle w:val="NormalNumberedtext"/>
      </w:pPr>
      <w:r>
        <w:t>Marine biosecurity controls apply to all vessels operating in project marine areas to prevent the transfer of aquatic invasive species between project locations, consistent with APPC Appendix C, C-2 §53.4.1. Vessel-specific operational requirements are governed by [INSERT: Project Document Number] - Over Water.</w:t>
      </w:r>
    </w:p>
    <w:p>
      <w:pPr>
        <w:pStyle w:val="NormalNumberedtext"/>
      </w:pPr>
      <w:r>
        <w:t>Marine biosecurity controls must meet the following minimum requirements for all project vessels:</w:t>
      </w:r>
    </w:p>
    <w:p>
      <w:pPr>
        <w:pStyle w:val="NumberedBulletL1"/>
      </w:pPr>
      <w:r>
        <w:t>Hull inspection for biofouling is conducted before each deployment of a vessel to a new project location, with results recorded in the vessel biosecurity log.</w:t>
      </w:r>
    </w:p>
    <w:p>
      <w:pPr>
        <w:pStyle w:val="NumberedBulletL1"/>
      </w:pPr>
      <w:r>
        <w:t>Biofouling management is implemented in accordance with the national biofouling management requirements applicable to the project jurisdiction.</w:t>
      </w:r>
    </w:p>
    <w:p>
      <w:pPr>
        <w:pStyle w:val="NumberedBulletL1"/>
      </w:pPr>
      <w:r>
        <w:rPr>
          <w:color w:val="C55A11"/>
        </w:rPr>
        <w:t>Hull cleaning is conducted by a licensed marine contractor at an approved facility before any vessel moves between geographically separated project locations.</w:t>
      </w:r>
    </w:p>
    <w:p>
      <w:pPr>
        <w:pStyle w:val="NumberedBulletL1"/>
      </w:pPr>
      <w:r>
        <w:t>Ballast water management complies with applicable international and national ballast water management regulations and is recorded in the vessel biosecurity log before each ballast water exchange or disposal.</w:t>
      </w:r>
    </w:p>
    <w:p>
      <w:pPr>
        <w:pStyle w:val="NumberedBulletL1"/>
      </w:pPr>
      <w:r>
        <w:t>Any vessel found to have significant biofouling during inspection is taken out of service until remediated and cleared by the Environmental Manager.</w:t>
      </w:r>
    </w:p>
    <w:p>
      <w:pPr>
        <w:pStyle w:val="NumberedBulletL1"/>
      </w:pPr>
      <w:r>
        <w:t>Marine biosecurity inspection records are retained in the project environmental inspection register for the duration of the project and for</w:t>
      </w:r>
    </w:p>
    <w:p>
      <w:pPr>
        <w:pStyle w:val="NormalNumberedtext"/>
      </w:pPr>
      <w:r>
        <w:rPr>
          <w:b/>
          <w:bCs/>
          <w:color w:val="0059D1"/>
        </w:rPr>
        <w:t>[INSERT: marine_biosecurity_record_retention_period]</w:t>
      </w:r>
    </w:p>
    <w:p>
      <w:pPr>
        <w:pStyle w:val="NormalNumberedtext"/>
      </w:pPr>
      <w:r>
        <w:t>A biodiversity conservation management plan addressing invasive species as a component of the broader biodiversity programme is maintained for this project, consistent with TSM Biodiversity Conservation Management Protocol, Indicator BC2. The plan is registered as</w:t>
      </w:r>
    </w:p>
    <w:p>
      <w:pPr>
        <w:pStyle w:val="NormalNumberedtext"/>
      </w:pPr>
      <w:r>
        <w:rPr>
          <w:b/>
          <w:bCs/>
          <w:color w:val="0059D1"/>
        </w:rPr>
        <w:t>[INSERT: biodiversity_conservation_management_plan_reference] — Document number and title of the project biodiversity conservation management plan</w:t>
      </w:r>
    </w:p>
    <w:p>
      <w:pPr>
        <w:pStyle w:val="NormalNumberedtext"/>
      </w:pPr>
    </w:p>
    <w:p>
      <w:pPr>
        <w:pStyle w:val="Heading1Numbered"/>
        <w:numPr>
          <w:ilvl w:val="0"/>
          <w:numId w:val="1"/>
        </w:numPr>
      </w:pPr>
      <w:r>
        <w:rPr>
          <w:rFonts w:ascii="Arial" w:hAnsi="Arial" w:cs="Arial" w:eastAsia="Arial"/>
        </w:rPr>
        <w:t>Noise, Light, and Vibration Controls for Biodiversity</w:t>
      </w:r>
    </w:p>
    <w:p>
      <w:pPr>
        <w:pStyle w:val="NormalNumberedtext"/>
      </w:pPr>
      <w:r>
        <w:t>This section defines the controls for managing noise, vibration, and artificial light impacts on biodiversity and sensitive ecosystems in the project area.</w:t>
      </w:r>
    </w:p>
    <w:p>
      <w:pPr>
        <w:pStyle w:val="NormalNumberedtext"/>
      </w:pPr>
    </w:p>
    <w:p>
      <w:pPr>
        <w:pStyle w:val="Heading2Numbered"/>
        <w:numPr>
          <w:ilvl w:val="1"/>
          <w:numId w:val="1"/>
        </w:numPr>
      </w:pPr>
      <w:r>
        <w:rPr>
          <w:rFonts w:ascii="Arial" w:hAnsi="Arial" w:cs="Arial" w:eastAsia="Arial"/>
        </w:rPr>
        <w:t>Indirect Impact Assessment</w:t>
      </w:r>
    </w:p>
    <w:p>
      <w:pPr>
        <w:pStyle w:val="NormalNumberedtext"/>
      </w:pPr>
      <w:r>
        <w:t>This section requires assessment of indirect biodiversity impacts including habitat fragmentation, edge effects, noise, light, and vibration.</w:t>
      </w:r>
    </w:p>
    <w:p>
      <w:pPr>
        <w:pStyle w:val="NormalNumberedtext"/>
      </w:pPr>
      <w:r>
        <w:t>The project must assess indirect impacts on biodiversity as well as direct disturbance impacts, consistent with IFC PS6 §8. Indirect impacts to be assessed include habitat fragmentation, edge effects, noise, light, and vibration. The indirect impact assessment is documented in the project biodiversity impact assessment, refer [INSERT: Project Document Number] - Risk Management.</w:t>
      </w:r>
    </w:p>
    <w:p>
      <w:pPr>
        <w:pStyle w:val="NormalNumberedtext"/>
      </w:pPr>
      <w:r>
        <w:t>The RT Environment and Nature - Air Quality Standard identifies noise, vibration, and light as environmental stressors that require documentation and management where project operations occur near biodiversity-sensitive ecosystems. Controls defined in this section address those stressors in the biodiversity context.</w:t>
      </w:r>
    </w:p>
    <w:p>
      <w:pPr>
        <w:pStyle w:val="NormalNumberedtext"/>
      </w:pPr>
    </w:p>
    <w:p>
      <w:pPr>
        <w:pStyle w:val="Heading2Numbered"/>
        <w:numPr>
          <w:ilvl w:val="1"/>
          <w:numId w:val="1"/>
        </w:numPr>
      </w:pPr>
      <w:r>
        <w:rPr>
          <w:rFonts w:ascii="Arial" w:hAnsi="Arial" w:cs="Arial" w:eastAsia="Arial"/>
        </w:rPr>
        <w:t>Noise and Vibration Controls</w:t>
      </w:r>
    </w:p>
    <w:p>
      <w:pPr>
        <w:pStyle w:val="NormalNumberedtext"/>
      </w:pPr>
      <w:r>
        <w:t>This section defines noise and vibration controls that apply to project operations near sensitive habitats or sensitive fauna species.</w:t>
      </w:r>
    </w:p>
    <w:p>
      <w:pPr>
        <w:pStyle w:val="NormalNumberedtext"/>
      </w:pPr>
      <w:r>
        <w:t>Noise and vibration controls are implemented for all project activities that generate significant noise or vibration within or adjacent to sensitive habitats identified in the project biodiversity impact assessment. Controls are implemented to prevent, minimise, and manage risks to biodiversity consistent with APPC Appendix C, C-4 §92.6.1.2.</w:t>
      </w:r>
    </w:p>
    <w:p>
      <w:pPr>
        <w:pStyle w:val="NormalNumberedtext"/>
      </w:pPr>
      <w:r>
        <w:t>Noise and vibration controls must include the following minimum measures:</w:t>
      </w:r>
    </w:p>
    <w:p>
      <w:pPr>
        <w:pStyle w:val="NumberedBulletL1"/>
      </w:pPr>
      <w:r>
        <w:t>Buffer zones between high-noise or high-vibration activities and sensitive habitats are defined in the project disturbance plan and enforced by the Environmental Representative.</w:t>
      </w:r>
    </w:p>
    <w:p>
      <w:pPr>
        <w:pStyle w:val="NumberedBulletL1"/>
      </w:pPr>
      <w:r>
        <w:rPr>
          <w:color w:val="C55A11"/>
        </w:rPr>
        <w:t>High-noise activities, including rock blasting and pile driving, are scheduled to avoid key breeding or nesting periods for sensitive fauna species identified in species-specific management plans, refer Section 3.4.</w:t>
      </w:r>
    </w:p>
    <w:p>
      <w:pPr>
        <w:pStyle w:val="NumberedBulletL1"/>
      </w:pPr>
      <w:r>
        <w:t>Scheduling controls are documented in the project activity schedule and reviewed by the Environmental Manager before each phase of high-noise or high-vibration work commences.</w:t>
      </w:r>
    </w:p>
    <w:p>
      <w:pPr>
        <w:pStyle w:val="NormalNumberedtext"/>
      </w:pPr>
      <w:r>
        <w:rPr>
          <w:b/>
          <w:bCs/>
          <w:color w:val="0059D1"/>
        </w:rPr>
        <w:t>[INSERT: project_noise_buffer_zones]</w:t>
      </w:r>
    </w:p>
    <w:p>
      <w:pPr>
        <w:pStyle w:val="NormalNumberedtext"/>
      </w:pPr>
    </w:p>
    <w:p>
      <w:pPr>
        <w:pStyle w:val="NormalNumberedtext"/>
      </w:pPr>
      <w:r>
        <w:rPr>
          <w:b/>
          <w:bCs/>
          <w:color w:val="0059D1"/>
        </w:rPr>
        <w:t>[INSERT: project_high_noise_scheduling_restrictions]</w:t>
      </w:r>
    </w:p>
    <w:p>
      <w:pPr>
        <w:pStyle w:val="NormalNumberedtext"/>
      </w:pPr>
    </w:p>
    <w:p>
      <w:pPr>
        <w:pStyle w:val="Heading2Numbered"/>
        <w:numPr>
          <w:ilvl w:val="1"/>
          <w:numId w:val="1"/>
        </w:numPr>
      </w:pPr>
      <w:r>
        <w:rPr>
          <w:rFonts w:ascii="Arial" w:hAnsi="Arial" w:cs="Arial" w:eastAsia="Arial"/>
        </w:rPr>
        <w:t>Artificial Light Controls</w:t>
      </w:r>
    </w:p>
    <w:p>
      <w:pPr>
        <w:pStyle w:val="NormalNumberedtext"/>
      </w:pPr>
      <w:r>
        <w:t>This section defines artificial light controls for project operations near light-sensitive ecosystems or species.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Define the project light management controls near sensitive ecosystems, including night-sky sensitive areas, marine turtle nesting beaches, bat habitat, or other light-sensitive areas identified in the project impact assessment. Insert the project-specific controls in the placeholders below before this procedure is issued.</w:t>
            </w:r>
          </w:p>
        </w:tc>
      </w:tr>
    </w:tbl>
    <w:p>
      <w:pPr>
        <w:pStyle w:val="NormalNumberedtext"/>
      </w:pPr>
    </w:p>
    <w:p>
      <w:pPr>
        <w:pStyle w:val="NormalNumberedtext"/>
      </w:pPr>
      <w:r>
        <w:t>Artificial light controls are implemented for all project operations that generate high nocturnal light levels near sensitive habitats, consistent with APPC Appendix C, C-4 §92.6.1.2. Light management measures prevent, minimise, and control artificial light impacts on light-sensitive species and ecosystems identified in the project biodiversity impact assessment.</w:t>
      </w:r>
    </w:p>
    <w:p>
      <w:pPr>
        <w:pStyle w:val="NormalNumberedtext"/>
      </w:pPr>
      <w:r>
        <w:t>Artificial light controls must include the following minimum measures:</w:t>
      </w:r>
    </w:p>
    <w:p>
      <w:pPr>
        <w:pStyle w:val="NumberedBulletL1"/>
      </w:pPr>
      <w:r>
        <w:t>Low-impact lighting technology is used for all permanent and temporary lighting installations within or adjacent to sensitive ecosystems identified in the project biodiversity impact assessment.</w:t>
      </w:r>
    </w:p>
    <w:p>
      <w:pPr>
        <w:pStyle w:val="NumberedBulletL1"/>
      </w:pPr>
      <w:r>
        <w:rPr>
          <w:color w:val="C55A11"/>
        </w:rPr>
        <w:t>Low-impact lighting technology includes directional LED luminaires with full cut-off housings, warm-spectrum globes (colour temperature not exceeding 3000K), and motion-activated controls where operationally safe to do so.</w:t>
      </w:r>
    </w:p>
    <w:p>
      <w:pPr>
        <w:pStyle w:val="NumberedBulletL1"/>
      </w:pPr>
      <w:r>
        <w:t>Lighting is directed away from sensitive habitats using shields, baffles, or directional mounting, and is not installed at heights that project light over sensitive habitat boundaries.</w:t>
      </w:r>
    </w:p>
    <w:p>
      <w:pPr>
        <w:pStyle w:val="NormalNumberedtext"/>
      </w:pPr>
      <w:r>
        <w:rPr>
          <w:b/>
          <w:bCs/>
          <w:color w:val="0059D1"/>
        </w:rPr>
        <w:t>[INSERT: project_light_sensitive_areas]</w:t>
      </w:r>
    </w:p>
    <w:p>
      <w:pPr>
        <w:pStyle w:val="NormalNumberedtext"/>
      </w:pPr>
    </w:p>
    <w:p>
      <w:pPr>
        <w:pStyle w:val="NormalNumberedtext"/>
      </w:pPr>
      <w:r>
        <w:rPr>
          <w:b/>
          <w:bCs/>
          <w:color w:val="0059D1"/>
        </w:rPr>
        <w:t>[INSERT: project_light_management_monitoring]</w:t>
      </w:r>
    </w:p>
    <w:p>
      <w:pPr>
        <w:pStyle w:val="NumberedBulletL1"/>
      </w:pPr>
      <w:r>
        <w:t>Non-conformances with light controls near sensitive areas are reported to the Environmental Manager on the day of identification and recorded in the project environmental inspection register.</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biodiversity management responsibilities for all project roles, covering Rio Tinto staff and all contractor organisations.</w:t>
      </w:r>
    </w:p>
    <w:p>
      <w:pPr>
        <w:pStyle w:val="NormalNumberedtext"/>
      </w:pPr>
      <w:r>
        <w:t>Table 6: Biodiversity Procedure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Responsibility</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Role</w:t>
            </w:r>
          </w:p>
        </w:tc>
      </w:tr>
      <w:tr>
        <w:tc>
          <w:tcPr>
            <w:tcW w:type="dxa" w:w="4888"/>
          </w:tcPr>
          <w:p>
            <w:pPr>
              <w:pStyle w:val="TableContents"/>
              <w:spacing w:before="0" w:after="0" w:line="240" w:lineRule="atLeast"/>
            </w:pPr>
            <w:r>
              <w:rPr>
                <w:rFonts w:ascii="Arial" w:hAnsi="Arial" w:cs="Arial" w:eastAsia="Arial"/>
                <w:sz w:val="16"/>
                <w:szCs w:val="16"/>
              </w:rPr>
              <w:t>Approve the no-net-loss pathway document and all species-specific management plans.</w:t>
            </w:r>
          </w:p>
        </w:tc>
        <w:tc>
          <w:tcPr>
            <w:tcW w:type="dxa" w:w="4889"/>
          </w:tcPr>
          <w:p>
            <w:pPr>
              <w:pStyle w:val="TableContents"/>
              <w:spacing w:before="0" w:after="0" w:line="240" w:lineRule="atLeast"/>
            </w:pPr>
            <w:r>
              <w:rPr>
                <w:rFonts w:ascii="Arial" w:hAnsi="Arial" w:cs="Arial" w:eastAsia="Arial"/>
                <w:b/>
                <w:bCs/>
                <w:color w:val="0059D1"/>
                <w:sz w:val="16"/>
                <w:szCs w:val="16"/>
              </w:rPr>
              <w:t>[INSERT: Environmental Manager or equivalent project role]</w:t>
            </w:r>
          </w:p>
        </w:tc>
      </w:tr>
      <w:tr>
        <w:tc>
          <w:tcPr>
            <w:tcW w:type="dxa" w:w="4888"/>
          </w:tcPr>
          <w:p>
            <w:pPr>
              <w:pStyle w:val="TableContents"/>
              <w:spacing w:before="0" w:after="0" w:line="240" w:lineRule="atLeast"/>
            </w:pPr>
            <w:r>
              <w:rPr>
                <w:rFonts w:ascii="Arial" w:hAnsi="Arial" w:cs="Arial" w:eastAsia="Arial"/>
                <w:sz w:val="16"/>
                <w:szCs w:val="16"/>
              </w:rPr>
              <w:t>Engage qualified ecologists for priority value identification, pre-clearance surveys, and species-specific management plan development.</w:t>
            </w:r>
          </w:p>
        </w:tc>
        <w:tc>
          <w:tcPr>
            <w:tcW w:type="dxa" w:w="4889"/>
          </w:tcPr>
          <w:p>
            <w:pPr>
              <w:pStyle w:val="TableContents"/>
              <w:spacing w:before="0" w:after="0" w:line="240" w:lineRule="atLeast"/>
            </w:pPr>
            <w:r>
              <w:rPr>
                <w:rFonts w:ascii="Arial" w:hAnsi="Arial" w:cs="Arial" w:eastAsia="Arial"/>
                <w:b/>
                <w:bCs/>
                <w:color w:val="0059D1"/>
                <w:sz w:val="16"/>
                <w:szCs w:val="16"/>
              </w:rPr>
              <w:t>[INSERT: Environmental Manager or equivalent project role]</w:t>
            </w:r>
          </w:p>
        </w:tc>
      </w:tr>
      <w:tr>
        <w:tc>
          <w:tcPr>
            <w:tcW w:type="dxa" w:w="4888"/>
          </w:tcPr>
          <w:p>
            <w:pPr>
              <w:pStyle w:val="TableContents"/>
              <w:spacing w:before="0" w:after="0" w:line="240" w:lineRule="atLeast"/>
            </w:pPr>
            <w:r>
              <w:rPr>
                <w:rFonts w:ascii="Arial" w:hAnsi="Arial" w:cs="Arial" w:eastAsia="Arial"/>
                <w:sz w:val="16"/>
                <w:szCs w:val="16"/>
              </w:rPr>
              <w:t>Grant clearance approval after pre-clearance survey review and before vegetation clearing commences in any new disturbance area.</w:t>
            </w:r>
          </w:p>
        </w:tc>
        <w:tc>
          <w:tcPr>
            <w:tcW w:type="dxa" w:w="4889"/>
          </w:tcPr>
          <w:p>
            <w:pPr>
              <w:pStyle w:val="TableContents"/>
              <w:spacing w:before="0" w:after="0" w:line="240" w:lineRule="atLeast"/>
            </w:pPr>
            <w:r>
              <w:rPr>
                <w:rFonts w:ascii="Arial" w:hAnsi="Arial" w:cs="Arial" w:eastAsia="Arial"/>
                <w:b/>
                <w:bCs/>
                <w:color w:val="0059D1"/>
                <w:sz w:val="16"/>
                <w:szCs w:val="16"/>
              </w:rPr>
              <w:t>[INSERT: Environmental Manager or equivalent project role]</w:t>
            </w:r>
          </w:p>
        </w:tc>
      </w:tr>
      <w:tr>
        <w:tc>
          <w:tcPr>
            <w:tcW w:type="dxa" w:w="4888"/>
          </w:tcPr>
          <w:p>
            <w:pPr>
              <w:pStyle w:val="TableContents"/>
              <w:spacing w:before="0" w:after="0" w:line="240" w:lineRule="atLeast"/>
            </w:pPr>
            <w:r>
              <w:rPr>
                <w:rFonts w:ascii="Arial" w:hAnsi="Arial" w:cs="Arial" w:eastAsia="Arial"/>
                <w:sz w:val="16"/>
                <w:szCs w:val="16"/>
              </w:rPr>
              <w:t>Conduct daily inspection of exclusion fencing during active clearing operations.</w:t>
            </w:r>
          </w:p>
        </w:tc>
        <w:tc>
          <w:tcPr>
            <w:tcW w:type="dxa" w:w="4889"/>
          </w:tcPr>
          <w:p>
            <w:pPr>
              <w:pStyle w:val="TableContents"/>
              <w:spacing w:before="0" w:after="0" w:line="240" w:lineRule="atLeast"/>
            </w:pPr>
            <w:r>
              <w:rPr>
                <w:rFonts w:ascii="Arial" w:hAnsi="Arial" w:cs="Arial" w:eastAsia="Arial"/>
                <w:b/>
                <w:bCs/>
                <w:color w:val="0059D1"/>
                <w:sz w:val="16"/>
                <w:szCs w:val="16"/>
              </w:rPr>
              <w:t>[INSERT: Environmental Representative or equivalent project role]</w:t>
            </w:r>
          </w:p>
        </w:tc>
      </w:tr>
      <w:tr>
        <w:tc>
          <w:tcPr>
            <w:tcW w:type="dxa" w:w="4888"/>
          </w:tcPr>
          <w:p>
            <w:pPr>
              <w:pStyle w:val="TableContents"/>
              <w:spacing w:before="0" w:after="0" w:line="240" w:lineRule="atLeast"/>
            </w:pPr>
            <w:r>
              <w:rPr>
                <w:rFonts w:ascii="Arial" w:hAnsi="Arial" w:cs="Arial" w:eastAsia="Arial"/>
                <w:sz w:val="16"/>
                <w:szCs w:val="16"/>
              </w:rPr>
              <w:t>Maintain the fauna rescue log, biosecurity inspection register, and wash-down records.</w:t>
            </w:r>
          </w:p>
        </w:tc>
        <w:tc>
          <w:tcPr>
            <w:tcW w:type="dxa" w:w="4889"/>
          </w:tcPr>
          <w:p>
            <w:pPr>
              <w:pStyle w:val="TableContents"/>
              <w:spacing w:before="0" w:after="0" w:line="240" w:lineRule="atLeast"/>
            </w:pPr>
            <w:r>
              <w:rPr>
                <w:rFonts w:ascii="Arial" w:hAnsi="Arial" w:cs="Arial" w:eastAsia="Arial"/>
                <w:b/>
                <w:bCs/>
                <w:color w:val="0059D1"/>
                <w:sz w:val="16"/>
                <w:szCs w:val="16"/>
              </w:rPr>
              <w:t>[INSERT: Environmental Representative or equivalent project role]</w:t>
            </w:r>
          </w:p>
        </w:tc>
      </w:tr>
      <w:tr>
        <w:tc>
          <w:tcPr>
            <w:tcW w:type="dxa" w:w="4888"/>
          </w:tcPr>
          <w:p>
            <w:pPr>
              <w:pStyle w:val="TableContents"/>
              <w:spacing w:before="0" w:after="0" w:line="240" w:lineRule="atLeast"/>
            </w:pPr>
            <w:r>
              <w:rPr>
                <w:rFonts w:ascii="Arial" w:hAnsi="Arial" w:cs="Arial" w:eastAsia="Arial"/>
                <w:sz w:val="16"/>
                <w:szCs w:val="16"/>
              </w:rPr>
              <w:t>Conduct vehicle and equipment biosecurity inspections before entry to sensitive areas.</w:t>
            </w:r>
          </w:p>
        </w:tc>
        <w:tc>
          <w:tcPr>
            <w:tcW w:type="dxa" w:w="4889"/>
          </w:tcPr>
          <w:p>
            <w:pPr>
              <w:pStyle w:val="TableContents"/>
              <w:spacing w:before="0" w:after="0" w:line="240" w:lineRule="atLeast"/>
            </w:pPr>
            <w:r>
              <w:rPr>
                <w:rFonts w:ascii="Arial" w:hAnsi="Arial" w:cs="Arial" w:eastAsia="Arial"/>
                <w:b/>
                <w:bCs/>
                <w:color w:val="0059D1"/>
                <w:sz w:val="16"/>
                <w:szCs w:val="16"/>
              </w:rPr>
              <w:t>[INSERT: Environmental Representative or equivalent project role]</w:t>
            </w:r>
          </w:p>
        </w:tc>
      </w:tr>
      <w:tr>
        <w:tc>
          <w:tcPr>
            <w:tcW w:type="dxa" w:w="4888"/>
          </w:tcPr>
          <w:p>
            <w:pPr>
              <w:pStyle w:val="TableContents"/>
              <w:spacing w:before="0" w:after="0" w:line="240" w:lineRule="atLeast"/>
            </w:pPr>
            <w:r>
              <w:rPr>
                <w:rFonts w:ascii="Arial" w:hAnsi="Arial" w:cs="Arial" w:eastAsia="Arial"/>
                <w:sz w:val="16"/>
                <w:szCs w:val="16"/>
              </w:rPr>
              <w:t>Report all sightings of protected or significant fauna species to the Company environmental representative.</w:t>
            </w:r>
          </w:p>
        </w:tc>
        <w:tc>
          <w:tcPr>
            <w:tcW w:type="dxa" w:w="4889"/>
          </w:tcPr>
          <w:p>
            <w:pPr>
              <w:pStyle w:val="TableContents"/>
              <w:spacing w:before="0" w:after="0" w:line="240" w:lineRule="atLeast"/>
            </w:pPr>
            <w:r>
              <w:rPr>
                <w:rFonts w:ascii="Arial" w:hAnsi="Arial" w:cs="Arial" w:eastAsia="Arial"/>
                <w:sz w:val="16"/>
                <w:szCs w:val="16"/>
              </w:rPr>
              <w:t>All project personnel</w:t>
            </w:r>
          </w:p>
        </w:tc>
      </w:tr>
      <w:tr>
        <w:tc>
          <w:tcPr>
            <w:tcW w:type="dxa" w:w="4888"/>
          </w:tcPr>
          <w:p>
            <w:pPr>
              <w:pStyle w:val="TableContents"/>
              <w:spacing w:before="0" w:after="0" w:line="240" w:lineRule="atLeast"/>
            </w:pPr>
            <w:r>
              <w:rPr>
                <w:rFonts w:ascii="Arial" w:hAnsi="Arial" w:cs="Arial" w:eastAsia="Arial"/>
                <w:sz w:val="16"/>
                <w:szCs w:val="16"/>
              </w:rPr>
              <w:t>Comply with the fauna chance discovery protocol, including the prohibition on interaction with wildlife.</w:t>
            </w:r>
          </w:p>
        </w:tc>
        <w:tc>
          <w:tcPr>
            <w:tcW w:type="dxa" w:w="4889"/>
          </w:tcPr>
          <w:p>
            <w:pPr>
              <w:pStyle w:val="TableContents"/>
              <w:spacing w:before="0" w:after="0" w:line="240" w:lineRule="atLeast"/>
            </w:pPr>
            <w:r>
              <w:rPr>
                <w:rFonts w:ascii="Arial" w:hAnsi="Arial" w:cs="Arial" w:eastAsia="Arial"/>
                <w:sz w:val="16"/>
                <w:szCs w:val="16"/>
              </w:rPr>
              <w:t>All project personnel</w:t>
            </w:r>
          </w:p>
        </w:tc>
      </w:tr>
      <w:tr>
        <w:tc>
          <w:tcPr>
            <w:tcW w:type="dxa" w:w="4888"/>
          </w:tcPr>
          <w:p>
            <w:pPr>
              <w:pStyle w:val="TableContents"/>
              <w:spacing w:before="0" w:after="0" w:line="240" w:lineRule="atLeast"/>
            </w:pPr>
            <w:r>
              <w:rPr>
                <w:rFonts w:ascii="Arial" w:hAnsi="Arial" w:cs="Arial" w:eastAsia="Arial"/>
                <w:sz w:val="16"/>
                <w:szCs w:val="16"/>
              </w:rPr>
              <w:t>Conduct fauna rescue and translocation operations under a valid fauna handling permit.</w:t>
            </w:r>
          </w:p>
        </w:tc>
        <w:tc>
          <w:tcPr>
            <w:tcW w:type="dxa" w:w="4889"/>
          </w:tcPr>
          <w:p>
            <w:pPr>
              <w:pStyle w:val="TableContents"/>
              <w:spacing w:before="0" w:after="0" w:line="240" w:lineRule="atLeast"/>
            </w:pPr>
            <w:r>
              <w:rPr>
                <w:rFonts w:ascii="Arial" w:hAnsi="Arial" w:cs="Arial" w:eastAsia="Arial"/>
                <w:b/>
                <w:bCs/>
                <w:color w:val="0059D1"/>
                <w:sz w:val="16"/>
                <w:szCs w:val="16"/>
              </w:rPr>
              <w:t>[INSERT: qualified ecologist or licensed wildlife handler role]</w:t>
            </w:r>
          </w:p>
        </w:tc>
      </w:tr>
      <w:tr>
        <w:tc>
          <w:tcPr>
            <w:tcW w:type="dxa" w:w="4888"/>
          </w:tcPr>
          <w:p>
            <w:pPr>
              <w:pStyle w:val="TableContents"/>
              <w:spacing w:before="0" w:after="0" w:line="240" w:lineRule="atLeast"/>
            </w:pPr>
            <w:r>
              <w:rPr>
                <w:rFonts w:ascii="Arial" w:hAnsi="Arial" w:cs="Arial" w:eastAsia="Arial"/>
                <w:sz w:val="16"/>
                <w:szCs w:val="16"/>
              </w:rPr>
              <w:t>Conduct hull biofouling inspections for all project vessels before deployment to a new project location.</w:t>
            </w:r>
          </w:p>
        </w:tc>
        <w:tc>
          <w:tcPr>
            <w:tcW w:type="dxa" w:w="4889"/>
          </w:tcPr>
          <w:p>
            <w:pPr>
              <w:pStyle w:val="TableContents"/>
              <w:spacing w:before="0" w:after="0" w:line="240" w:lineRule="atLeast"/>
            </w:pPr>
            <w:r>
              <w:rPr>
                <w:rFonts w:ascii="Arial" w:hAnsi="Arial" w:cs="Arial" w:eastAsia="Arial"/>
                <w:b/>
                <w:bCs/>
                <w:color w:val="0059D1"/>
                <w:sz w:val="16"/>
                <w:szCs w:val="16"/>
              </w:rPr>
              <w:t>[INSERT: Marine Environmental Officer or equivalent project role, refer RTPR-HSE-PRO-0030]</w:t>
            </w:r>
          </w:p>
        </w:tc>
      </w:tr>
      <w:tr>
        <w:tc>
          <w:tcPr>
            <w:tcW w:type="dxa" w:w="4888"/>
          </w:tcPr>
          <w:p>
            <w:pPr>
              <w:pStyle w:val="TableContents"/>
              <w:spacing w:before="0" w:after="0" w:line="240" w:lineRule="atLeast"/>
            </w:pPr>
            <w:r>
              <w:rPr>
                <w:rFonts w:ascii="Arial" w:hAnsi="Arial" w:cs="Arial" w:eastAsia="Arial"/>
                <w:sz w:val="16"/>
                <w:szCs w:val="16"/>
              </w:rPr>
              <w:t>Review and update the no-net-loss pathway net position calculation at each project phase gate.</w:t>
            </w:r>
          </w:p>
        </w:tc>
        <w:tc>
          <w:tcPr>
            <w:tcW w:type="dxa" w:w="4889"/>
          </w:tcPr>
          <w:p>
            <w:pPr>
              <w:pStyle w:val="TableContents"/>
              <w:spacing w:before="0" w:after="0" w:line="240" w:lineRule="atLeast"/>
            </w:pPr>
            <w:r>
              <w:rPr>
                <w:rFonts w:ascii="Arial" w:hAnsi="Arial" w:cs="Arial" w:eastAsia="Arial"/>
                <w:b/>
                <w:bCs/>
                <w:color w:val="0059D1"/>
                <w:sz w:val="16"/>
                <w:szCs w:val="16"/>
              </w:rPr>
              <w:t>[INSERT: qualified ecologist engaged by Environmental Manager]</w:t>
            </w:r>
          </w:p>
        </w:tc>
      </w:tr>
      <w:tr>
        <w:tc>
          <w:tcPr>
            <w:tcW w:type="dxa" w:w="4888"/>
          </w:tcPr>
          <w:p>
            <w:pPr>
              <w:pStyle w:val="TableContents"/>
              <w:spacing w:before="0" w:after="0" w:line="240" w:lineRule="atLeast"/>
            </w:pPr>
            <w:r>
              <w:rPr>
                <w:rFonts w:ascii="Arial" w:hAnsi="Arial" w:cs="Arial" w:eastAsia="Arial"/>
                <w:sz w:val="16"/>
                <w:szCs w:val="16"/>
              </w:rPr>
              <w:t xml:space="preserve">Report all incidents and near misses involving biodiversity impacts per project requirements, refer </w:t>
            </w:r>
            <w:r>
              <w:rPr>
                <w:rFonts w:ascii="Arial" w:hAnsi="Arial" w:cs="Arial" w:eastAsia="Arial"/>
                <w:b/>
                <w:bCs/>
                <w:color w:val="0059D1"/>
                <w:sz w:val="16"/>
                <w:szCs w:val="16"/>
              </w:rPr>
              <w:t>[INSERT: Project Document Number]</w:t>
            </w:r>
            <w:r>
              <w:rPr>
                <w:rFonts w:ascii="Arial" w:hAnsi="Arial" w:cs="Arial" w:eastAsia="Arial"/>
                <w:sz w:val="16"/>
                <w:szCs w:val="16"/>
              </w:rPr>
              <w:t>.</w:t>
            </w:r>
          </w:p>
        </w:tc>
        <w:tc>
          <w:tcPr>
            <w:tcW w:type="dxa" w:w="4889"/>
          </w:tcPr>
          <w:p>
            <w:pPr>
              <w:pStyle w:val="TableContents"/>
              <w:spacing w:before="0" w:after="0" w:line="240" w:lineRule="atLeast"/>
            </w:pPr>
            <w:r>
              <w:rPr>
                <w:rFonts w:ascii="Arial" w:hAnsi="Arial" w:cs="Arial" w:eastAsia="Arial"/>
                <w:sz w:val="16"/>
                <w:szCs w:val="16"/>
              </w:rPr>
              <w:t>All project personnel</w:t>
            </w:r>
          </w:p>
        </w:tc>
      </w:tr>
    </w:tbl>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Social Compliance - the integrated management framework applied across Rio Tinto owner-led projects to ensure regulatory and corporate standard adherence.</w:t>
            </w:r>
          </w:p>
        </w:tc>
      </w:tr>
      <w:tr>
        <w:tc>
          <w:tcPr>
            <w:tcW w:type="dxa" w:w="4888"/>
          </w:tcPr>
          <w:p>
            <w:pPr>
              <w:pStyle w:val="TableContents"/>
              <w:spacing w:before="0" w:after="0" w:line="240" w:lineRule="atLeast"/>
            </w:pPr>
            <w:r>
              <w:rPr>
                <w:rFonts w:ascii="Arial" w:hAnsi="Arial" w:cs="Arial" w:eastAsia="Arial"/>
                <w:sz w:val="16"/>
                <w:szCs w:val="16"/>
              </w:rPr>
              <w:t>NNL</w:t>
            </w:r>
          </w:p>
        </w:tc>
        <w:tc>
          <w:tcPr>
            <w:tcW w:type="dxa" w:w="4889"/>
          </w:tcPr>
          <w:p>
            <w:pPr>
              <w:pStyle w:val="TableContents"/>
              <w:spacing w:before="0" w:after="0" w:line="240" w:lineRule="atLeast"/>
            </w:pPr>
            <w:r>
              <w:rPr>
                <w:rFonts w:ascii="Arial" w:hAnsi="Arial" w:cs="Arial" w:eastAsia="Arial"/>
                <w:sz w:val="16"/>
                <w:szCs w:val="16"/>
              </w:rPr>
              <w:t>No-Net-Loss - a biodiversity outcome target whereby the residual negative impacts on biodiversity from project activities are fully offset by conservation gains of equivalent or greater ecological value, such that there is no overall decline in biodiversity.</w:t>
            </w:r>
          </w:p>
        </w:tc>
      </w:tr>
      <w:tr>
        <w:tc>
          <w:tcPr>
            <w:tcW w:type="dxa" w:w="4888"/>
          </w:tcPr>
          <w:p>
            <w:pPr>
              <w:pStyle w:val="TableContents"/>
              <w:spacing w:before="0" w:after="0" w:line="240" w:lineRule="atLeast"/>
            </w:pPr>
            <w:r>
              <w:rPr>
                <w:rFonts w:ascii="Arial" w:hAnsi="Arial" w:cs="Arial" w:eastAsia="Arial"/>
                <w:sz w:val="16"/>
                <w:szCs w:val="16"/>
              </w:rPr>
              <w:t>BAP</w:t>
            </w:r>
          </w:p>
        </w:tc>
        <w:tc>
          <w:tcPr>
            <w:tcW w:type="dxa" w:w="4889"/>
          </w:tcPr>
          <w:p>
            <w:pPr>
              <w:pStyle w:val="TableContents"/>
              <w:spacing w:before="0" w:after="0" w:line="240" w:lineRule="atLeast"/>
            </w:pPr>
            <w:r>
              <w:rPr>
                <w:rFonts w:ascii="Arial" w:hAnsi="Arial" w:cs="Arial" w:eastAsia="Arial"/>
                <w:sz w:val="16"/>
                <w:szCs w:val="16"/>
              </w:rPr>
              <w:t>Biodiversity Action Plan - a documented plan that outlines the measures, targets, responsibilities, and timelines for avoiding, minimising, rehabilitating, and offsetting biodiversity impacts associated with project activities.</w:t>
            </w:r>
          </w:p>
        </w:tc>
      </w:tr>
      <w:tr>
        <w:tc>
          <w:tcPr>
            <w:tcW w:type="dxa" w:w="4888"/>
          </w:tcPr>
          <w:p>
            <w:pPr>
              <w:pStyle w:val="TableContents"/>
              <w:spacing w:before="0" w:after="0" w:line="240" w:lineRule="atLeast"/>
            </w:pPr>
            <w:r>
              <w:rPr>
                <w:rFonts w:ascii="Arial" w:hAnsi="Arial" w:cs="Arial" w:eastAsia="Arial"/>
                <w:sz w:val="16"/>
                <w:szCs w:val="16"/>
              </w:rPr>
              <w:t>BMP</w:t>
            </w:r>
          </w:p>
        </w:tc>
        <w:tc>
          <w:tcPr>
            <w:tcW w:type="dxa" w:w="4889"/>
          </w:tcPr>
          <w:p>
            <w:pPr>
              <w:pStyle w:val="TableContents"/>
              <w:spacing w:before="0" w:after="0" w:line="240" w:lineRule="atLeast"/>
            </w:pPr>
            <w:r>
              <w:rPr>
                <w:rFonts w:ascii="Arial" w:hAnsi="Arial" w:cs="Arial" w:eastAsia="Arial"/>
                <w:sz w:val="16"/>
                <w:szCs w:val="16"/>
              </w:rPr>
              <w:t>Biodiversity Management Plan - a site-specific plan that provides operational guidance for implementing biodiversity commitments, including fauna management, invasive species controls, and habitat rehabilitation, in accordance with the project's environmental approvals.</w:t>
            </w:r>
          </w:p>
        </w:tc>
      </w:tr>
      <w:tr>
        <w:tc>
          <w:tcPr>
            <w:tcW w:type="dxa" w:w="4888"/>
          </w:tcPr>
          <w:p>
            <w:pPr>
              <w:pStyle w:val="TableContents"/>
              <w:spacing w:before="0" w:after="0" w:line="240" w:lineRule="atLeast"/>
            </w:pPr>
            <w:r>
              <w:rPr>
                <w:rFonts w:ascii="Arial" w:hAnsi="Arial" w:cs="Arial" w:eastAsia="Arial"/>
                <w:sz w:val="16"/>
                <w:szCs w:val="16"/>
              </w:rPr>
              <w:t>IAS</w:t>
            </w:r>
          </w:p>
        </w:tc>
        <w:tc>
          <w:tcPr>
            <w:tcW w:type="dxa" w:w="4889"/>
          </w:tcPr>
          <w:p>
            <w:pPr>
              <w:pStyle w:val="TableContents"/>
              <w:spacing w:before="0" w:after="0" w:line="240" w:lineRule="atLeast"/>
            </w:pPr>
            <w:r>
              <w:rPr>
                <w:rFonts w:ascii="Arial" w:hAnsi="Arial" w:cs="Arial" w:eastAsia="Arial"/>
                <w:sz w:val="16"/>
                <w:szCs w:val="16"/>
              </w:rPr>
              <w:t>Invasive Alien Species - non-native plants, animals, pathogens, or other organisms introduced by human activity that establish, proliferate, and cause ecological or socio-economic harm to native biodiversity and ecosystems.</w:t>
            </w:r>
          </w:p>
        </w:tc>
      </w:tr>
      <w:tr>
        <w:tc>
          <w:tcPr>
            <w:tcW w:type="dxa" w:w="4888"/>
          </w:tcPr>
          <w:p>
            <w:pPr>
              <w:pStyle w:val="TableContents"/>
              <w:spacing w:before="0" w:after="0" w:line="240" w:lineRule="atLeast"/>
            </w:pPr>
            <w:r>
              <w:rPr>
                <w:rFonts w:ascii="Arial" w:hAnsi="Arial" w:cs="Arial" w:eastAsia="Arial"/>
                <w:sz w:val="16"/>
                <w:szCs w:val="16"/>
              </w:rPr>
              <w:t>MSES</w:t>
            </w:r>
          </w:p>
        </w:tc>
        <w:tc>
          <w:tcPr>
            <w:tcW w:type="dxa" w:w="4889"/>
          </w:tcPr>
          <w:p>
            <w:pPr>
              <w:pStyle w:val="TableContents"/>
              <w:spacing w:before="0" w:after="0" w:line="240" w:lineRule="atLeast"/>
            </w:pPr>
            <w:r>
              <w:rPr>
                <w:rFonts w:ascii="Arial" w:hAnsi="Arial" w:cs="Arial" w:eastAsia="Arial"/>
                <w:sz w:val="16"/>
                <w:szCs w:val="16"/>
              </w:rPr>
              <w:t>Matters of State Environmental Significance - flora, fauna, ecosystems, or habitats identified under relevant state or territory legislation as requiring specific protection due to their conservation status, rarity, or ecological importance.</w:t>
            </w:r>
          </w:p>
        </w:tc>
      </w:tr>
      <w:tr>
        <w:tc>
          <w:tcPr>
            <w:tcW w:type="dxa" w:w="4888"/>
          </w:tcPr>
          <w:p>
            <w:pPr>
              <w:pStyle w:val="TableContents"/>
              <w:spacing w:before="0" w:after="0" w:line="240" w:lineRule="atLeast"/>
            </w:pPr>
            <w:r>
              <w:rPr>
                <w:rFonts w:ascii="Arial" w:hAnsi="Arial" w:cs="Arial" w:eastAsia="Arial"/>
                <w:sz w:val="16"/>
                <w:szCs w:val="16"/>
              </w:rPr>
              <w:t>MNES</w:t>
            </w:r>
          </w:p>
        </w:tc>
        <w:tc>
          <w:tcPr>
            <w:tcW w:type="dxa" w:w="4889"/>
          </w:tcPr>
          <w:p>
            <w:pPr>
              <w:pStyle w:val="TableContents"/>
              <w:spacing w:before="0" w:after="0" w:line="240" w:lineRule="atLeast"/>
            </w:pPr>
            <w:r>
              <w:rPr>
                <w:rFonts w:ascii="Arial" w:hAnsi="Arial" w:cs="Arial" w:eastAsia="Arial"/>
                <w:sz w:val="16"/>
                <w:szCs w:val="16"/>
              </w:rPr>
              <w:t>Matters of National Environmental Significance - flora, fauna, ecological communities, or heritage places protected under the Commonwealth Environment Protection and Biodiversity Conservation Act 1999 (EPBC Act), requiring referral and approval for any action likely to have a significant impact.</w:t>
            </w:r>
          </w:p>
        </w:tc>
      </w:tr>
      <w:tr>
        <w:tc>
          <w:tcPr>
            <w:tcW w:type="dxa" w:w="4888"/>
          </w:tcPr>
          <w:p>
            <w:pPr>
              <w:pStyle w:val="TableContents"/>
              <w:spacing w:before="0" w:after="0" w:line="240" w:lineRule="atLeast"/>
            </w:pPr>
            <w:r>
              <w:rPr>
                <w:rFonts w:ascii="Arial" w:hAnsi="Arial" w:cs="Arial" w:eastAsia="Arial"/>
                <w:sz w:val="16"/>
                <w:szCs w:val="16"/>
              </w:rPr>
              <w:t>EPBC</w:t>
            </w:r>
          </w:p>
        </w:tc>
        <w:tc>
          <w:tcPr>
            <w:tcW w:type="dxa" w:w="4889"/>
          </w:tcPr>
          <w:p>
            <w:pPr>
              <w:pStyle w:val="TableContents"/>
              <w:spacing w:before="0" w:after="0" w:line="240" w:lineRule="atLeast"/>
            </w:pPr>
            <w:r>
              <w:rPr>
                <w:rFonts w:ascii="Arial" w:hAnsi="Arial" w:cs="Arial" w:eastAsia="Arial"/>
                <w:sz w:val="16"/>
                <w:szCs w:val="16"/>
              </w:rPr>
              <w:t>Environment Protection and Biodiversity Conservation - referring to the Commonwealth Environment Protection and Biodiversity Conservation Act 1999, Australia's primary federal environmental legislation protecting nationally significant flora, fauna, ecological communities, and heritage places.</w:t>
            </w:r>
          </w:p>
        </w:tc>
      </w:tr>
      <w:tr>
        <w:tc>
          <w:tcPr>
            <w:tcW w:type="dxa" w:w="4888"/>
          </w:tcPr>
          <w:p>
            <w:pPr>
              <w:pStyle w:val="TableContents"/>
              <w:spacing w:before="0" w:after="0" w:line="240" w:lineRule="atLeast"/>
            </w:pPr>
            <w:r>
              <w:rPr>
                <w:rFonts w:ascii="Arial" w:hAnsi="Arial" w:cs="Arial" w:eastAsia="Arial"/>
                <w:sz w:val="16"/>
                <w:szCs w:val="16"/>
              </w:rPr>
              <w:t>TEC</w:t>
            </w:r>
          </w:p>
        </w:tc>
        <w:tc>
          <w:tcPr>
            <w:tcW w:type="dxa" w:w="4889"/>
          </w:tcPr>
          <w:p>
            <w:pPr>
              <w:pStyle w:val="TableContents"/>
              <w:spacing w:before="0" w:after="0" w:line="240" w:lineRule="atLeast"/>
            </w:pPr>
            <w:r>
              <w:rPr>
                <w:rFonts w:ascii="Arial" w:hAnsi="Arial" w:cs="Arial" w:eastAsia="Arial"/>
                <w:sz w:val="16"/>
                <w:szCs w:val="16"/>
              </w:rPr>
              <w:t>Threatened Ecological Community - an ecological community listed as threatened under applicable federal or state legislation due to significant decline in extent or condition, which may require specific management and offset obligations.</w:t>
            </w:r>
          </w:p>
        </w:tc>
      </w:tr>
      <w:tr>
        <w:tc>
          <w:tcPr>
            <w:tcW w:type="dxa" w:w="4888"/>
          </w:tcPr>
          <w:p>
            <w:pPr>
              <w:pStyle w:val="TableContents"/>
              <w:spacing w:before="0" w:after="0" w:line="240" w:lineRule="atLeast"/>
            </w:pPr>
            <w:r>
              <w:rPr>
                <w:rFonts w:ascii="Arial" w:hAnsi="Arial" w:cs="Arial" w:eastAsia="Arial"/>
                <w:sz w:val="16"/>
                <w:szCs w:val="16"/>
              </w:rPr>
              <w:t>EIS</w:t>
            </w:r>
          </w:p>
        </w:tc>
        <w:tc>
          <w:tcPr>
            <w:tcW w:type="dxa" w:w="4889"/>
          </w:tcPr>
          <w:p>
            <w:pPr>
              <w:pStyle w:val="TableContents"/>
              <w:spacing w:before="0" w:after="0" w:line="240" w:lineRule="atLeast"/>
            </w:pPr>
            <w:r>
              <w:rPr>
                <w:rFonts w:ascii="Arial" w:hAnsi="Arial" w:cs="Arial" w:eastAsia="Arial"/>
                <w:sz w:val="16"/>
                <w:szCs w:val="16"/>
              </w:rPr>
              <w:t>Environmental Impact Statement - a comprehensive assessment document that evaluates the potential environmental, social, and heritage impacts of a proposed project, prepared to satisfy regulatory approval requirements.</w:t>
            </w:r>
          </w:p>
        </w:tc>
      </w:tr>
      <w:tr>
        <w:tc>
          <w:tcPr>
            <w:tcW w:type="dxa" w:w="4888"/>
          </w:tcPr>
          <w:p>
            <w:pPr>
              <w:pStyle w:val="TableContents"/>
              <w:spacing w:before="0" w:after="0" w:line="240" w:lineRule="atLeast"/>
            </w:pPr>
            <w:r>
              <w:rPr>
                <w:rFonts w:ascii="Arial" w:hAnsi="Arial" w:cs="Arial" w:eastAsia="Arial"/>
                <w:sz w:val="16"/>
                <w:szCs w:val="16"/>
              </w:rPr>
              <w:t>FMP</w:t>
            </w:r>
          </w:p>
        </w:tc>
        <w:tc>
          <w:tcPr>
            <w:tcW w:type="dxa" w:w="4889"/>
          </w:tcPr>
          <w:p>
            <w:pPr>
              <w:pStyle w:val="TableContents"/>
              <w:spacing w:before="0" w:after="0" w:line="240" w:lineRule="atLeast"/>
            </w:pPr>
            <w:r>
              <w:rPr>
                <w:rFonts w:ascii="Arial" w:hAnsi="Arial" w:cs="Arial" w:eastAsia="Arial"/>
                <w:sz w:val="16"/>
                <w:szCs w:val="16"/>
              </w:rPr>
              <w:t>Fauna Management Plan - a plan that specifies procedures for the protection, translocation, monitoring, and rescue of fauna species potentially affected by project activities, particularly during vegetation clearing and construction.</w:t>
            </w:r>
          </w:p>
        </w:tc>
      </w:tr>
      <w:tr>
        <w:tc>
          <w:tcPr>
            <w:tcW w:type="dxa" w:w="4888"/>
          </w:tcPr>
          <w:p>
            <w:pPr>
              <w:pStyle w:val="TableContents"/>
              <w:spacing w:before="0" w:after="0" w:line="240" w:lineRule="atLeast"/>
            </w:pPr>
            <w:r>
              <w:rPr>
                <w:rFonts w:ascii="Arial" w:hAnsi="Arial" w:cs="Arial" w:eastAsia="Arial"/>
                <w:sz w:val="16"/>
                <w:szCs w:val="16"/>
              </w:rPr>
              <w:t>WCS</w:t>
            </w:r>
          </w:p>
        </w:tc>
        <w:tc>
          <w:tcPr>
            <w:tcW w:type="dxa" w:w="4889"/>
          </w:tcPr>
          <w:p>
            <w:pPr>
              <w:pStyle w:val="TableContents"/>
              <w:spacing w:before="0" w:after="0" w:line="240" w:lineRule="atLeast"/>
            </w:pPr>
            <w:r>
              <w:rPr>
                <w:rFonts w:ascii="Arial" w:hAnsi="Arial" w:cs="Arial" w:eastAsia="Arial"/>
                <w:sz w:val="16"/>
                <w:szCs w:val="16"/>
              </w:rPr>
              <w:t>Wildlife Clearing Survey - a systematic pre-clearance survey conducted by qualified ecologists to locate, identify, and safely relocate or manage fauna present within vegetation scheduled for removal.</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protective clothing, helmets, gloves, or other garments or equipment designed to protect the wearer from injury or infection during work activities, including activities involving fauna or biosecurity risks.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integrated discipline within Rio Tinto responsible for managing risks and ensuring compliance with legal, regulatory, and corporate obligations relating to worker health and safety and environmental performance.</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global mining and metals company under whose corporate standards, policies, and risk management frameworks this procedure is developed and implemented.</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set of specified instructions or steps that define how a particular activity or process is to be carried out to achieve consistent, compliant, and safe outcomes within the project management system.</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Reference - the document coding prefix applied to owner-led project procedures and standards that fall within the Rio Tinto project management and HSESC document control framework.</w:t>
            </w:r>
          </w:p>
        </w:tc>
      </w:tr>
      <w:tr>
        <w:tc>
          <w:tcPr>
            <w:tcW w:type="dxa" w:w="4888"/>
          </w:tcPr>
          <w:p>
            <w:pPr>
              <w:pStyle w:val="TableContents"/>
              <w:spacing w:before="0" w:after="0" w:line="240" w:lineRule="atLeast"/>
            </w:pPr>
            <w:r>
              <w:rPr>
                <w:rFonts w:ascii="Arial" w:hAnsi="Arial" w:cs="Arial" w:eastAsia="Arial"/>
                <w:sz w:val="16"/>
                <w:szCs w:val="16"/>
              </w:rPr>
              <w:t>SMP</w:t>
            </w:r>
          </w:p>
        </w:tc>
        <w:tc>
          <w:tcPr>
            <w:tcW w:type="dxa" w:w="4889"/>
          </w:tcPr>
          <w:p>
            <w:pPr>
              <w:pStyle w:val="TableContents"/>
              <w:spacing w:before="0" w:after="0" w:line="240" w:lineRule="atLeast"/>
            </w:pPr>
            <w:r>
              <w:rPr>
                <w:rFonts w:ascii="Arial" w:hAnsi="Arial" w:cs="Arial" w:eastAsia="Arial"/>
                <w:sz w:val="16"/>
                <w:szCs w:val="16"/>
              </w:rPr>
              <w:t>Species Management Plan - a targeted plan developed for a specific threatened or sensitive species that details protection measures, monitoring requirements, and response actions to manage project-related risks to that species.</w:t>
            </w:r>
          </w:p>
        </w:tc>
      </w:tr>
      <w:tr>
        <w:tc>
          <w:tcPr>
            <w:tcW w:type="dxa" w:w="4888"/>
          </w:tcPr>
          <w:p>
            <w:pPr>
              <w:pStyle w:val="TableContents"/>
              <w:spacing w:before="0" w:after="0" w:line="240" w:lineRule="atLeast"/>
            </w:pPr>
            <w:r>
              <w:rPr>
                <w:rFonts w:ascii="Arial" w:hAnsi="Arial" w:cs="Arial" w:eastAsia="Arial"/>
                <w:sz w:val="16"/>
                <w:szCs w:val="16"/>
              </w:rPr>
              <w:t>LNV</w:t>
            </w:r>
          </w:p>
        </w:tc>
        <w:tc>
          <w:tcPr>
            <w:tcW w:type="dxa" w:w="4889"/>
          </w:tcPr>
          <w:p>
            <w:pPr>
              <w:pStyle w:val="TableContents"/>
              <w:spacing w:before="0" w:after="0" w:line="240" w:lineRule="atLeast"/>
            </w:pPr>
            <w:r>
              <w:rPr>
                <w:rFonts w:ascii="Arial" w:hAnsi="Arial" w:cs="Arial" w:eastAsia="Arial"/>
                <w:sz w:val="16"/>
                <w:szCs w:val="16"/>
              </w:rPr>
              <w:t>Light, Noise, and Vibration - physical environmental stressors generated by construction, operational, and transport activities that can adversely affect fauna behaviour, breeding success, habitat use, and overall biodiversity values if not appropriately managed.</w:t>
            </w:r>
          </w:p>
        </w:tc>
      </w:tr>
      <w:tr>
        <w:tc>
          <w:tcPr>
            <w:tcW w:type="dxa" w:w="4888"/>
          </w:tcPr>
          <w:p>
            <w:pPr>
              <w:pStyle w:val="TableContents"/>
              <w:spacing w:before="0" w:after="0" w:line="240" w:lineRule="atLeast"/>
            </w:pPr>
            <w:r>
              <w:rPr>
                <w:rFonts w:ascii="Arial" w:hAnsi="Arial" w:cs="Arial" w:eastAsia="Arial"/>
                <w:sz w:val="16"/>
                <w:szCs w:val="16"/>
              </w:rPr>
              <w:t>GIS</w:t>
            </w:r>
          </w:p>
        </w:tc>
        <w:tc>
          <w:tcPr>
            <w:tcW w:type="dxa" w:w="4889"/>
          </w:tcPr>
          <w:p>
            <w:pPr>
              <w:pStyle w:val="TableContents"/>
              <w:spacing w:before="0" w:after="0" w:line="240" w:lineRule="atLeast"/>
            </w:pPr>
            <w:r>
              <w:rPr>
                <w:rFonts w:ascii="Arial" w:hAnsi="Arial" w:cs="Arial" w:eastAsia="Arial"/>
                <w:sz w:val="16"/>
                <w:szCs w:val="16"/>
              </w:rPr>
              <w:t>Geographic Information System - a computer-based system used to capture, store, analyse, and display spatial and geographic data, applied in biodiversity management to map sensitive habitats, disturbance footprints, and offset areas.</w:t>
            </w:r>
          </w:p>
        </w:tc>
      </w:tr>
      <w:tr>
        <w:tc>
          <w:tcPr>
            <w:tcW w:type="dxa" w:w="4888"/>
          </w:tcPr>
          <w:p>
            <w:pPr>
              <w:pStyle w:val="TableContents"/>
              <w:spacing w:before="0" w:after="0" w:line="240" w:lineRule="atLeast"/>
            </w:pPr>
            <w:r>
              <w:rPr>
                <w:rFonts w:ascii="Arial" w:hAnsi="Arial" w:cs="Arial" w:eastAsia="Arial"/>
                <w:sz w:val="16"/>
                <w:szCs w:val="16"/>
              </w:rPr>
              <w:t>VMP</w:t>
            </w:r>
          </w:p>
        </w:tc>
        <w:tc>
          <w:tcPr>
            <w:tcW w:type="dxa" w:w="4889"/>
          </w:tcPr>
          <w:p>
            <w:pPr>
              <w:pStyle w:val="TableContents"/>
              <w:spacing w:before="0" w:after="0" w:line="240" w:lineRule="atLeast"/>
            </w:pPr>
            <w:r>
              <w:rPr>
                <w:rFonts w:ascii="Arial" w:hAnsi="Arial" w:cs="Arial" w:eastAsia="Arial"/>
                <w:sz w:val="16"/>
                <w:szCs w:val="16"/>
              </w:rPr>
              <w:t>Vegetation Management Plan - a plan that governs the clearing, protection, and rehabilitation of vegetation communities within the project area, including requirements for pre-clearance surveys and progressive rehabilitation.</w:t>
            </w:r>
          </w:p>
        </w:tc>
      </w:tr>
      <w:tr>
        <w:tc>
          <w:tcPr>
            <w:tcW w:type="dxa" w:w="4888"/>
          </w:tcPr>
          <w:p>
            <w:pPr>
              <w:pStyle w:val="TableContents"/>
              <w:spacing w:before="0" w:after="0" w:line="240" w:lineRule="atLeast"/>
            </w:pPr>
            <w:r>
              <w:rPr>
                <w:rFonts w:ascii="Arial" w:hAnsi="Arial" w:cs="Arial" w:eastAsia="Arial"/>
                <w:sz w:val="16"/>
                <w:szCs w:val="16"/>
              </w:rPr>
              <w:t>dB</w:t>
            </w:r>
          </w:p>
        </w:tc>
        <w:tc>
          <w:tcPr>
            <w:tcW w:type="dxa" w:w="4889"/>
          </w:tcPr>
          <w:p>
            <w:pPr>
              <w:pStyle w:val="TableContents"/>
              <w:spacing w:before="0" w:after="0" w:line="240" w:lineRule="atLeast"/>
            </w:pPr>
            <w:r>
              <w:rPr>
                <w:rFonts w:ascii="Arial" w:hAnsi="Arial" w:cs="Arial" w:eastAsia="Arial"/>
                <w:sz w:val="16"/>
                <w:szCs w:val="16"/>
              </w:rPr>
              <w:t>Decibel - a logarithmic unit used to measure sound intensity or noise levels, referenced in biodiversity noise controls to define acceptable thresholds that minimise disturbance to sensitive fauna species and their habitats.</w:t>
            </w:r>
          </w:p>
        </w:tc>
      </w:tr>
      <w:tr>
        <w:tc>
          <w:tcPr>
            <w:tcW w:type="dxa" w:w="4888"/>
          </w:tcPr>
          <w:p>
            <w:pPr>
              <w:pStyle w:val="TableContents"/>
              <w:spacing w:before="0" w:after="0" w:line="240" w:lineRule="atLeast"/>
            </w:pPr>
            <w:r>
              <w:rPr>
                <w:rFonts w:ascii="Arial" w:hAnsi="Arial" w:cs="Arial" w:eastAsia="Arial"/>
                <w:sz w:val="16"/>
                <w:szCs w:val="16"/>
              </w:rPr>
              <w:t>UV</w:t>
            </w:r>
          </w:p>
        </w:tc>
        <w:tc>
          <w:tcPr>
            <w:tcW w:type="dxa" w:w="4889"/>
          </w:tcPr>
          <w:p>
            <w:pPr>
              <w:pStyle w:val="TableContents"/>
              <w:spacing w:before="0" w:after="0" w:line="240" w:lineRule="atLeast"/>
            </w:pPr>
            <w:r>
              <w:rPr>
                <w:rFonts w:ascii="Arial" w:hAnsi="Arial" w:cs="Arial" w:eastAsia="Arial"/>
                <w:sz w:val="16"/>
                <w:szCs w:val="16"/>
              </w:rPr>
              <w:t>Ultraviolet - a component of the light spectrum relevant to artificial light-at-night controls for biodiversity, as UV-emitting light sources are particularly attractive to nocturnal insects and can disrupt fauna behaviour and ecological processes.</w:t>
            </w:r>
          </w:p>
        </w:tc>
      </w:tr>
      <w:tr>
        <w:tc>
          <w:tcPr>
            <w:tcW w:type="dxa" w:w="4888"/>
          </w:tcPr>
          <w:p>
            <w:pPr>
              <w:pStyle w:val="TableContents"/>
              <w:spacing w:before="0" w:after="0" w:line="240" w:lineRule="atLeast"/>
            </w:pPr>
            <w:r>
              <w:rPr>
                <w:rFonts w:ascii="Arial" w:hAnsi="Arial" w:cs="Arial" w:eastAsia="Arial"/>
                <w:sz w:val="16"/>
                <w:szCs w:val="16"/>
              </w:rPr>
              <w:t>ALAN</w:t>
            </w:r>
          </w:p>
        </w:tc>
        <w:tc>
          <w:tcPr>
            <w:tcW w:type="dxa" w:w="4889"/>
          </w:tcPr>
          <w:p>
            <w:pPr>
              <w:pStyle w:val="TableContents"/>
              <w:spacing w:before="0" w:after="0" w:line="240" w:lineRule="atLeast"/>
            </w:pPr>
            <w:r>
              <w:rPr>
                <w:rFonts w:ascii="Arial" w:hAnsi="Arial" w:cs="Arial" w:eastAsia="Arial"/>
                <w:sz w:val="16"/>
                <w:szCs w:val="16"/>
              </w:rPr>
              <w:t>Artificial Light At Night - anthropogenic illumination outside of daylight hours generated by project infrastructure and operations that can disrupt nocturnal fauna behaviour, migration, breeding, and predator-prey relationships.</w:t>
            </w:r>
          </w:p>
        </w:tc>
      </w:tr>
      <w:tr>
        <w:tc>
          <w:tcPr>
            <w:tcW w:type="dxa" w:w="4888"/>
          </w:tcPr>
          <w:p>
            <w:pPr>
              <w:pStyle w:val="TableContents"/>
              <w:spacing w:before="0" w:after="0" w:line="240" w:lineRule="atLeast"/>
            </w:pPr>
            <w:r>
              <w:rPr>
                <w:rFonts w:ascii="Arial" w:hAnsi="Arial" w:cs="Arial" w:eastAsia="Arial"/>
                <w:sz w:val="16"/>
                <w:szCs w:val="16"/>
              </w:rPr>
              <w:t>CEO</w:t>
            </w:r>
          </w:p>
        </w:tc>
        <w:tc>
          <w:tcPr>
            <w:tcW w:type="dxa" w:w="4889"/>
          </w:tcPr>
          <w:p>
            <w:pPr>
              <w:pStyle w:val="TableContents"/>
              <w:spacing w:before="0" w:after="0" w:line="240" w:lineRule="atLeast"/>
            </w:pPr>
            <w:r>
              <w:rPr>
                <w:rFonts w:ascii="Arial" w:hAnsi="Arial" w:cs="Arial" w:eastAsia="Arial"/>
                <w:sz w:val="16"/>
                <w:szCs w:val="16"/>
              </w:rPr>
              <w:t>Chief Executive Officer - the highest-ranking executive within the relevant project or business entity, with ultimate accountability for ensuring the organisation meets its environmental, social, and safety obligations including biodiversity commitments.</w:t>
            </w:r>
          </w:p>
        </w:tc>
      </w:tr>
      <w:tr>
        <w:tc>
          <w:tcPr>
            <w:tcW w:type="dxa" w:w="4888"/>
          </w:tcPr>
          <w:p>
            <w:pPr>
              <w:pStyle w:val="TableContents"/>
              <w:spacing w:before="0" w:after="0" w:line="240" w:lineRule="atLeast"/>
            </w:pPr>
            <w:r>
              <w:rPr>
                <w:rFonts w:ascii="Arial" w:hAnsi="Arial" w:cs="Arial" w:eastAsia="Arial"/>
                <w:sz w:val="16"/>
                <w:szCs w:val="16"/>
              </w:rPr>
              <w:t>ER</w:t>
            </w:r>
          </w:p>
        </w:tc>
        <w:tc>
          <w:tcPr>
            <w:tcW w:type="dxa" w:w="4889"/>
          </w:tcPr>
          <w:p>
            <w:pPr>
              <w:pStyle w:val="TableContents"/>
              <w:spacing w:before="0" w:after="0" w:line="240" w:lineRule="atLeast"/>
            </w:pPr>
            <w:r>
              <w:rPr>
                <w:rFonts w:ascii="Arial" w:hAnsi="Arial" w:cs="Arial" w:eastAsia="Arial"/>
                <w:sz w:val="16"/>
                <w:szCs w:val="16"/>
              </w:rPr>
              <w:t>Environmental Representative - a suitably qualified person appointed under environmental approval conditions to provide independent oversight of environmental management performance and compliance on a project site.</w:t>
            </w:r>
          </w:p>
        </w:tc>
      </w:tr>
      <w:tr>
        <w:tc>
          <w:tcPr>
            <w:tcW w:type="dxa" w:w="4888"/>
          </w:tcPr>
          <w:p>
            <w:pPr>
              <w:pStyle w:val="TableContents"/>
              <w:spacing w:before="0" w:after="0" w:line="240" w:lineRule="atLeast"/>
            </w:pPr>
            <w:r>
              <w:rPr>
                <w:rFonts w:ascii="Arial" w:hAnsi="Arial" w:cs="Arial" w:eastAsia="Arial"/>
                <w:sz w:val="16"/>
                <w:szCs w:val="16"/>
              </w:rPr>
              <w:t>RAT</w:t>
            </w:r>
          </w:p>
        </w:tc>
        <w:tc>
          <w:tcPr>
            <w:tcW w:type="dxa" w:w="4889"/>
          </w:tcPr>
          <w:p>
            <w:pPr>
              <w:pStyle w:val="TableContents"/>
              <w:spacing w:before="0" w:after="0" w:line="240" w:lineRule="atLeast"/>
            </w:pPr>
            <w:r>
              <w:rPr>
                <w:rFonts w:ascii="Arial" w:hAnsi="Arial" w:cs="Arial" w:eastAsia="Arial"/>
                <w:sz w:val="16"/>
                <w:szCs w:val="16"/>
              </w:rPr>
              <w:t>Risk Assessment Tool - a structured methodology or software platform used to identify, evaluate, and record environmental and safety risks, including biodiversity impact risks, in accordance with the RT Risk Management Standard.</w:t>
            </w:r>
          </w:p>
        </w:tc>
      </w:tr>
      <w:tr>
        <w:tc>
          <w:tcPr>
            <w:tcW w:type="dxa" w:w="4888"/>
          </w:tcPr>
          <w:p>
            <w:pPr>
              <w:pStyle w:val="TableContents"/>
              <w:spacing w:before="0" w:after="0" w:line="240" w:lineRule="atLeast"/>
            </w:pPr>
            <w:r>
              <w:rPr>
                <w:rFonts w:ascii="Arial" w:hAnsi="Arial" w:cs="Arial" w:eastAsia="Arial"/>
                <w:sz w:val="16"/>
                <w:szCs w:val="16"/>
              </w:rPr>
              <w:t>IFC</w:t>
            </w:r>
          </w:p>
        </w:tc>
        <w:tc>
          <w:tcPr>
            <w:tcW w:type="dxa" w:w="4889"/>
          </w:tcPr>
          <w:p>
            <w:pPr>
              <w:pStyle w:val="TableContents"/>
              <w:spacing w:before="0" w:after="0" w:line="240" w:lineRule="atLeast"/>
            </w:pPr>
            <w:r>
              <w:rPr>
                <w:rFonts w:ascii="Arial" w:hAnsi="Arial" w:cs="Arial" w:eastAsia="Arial"/>
                <w:sz w:val="16"/>
                <w:szCs w:val="16"/>
              </w:rPr>
              <w:t>International Finance Corporation - the private sector arm of the World Bank Group whose Performance Standards on Environmental and Social Sustainability, particularly Performance Standard 6, establish internationally recognised requirements for biodiversity management and no-net-loss outcomes.</w:t>
            </w:r>
          </w:p>
        </w:tc>
      </w:tr>
      <w:tr>
        <w:tc>
          <w:tcPr>
            <w:tcW w:type="dxa" w:w="4888"/>
          </w:tcPr>
          <w:p>
            <w:pPr>
              <w:pStyle w:val="TableContents"/>
              <w:spacing w:before="0" w:after="0" w:line="240" w:lineRule="atLeast"/>
            </w:pPr>
            <w:r>
              <w:rPr>
                <w:rFonts w:ascii="Arial" w:hAnsi="Arial" w:cs="Arial" w:eastAsia="Arial"/>
                <w:sz w:val="16"/>
                <w:szCs w:val="16"/>
              </w:rPr>
              <w:t>PS6</w:t>
            </w:r>
          </w:p>
        </w:tc>
        <w:tc>
          <w:tcPr>
            <w:tcW w:type="dxa" w:w="4889"/>
          </w:tcPr>
          <w:p>
            <w:pPr>
              <w:pStyle w:val="TableContents"/>
              <w:spacing w:before="0" w:after="0" w:line="240" w:lineRule="atLeast"/>
            </w:pPr>
            <w:r>
              <w:rPr>
                <w:rFonts w:ascii="Arial" w:hAnsi="Arial" w:cs="Arial" w:eastAsia="Arial"/>
                <w:sz w:val="16"/>
                <w:szCs w:val="16"/>
              </w:rPr>
              <w:t>Performance Standard 6 - the International Finance Corporation Performance Standard on Biodiversity Conservation and Sustainable Management of Living Natural Resources, which defines requirements for the mitigation hierarchy, critical habitat assessment, and no-net-loss of biodiversity.</w:t>
            </w:r>
          </w:p>
        </w:tc>
      </w:tr>
      <w:tr>
        <w:tc>
          <w:tcPr>
            <w:tcW w:type="dxa" w:w="4888"/>
          </w:tcPr>
          <w:p>
            <w:pPr>
              <w:pStyle w:val="TableContents"/>
              <w:spacing w:before="0" w:after="0" w:line="240" w:lineRule="atLeast"/>
            </w:pPr>
            <w:r>
              <w:rPr>
                <w:rFonts w:ascii="Arial" w:hAnsi="Arial" w:cs="Arial" w:eastAsia="Arial"/>
                <w:sz w:val="16"/>
                <w:szCs w:val="16"/>
              </w:rPr>
              <w:t>KBA</w:t>
            </w:r>
          </w:p>
        </w:tc>
        <w:tc>
          <w:tcPr>
            <w:tcW w:type="dxa" w:w="4889"/>
          </w:tcPr>
          <w:p>
            <w:pPr>
              <w:pStyle w:val="TableContents"/>
              <w:spacing w:before="0" w:after="0" w:line="240" w:lineRule="atLeast"/>
            </w:pPr>
            <w:r>
              <w:rPr>
                <w:rFonts w:ascii="Arial" w:hAnsi="Arial" w:cs="Arial" w:eastAsia="Arial"/>
                <w:sz w:val="16"/>
                <w:szCs w:val="16"/>
              </w:rPr>
              <w:t>Key Biodiversity Area - a site that contributes significantly to the global persistence of biodiversity, identified using standardised criteria related to threatened species, range-restricted species, ecological integrity, and biological processes.</w:t>
            </w:r>
          </w:p>
        </w:tc>
      </w:tr>
      <w:tr>
        <w:tc>
          <w:tcPr>
            <w:tcW w:type="dxa" w:w="4888"/>
          </w:tcPr>
          <w:p>
            <w:pPr>
              <w:pStyle w:val="TableContents"/>
              <w:spacing w:before="0" w:after="0" w:line="240" w:lineRule="atLeast"/>
            </w:pPr>
            <w:r>
              <w:rPr>
                <w:rFonts w:ascii="Arial" w:hAnsi="Arial" w:cs="Arial" w:eastAsia="Arial"/>
                <w:sz w:val="16"/>
                <w:szCs w:val="16"/>
              </w:rPr>
              <w:t>PPP</w:t>
            </w:r>
          </w:p>
        </w:tc>
        <w:tc>
          <w:tcPr>
            <w:tcW w:type="dxa" w:w="4889"/>
          </w:tcPr>
          <w:p>
            <w:pPr>
              <w:pStyle w:val="TableContents"/>
              <w:spacing w:before="0" w:after="0" w:line="240" w:lineRule="atLeast"/>
            </w:pPr>
            <w:r>
              <w:rPr>
                <w:rFonts w:ascii="Arial" w:hAnsi="Arial" w:cs="Arial" w:eastAsia="Arial"/>
                <w:sz w:val="16"/>
                <w:szCs w:val="16"/>
              </w:rPr>
              <w:t>Policies, Plans, and Procedures - the hierarchy of governance documents within the RT HSESC management system that establish requirements, objectives, and operational instructions for managing environmental and safety risks.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Legal Requirements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Land Disturbance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Over Water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Monitoring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Biodiversity Standard</w:t>
            </w:r>
          </w:p>
        </w:tc>
        <w:tc>
          <w:tcPr>
            <w:tcW w:type="dxa" w:w="3259"/>
          </w:tcPr>
          <w:p>
            <w:pPr>
              <w:pStyle w:val="TableContents"/>
              <w:spacing w:before="0" w:after="0" w:line="240" w:lineRule="atLeast"/>
            </w:pPr>
            <w:r>
              <w:rPr>
                <w:rFonts w:ascii="Arial" w:hAnsi="Arial" w:cs="Arial" w:eastAsia="Arial"/>
                <w:sz w:val="16"/>
                <w:szCs w:val="16"/>
              </w:rPr>
              <w:t>RT Biodiversity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Environmental Policy</w:t>
            </w:r>
          </w:p>
        </w:tc>
        <w:tc>
          <w:tcPr>
            <w:tcW w:type="dxa" w:w="3259"/>
          </w:tcPr>
          <w:p>
            <w:pPr>
              <w:pStyle w:val="TableContents"/>
              <w:spacing w:before="0" w:after="0" w:line="240" w:lineRule="atLeast"/>
            </w:pPr>
            <w:r>
              <w:rPr>
                <w:rFonts w:ascii="Arial" w:hAnsi="Arial" w:cs="Arial" w:eastAsia="Arial"/>
                <w:sz w:val="16"/>
                <w:szCs w:val="16"/>
              </w:rPr>
              <w:t>RT Environmental Policy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IFC Performance Standard 6 - Biodiversity Conservation and Sustainable Management of Living Natural Resources</w:t>
            </w:r>
          </w:p>
        </w:tc>
        <w:tc>
          <w:tcPr>
            <w:tcW w:type="dxa" w:w="3259"/>
          </w:tcPr>
          <w:p>
            <w:pPr>
              <w:pStyle w:val="TableContents"/>
              <w:spacing w:before="0" w:after="0" w:line="240" w:lineRule="atLeast"/>
            </w:pPr>
            <w:r>
              <w:rPr>
                <w:rFonts w:ascii="Arial" w:hAnsi="Arial" w:cs="Arial" w:eastAsia="Arial"/>
                <w:sz w:val="16"/>
                <w:szCs w:val="16"/>
              </w:rPr>
              <w:t>IFC PS6 (2012)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IFC Performance Standard 1 - Assessment and Management of Environmental and Social Risks and Impacts</w:t>
            </w:r>
          </w:p>
        </w:tc>
        <w:tc>
          <w:tcPr>
            <w:tcW w:type="dxa" w:w="3259"/>
          </w:tcPr>
          <w:p>
            <w:pPr>
              <w:pStyle w:val="TableContents"/>
              <w:spacing w:before="0" w:after="0" w:line="240" w:lineRule="atLeast"/>
            </w:pPr>
            <w:r>
              <w:rPr>
                <w:rFonts w:ascii="Arial" w:hAnsi="Arial" w:cs="Arial" w:eastAsia="Arial"/>
                <w:sz w:val="16"/>
                <w:szCs w:val="16"/>
              </w:rPr>
              <w:t>IFC PS1 (2012)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Mitigation Hierarchy - Business and Biodiversity Offsets Programme</w:t>
            </w:r>
          </w:p>
        </w:tc>
        <w:tc>
          <w:tcPr>
            <w:tcW w:type="dxa" w:w="3259"/>
          </w:tcPr>
          <w:p>
            <w:pPr>
              <w:pStyle w:val="TableContents"/>
              <w:spacing w:before="0" w:after="0" w:line="240" w:lineRule="atLeast"/>
            </w:pPr>
            <w:r>
              <w:rPr>
                <w:rFonts w:ascii="Arial" w:hAnsi="Arial" w:cs="Arial" w:eastAsia="Arial"/>
                <w:sz w:val="16"/>
                <w:szCs w:val="16"/>
              </w:rPr>
              <w:t>BBOP Standard on Biodiversity Offsets (2012)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Environment Protection and Biodiversity Conservation Act</w:t>
            </w:r>
          </w:p>
        </w:tc>
        <w:tc>
          <w:tcPr>
            <w:tcW w:type="dxa" w:w="3259"/>
          </w:tcPr>
          <w:p>
            <w:pPr>
              <w:pStyle w:val="TableContents"/>
              <w:spacing w:before="0" w:after="0" w:line="240" w:lineRule="atLeast"/>
            </w:pPr>
            <w:r>
              <w:rPr>
                <w:rFonts w:ascii="Arial" w:hAnsi="Arial" w:cs="Arial" w:eastAsia="Arial"/>
                <w:sz w:val="16"/>
                <w:szCs w:val="16"/>
              </w:rPr>
              <w:t>EPBC Act 1999 (Cth)</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Convention on Biological Diversity</w:t>
            </w:r>
          </w:p>
        </w:tc>
        <w:tc>
          <w:tcPr>
            <w:tcW w:type="dxa" w:w="3259"/>
          </w:tcPr>
          <w:p>
            <w:pPr>
              <w:pStyle w:val="TableContents"/>
              <w:spacing w:before="0" w:after="0" w:line="240" w:lineRule="atLeast"/>
            </w:pPr>
            <w:r>
              <w:rPr>
                <w:rFonts w:ascii="Arial" w:hAnsi="Arial" w:cs="Arial" w:eastAsia="Arial"/>
                <w:sz w:val="16"/>
                <w:szCs w:val="16"/>
              </w:rPr>
              <w:t>CBD (1992)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Kunming-Montreal Global Biodiversity Framework</w:t>
            </w:r>
          </w:p>
        </w:tc>
        <w:tc>
          <w:tcPr>
            <w:tcW w:type="dxa" w:w="3259"/>
          </w:tcPr>
          <w:p>
            <w:pPr>
              <w:pStyle w:val="TableContents"/>
              <w:spacing w:before="0" w:after="0" w:line="240" w:lineRule="atLeast"/>
            </w:pPr>
            <w:r>
              <w:rPr>
                <w:rFonts w:ascii="Arial" w:hAnsi="Arial" w:cs="Arial" w:eastAsia="Arial"/>
                <w:sz w:val="16"/>
                <w:szCs w:val="16"/>
              </w:rPr>
              <w:t>GBF (COP15, 2022)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IUCN Red List Categories and Criteria</w:t>
            </w:r>
          </w:p>
        </w:tc>
        <w:tc>
          <w:tcPr>
            <w:tcW w:type="dxa" w:w="3259"/>
          </w:tcPr>
          <w:p>
            <w:pPr>
              <w:pStyle w:val="TableContents"/>
              <w:spacing w:before="0" w:after="0" w:line="240" w:lineRule="atLeast"/>
            </w:pPr>
            <w:r>
              <w:rPr>
                <w:rFonts w:ascii="Arial" w:hAnsi="Arial" w:cs="Arial" w:eastAsia="Arial"/>
                <w:sz w:val="16"/>
                <w:szCs w:val="16"/>
              </w:rPr>
              <w:t>IUCN Red List ver. 3.1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Key Biodiversity Areas Standard</w:t>
            </w:r>
          </w:p>
        </w:tc>
        <w:tc>
          <w:tcPr>
            <w:tcW w:type="dxa" w:w="3259"/>
          </w:tcPr>
          <w:p>
            <w:pPr>
              <w:pStyle w:val="TableContents"/>
              <w:spacing w:before="0" w:after="0" w:line="240" w:lineRule="atLeast"/>
            </w:pPr>
            <w:r>
              <w:rPr>
                <w:rFonts w:ascii="Arial" w:hAnsi="Arial" w:cs="Arial" w:eastAsia="Arial"/>
                <w:sz w:val="16"/>
                <w:szCs w:val="16"/>
              </w:rPr>
              <w:t>IUCN KBA Standard (2016)</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Rio Tinto HSESC Management System Framework</w:t>
            </w:r>
          </w:p>
        </w:tc>
        <w:tc>
          <w:tcPr>
            <w:tcW w:type="dxa" w:w="3259"/>
          </w:tcPr>
          <w:p>
            <w:pPr>
              <w:pStyle w:val="TableContents"/>
              <w:spacing w:before="0" w:after="0" w:line="240" w:lineRule="atLeast"/>
            </w:pPr>
            <w:r>
              <w:rPr>
                <w:rFonts w:ascii="Arial" w:hAnsi="Arial" w:cs="Arial" w:eastAsia="Arial"/>
                <w:sz w:val="16"/>
                <w:szCs w:val="16"/>
              </w:rPr>
              <w:t>RT HSESC Framework</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Equator Principles</w:t>
            </w:r>
          </w:p>
        </w:tc>
        <w:tc>
          <w:tcPr>
            <w:tcW w:type="dxa" w:w="3259"/>
          </w:tcPr>
          <w:p>
            <w:pPr>
              <w:pStyle w:val="TableContents"/>
              <w:spacing w:before="0" w:after="0" w:line="240" w:lineRule="atLeast"/>
            </w:pPr>
            <w:r>
              <w:rPr>
                <w:rFonts w:ascii="Arial" w:hAnsi="Arial" w:cs="Arial" w:eastAsia="Arial"/>
                <w:sz w:val="16"/>
                <w:szCs w:val="16"/>
              </w:rPr>
              <w:t>Equator Principles IV (2020)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14001 - Environmental Management Systems</w:t>
            </w:r>
          </w:p>
        </w:tc>
        <w:tc>
          <w:tcPr>
            <w:tcW w:type="dxa" w:w="3259"/>
          </w:tcPr>
          <w:p>
            <w:pPr>
              <w:pStyle w:val="TableContents"/>
              <w:spacing w:before="0" w:after="0" w:line="240" w:lineRule="atLeast"/>
            </w:pPr>
            <w:r>
              <w:rPr>
                <w:rFonts w:ascii="Arial" w:hAnsi="Arial" w:cs="Arial" w:eastAsia="Arial"/>
                <w:sz w:val="16"/>
                <w:szCs w:val="16"/>
              </w:rPr>
              <w:t>ISO 14001:2015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Environment and Nature - Biodiversity Standard</w:t>
            </w:r>
          </w:p>
        </w:tc>
        <w:tc>
          <w:tcPr>
            <w:tcW w:type="dxa" w:w="2256"/>
          </w:tcPr>
          <w:p>
            <w:pPr>
              <w:pStyle w:val="TableContents"/>
              <w:spacing w:before="0" w:after="0" w:line="240" w:lineRule="atLeast"/>
            </w:pPr>
            <w:r>
              <w:rPr>
                <w:rFonts w:ascii="Arial" w:hAnsi="Arial" w:cs="Arial" w:eastAsia="Arial"/>
                <w:sz w:val="16"/>
                <w:szCs w:val="16"/>
              </w:rPr>
              <w:t>Requires a documented no-net-loss pathway for priority biodiversity values, prohibits operations within World Heritage-listed properties, and mandates invasive species biosecurity controls including vehicle wash-down and soil movement controls.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Environment and Nature - Air Quality Standard (stressors)</w:t>
            </w:r>
          </w:p>
        </w:tc>
        <w:tc>
          <w:tcPr>
            <w:tcW w:type="dxa" w:w="2256"/>
          </w:tcPr>
          <w:p>
            <w:pPr>
              <w:pStyle w:val="TableContents"/>
              <w:spacing w:before="0" w:after="0" w:line="240" w:lineRule="atLeast"/>
            </w:pPr>
            <w:r>
              <w:rPr>
                <w:rFonts w:ascii="Arial" w:hAnsi="Arial" w:cs="Arial" w:eastAsia="Arial"/>
                <w:sz w:val="16"/>
                <w:szCs w:val="16"/>
              </w:rPr>
              <w:t>Requires documentation and management of noise, vibration, and light impacts on biodiversity and sensitive ecosystems, including buffer zones and scheduling controls.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C-4 §92.6.2 (implied)</w:t>
            </w:r>
          </w:p>
        </w:tc>
        <w:tc>
          <w:tcPr>
            <w:tcW w:type="dxa" w:w="2256"/>
          </w:tcPr>
          <w:p>
            <w:pPr>
              <w:pStyle w:val="TableContents"/>
              <w:spacing w:before="0" w:after="0" w:line="240" w:lineRule="atLeast"/>
            </w:pPr>
            <w:r>
              <w:rPr>
                <w:rFonts w:ascii="Arial" w:hAnsi="Arial" w:cs="Arial" w:eastAsia="Arial"/>
                <w:sz w:val="16"/>
                <w:szCs w:val="16"/>
              </w:rPr>
              <w:t>Requires pre-clearance surveys for threatened or protected fauna, fauna rescue, translocation and exclusion fencing requirements, and a fauna chance discovery protocol.</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§53.4.1</w:t>
            </w:r>
          </w:p>
        </w:tc>
        <w:tc>
          <w:tcPr>
            <w:tcW w:type="dxa" w:w="2256"/>
          </w:tcPr>
          <w:p>
            <w:pPr>
              <w:pStyle w:val="TableContents"/>
              <w:spacing w:before="0" w:after="0" w:line="240" w:lineRule="atLeast"/>
            </w:pPr>
            <w:r>
              <w:rPr>
                <w:rFonts w:ascii="Arial" w:hAnsi="Arial" w:cs="Arial" w:eastAsia="Arial"/>
                <w:sz w:val="16"/>
                <w:szCs w:val="16"/>
              </w:rPr>
              <w:t>Requires marine biosecurity controls for vessels including hull inspection, biofouling management, and ballast water management to prevent transfer of aquatic invasive species.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ICMM ICMM Principle 7 - Conservation of Biodiversity</w:t>
            </w:r>
          </w:p>
        </w:tc>
        <w:tc>
          <w:tcPr>
            <w:tcW w:type="dxa" w:w="2256"/>
          </w:tcPr>
          <w:p>
            <w:pPr>
              <w:pStyle w:val="TableContents"/>
              <w:spacing w:before="0" w:after="0" w:line="240" w:lineRule="atLeast"/>
            </w:pPr>
            <w:r>
              <w:rPr>
                <w:rFonts w:ascii="Arial" w:hAnsi="Arial" w:cs="Arial" w:eastAsia="Arial"/>
                <w:sz w:val="16"/>
                <w:szCs w:val="16"/>
              </w:rPr>
              <w:t>Requires rigorous application of the mitigation hierarchy for biodiversity impacts - avoid, minimise, rehabilitate/restore, offset as last resort - with documented application for each significant impact.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PS6 IFC PS6 §7-8</w:t>
            </w:r>
          </w:p>
        </w:tc>
        <w:tc>
          <w:tcPr>
            <w:tcW w:type="dxa" w:w="2256"/>
          </w:tcPr>
          <w:p>
            <w:pPr>
              <w:pStyle w:val="TableContents"/>
              <w:spacing w:before="0" w:after="0" w:line="240" w:lineRule="atLeast"/>
            </w:pPr>
            <w:r>
              <w:rPr>
                <w:rFonts w:ascii="Arial" w:hAnsi="Arial" w:cs="Arial" w:eastAsia="Arial"/>
                <w:sz w:val="16"/>
                <w:szCs w:val="16"/>
              </w:rPr>
              <w:t>Requires consistent application of the mitigation hierarchy, pursuit of no net loss of natural habitat, and demonstration that critical habitat key attributes will not be significantly affected; also requires assessment of indirect biodiversity impacts including habitat fragmentation, noise, light, and vibration.</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TSM TSM - Biodiversity Conservation Management Protocol, Indicator BC2</w:t>
            </w:r>
          </w:p>
        </w:tc>
        <w:tc>
          <w:tcPr>
            <w:tcW w:type="dxa" w:w="2256"/>
          </w:tcPr>
          <w:p>
            <w:pPr>
              <w:pStyle w:val="TableContents"/>
              <w:spacing w:before="0" w:after="0" w:line="240" w:lineRule="atLeast"/>
            </w:pPr>
            <w:r>
              <w:rPr>
                <w:rFonts w:ascii="Arial" w:hAnsi="Arial" w:cs="Arial" w:eastAsia="Arial"/>
                <w:sz w:val="16"/>
                <w:szCs w:val="16"/>
              </w:rPr>
              <w:t>Requires implementation of a biodiversity conservation management plan that addresses invasive species as a component of the broader biodiversity management programme.</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