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Training, Competency and Awareness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Training, Competency and Awareness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the project ensures all personnel - RT project team, all contractor organisations, and visitors - have the knowledge, skills, and formal competency required to perform their work safely and in compliance with HSESC requirements. RT, as project owner, sets the minimum training standard and is responsible for verifying competency across the entire project workforce.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training, competency and awareness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competency framework it operationalises, and the lifecycle phases and personnel categories within scope.</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what this procedure establishes, the standards it operationalises, and the register it owns.</w:t>
      </w:r>
    </w:p>
    <w:p>
      <w:pPr>
        <w:pStyle w:val="NormalNumberedtext"/>
      </w:pPr>
      <w:r>
        <w:t>This procedure meets the following purpose requirements:</w:t>
      </w:r>
    </w:p>
    <w:p>
      <w:pPr>
        <w:pStyle w:val="NormalNumberedtext"/>
      </w:pPr>
      <w:r>
        <w:t>This procedure governs the following for the project:</w:t>
      </w:r>
    </w:p>
    <w:p>
      <w:pPr>
        <w:pStyle w:val="NumberedBulletL1"/>
      </w:pPr>
      <w:r>
        <w:t>This procedure operationalises Rio Tinto Group training and competency requirements into a documented, project-specific process for identifying training needs, developing programmes, assessing competency, and maintaining records.</w:t>
      </w:r>
    </w:p>
    <w:p>
      <w:pPr>
        <w:pStyle w:val="NumberedBulletL1"/>
      </w:pPr>
      <w:r>
        <w:t>This procedure owns the Training Matrix and Competency Register [INSERT: Project Document Number], the training programme structure and minimum content, induction programme requirements and phase transition triggers, the Short Service Employee (SSE) programme definition, verification of competency (VOC) process requirements, and training record retention requirements.</w:t>
      </w:r>
    </w:p>
    <w:p>
      <w:pPr>
        <w:pStyle w:val="NumberedBulletL1"/>
      </w:pPr>
      <w:r>
        <w:t>This procedure applies to all personnel on the project, including Rio Tinto staff, contractor organisations, subcontractors, and visitors accessing the project site.</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training and competency activities are governed by this document and the lifecycle phases within scope.</w:t>
      </w:r>
    </w:p>
    <w:p>
      <w:pPr>
        <w:pStyle w:val="NormalNumberedtext"/>
      </w:pPr>
      <w:r>
        <w:t>This procedure applies the following scope requirements:</w:t>
      </w:r>
    </w:p>
    <w:p>
      <w:pPr>
        <w:pStyle w:val="NormalNumberedtext"/>
      </w:pPr>
      <w:r>
        <w:t>This procedure governs training and competency activities across the following:</w:t>
      </w:r>
    </w:p>
    <w:p>
      <w:pPr>
        <w:pStyle w:val="NumberedBulletL1"/>
      </w:pPr>
      <w:r>
        <w:t>This procedure governs all training needs analysis, programme development, induction, competency assessment, VOC, SSE management, field supervisor development, and records management activities from project execution through to handover.</w:t>
      </w:r>
    </w:p>
    <w:p>
      <w:pPr>
        <w:pStyle w:val="NumberedBulletL1"/>
      </w:pPr>
      <w:r>
        <w:t>Licence and certification requirements are governed by [INSERT: Project Document Number] and are referenced in the Training Matrix [INSERT: Project Document Number] but are not repeated in this procedure.</w:t>
      </w:r>
    </w:p>
    <w:p>
      <w:pPr>
        <w:pStyle w:val="NumberedBulletL1"/>
      </w:pPr>
      <w:r>
        <w:t>Role-specific competency requirements are defined in [INSERT: Project Document Number] and reflected in the Training Matrix [INSERT: Project Document Number].</w:t>
      </w:r>
    </w:p>
    <w:p>
      <w:pPr>
        <w:pStyle w:val="NumberedBulletL1"/>
      </w:pPr>
      <w:r>
        <w:t>Training record storage is governed by [INSERT: Project Document Number] and retention periods are governed by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training and competency responsibilities for all project roles, covering the Rio Tinto project team and all contractor organisations.</w:t>
      </w:r>
    </w:p>
    <w:p>
      <w:pPr>
        <w:pStyle w:val="NormalNumberedtext"/>
      </w:pPr>
      <w:r>
        <w:t>Table 1: Training, Competency and Awareness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 xml:space="preserve">Approves the Training Matrix and Competency Register </w:t>
            </w:r>
            <w:r>
              <w:rPr>
                <w:rFonts w:ascii="Arial" w:hAnsi="Arial" w:cs="Arial" w:eastAsia="Arial"/>
                <w:b/>
                <w:bCs/>
                <w:color w:val="0059D1"/>
                <w:sz w:val="16"/>
                <w:szCs w:val="16"/>
              </w:rPr>
              <w:t>[INSERT: Project Document Number]</w:t>
            </w:r>
            <w:r>
              <w:rPr>
                <w:rFonts w:ascii="Arial" w:hAnsi="Arial" w:cs="Arial" w:eastAsia="Arial"/>
                <w:sz w:val="16"/>
                <w:szCs w:val="16"/>
              </w:rPr>
              <w:t xml:space="preserve"> and the training programme structure before mobilisation. Approves any in-house alternative VOC process where registered training organisations are unavailable.</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 xml:space="preserve">Develops and maintains the Training Matrix </w:t>
            </w:r>
            <w:r>
              <w:rPr>
                <w:rFonts w:ascii="Arial" w:hAnsi="Arial" w:cs="Arial" w:eastAsia="Arial"/>
                <w:b/>
                <w:bCs/>
                <w:color w:val="0059D1"/>
                <w:sz w:val="16"/>
                <w:szCs w:val="16"/>
              </w:rPr>
              <w:t>[INSERT: Project Document Number]</w:t>
            </w:r>
            <w:r>
              <w:rPr>
                <w:rFonts w:ascii="Arial" w:hAnsi="Arial" w:cs="Arial" w:eastAsia="Arial"/>
                <w:sz w:val="16"/>
                <w:szCs w:val="16"/>
              </w:rPr>
              <w:t>. Oversees the training programme, induction programme, SSE programme, and VOC process. Approves induction content for each project phase. Reports training compliance status to the Project Director.</w:t>
            </w:r>
          </w:p>
        </w:tc>
      </w:tr>
      <w:tr>
        <w:tc>
          <w:tcPr>
            <w:tcW w:type="dxa" w:w="4888"/>
          </w:tcPr>
          <w:p>
            <w:pPr>
              <w:pStyle w:val="TableContents"/>
              <w:spacing w:before="0" w:after="0" w:line="240" w:lineRule="atLeast"/>
            </w:pPr>
            <w:r>
              <w:rPr>
                <w:rFonts w:ascii="Arial" w:hAnsi="Arial" w:cs="Arial" w:eastAsia="Arial"/>
                <w:sz w:val="16"/>
                <w:szCs w:val="16"/>
              </w:rPr>
              <w:t>Training Coordinator</w:t>
            </w:r>
          </w:p>
        </w:tc>
        <w:tc>
          <w:tcPr>
            <w:tcW w:type="dxa" w:w="4889"/>
          </w:tcPr>
          <w:p>
            <w:pPr>
              <w:pStyle w:val="TableContents"/>
              <w:spacing w:before="0" w:after="0" w:line="240" w:lineRule="atLeast"/>
            </w:pPr>
            <w:r>
              <w:rPr>
                <w:rFonts w:ascii="Arial" w:hAnsi="Arial" w:cs="Arial" w:eastAsia="Arial"/>
                <w:sz w:val="16"/>
                <w:szCs w:val="16"/>
              </w:rPr>
              <w:t xml:space="preserve">Administers training records, schedules training delivery, maintains the Training Matrix </w:t>
            </w:r>
            <w:r>
              <w:rPr>
                <w:rFonts w:ascii="Arial" w:hAnsi="Arial" w:cs="Arial" w:eastAsia="Arial"/>
                <w:b/>
                <w:bCs/>
                <w:color w:val="0059D1"/>
                <w:sz w:val="16"/>
                <w:szCs w:val="16"/>
              </w:rPr>
              <w:t>[INSERT: Project Document Number]</w:t>
            </w:r>
            <w:r>
              <w:rPr>
                <w:rFonts w:ascii="Arial" w:hAnsi="Arial" w:cs="Arial" w:eastAsia="Arial"/>
                <w:sz w:val="16"/>
                <w:szCs w:val="16"/>
              </w:rPr>
              <w:t>, and tracks re-verification due dates for all personnel.</w:t>
            </w:r>
          </w:p>
        </w:tc>
      </w:tr>
      <w:tr>
        <w:tc>
          <w:tcPr>
            <w:tcW w:type="dxa" w:w="4888"/>
          </w:tcPr>
          <w:p>
            <w:pPr>
              <w:pStyle w:val="TableContents"/>
              <w:spacing w:before="0" w:after="0" w:line="240" w:lineRule="atLeast"/>
            </w:pPr>
            <w:r>
              <w:rPr>
                <w:rFonts w:ascii="Arial" w:hAnsi="Arial" w:cs="Arial" w:eastAsia="Arial"/>
                <w:sz w:val="16"/>
                <w:szCs w:val="16"/>
              </w:rPr>
              <w:t>Work Supervisors</w:t>
            </w:r>
          </w:p>
        </w:tc>
        <w:tc>
          <w:tcPr>
            <w:tcW w:type="dxa" w:w="4889"/>
          </w:tcPr>
          <w:p>
            <w:pPr>
              <w:pStyle w:val="TableContents"/>
              <w:spacing w:before="0" w:after="0" w:line="240" w:lineRule="atLeast"/>
            </w:pPr>
            <w:r>
              <w:rPr>
                <w:rFonts w:ascii="Arial" w:hAnsi="Arial" w:cs="Arial" w:eastAsia="Arial"/>
                <w:sz w:val="16"/>
                <w:szCs w:val="16"/>
              </w:rPr>
              <w:t>Confirm all personnel under their supervision have completed required induction and role-specific training before commencing work. Implement the SSE programme for personnel in their team. Complete field supervisor training as required by this procedure.</w:t>
            </w:r>
          </w:p>
        </w:tc>
      </w:tr>
      <w:tr>
        <w:tc>
          <w:tcPr>
            <w:tcW w:type="dxa" w:w="4888"/>
          </w:tcPr>
          <w:p>
            <w:pPr>
              <w:pStyle w:val="TableContents"/>
              <w:spacing w:before="0" w:after="0" w:line="240" w:lineRule="atLeast"/>
            </w:pPr>
            <w:r>
              <w:rPr>
                <w:rFonts w:ascii="Arial" w:hAnsi="Arial" w:cs="Arial" w:eastAsia="Arial"/>
                <w:sz w:val="16"/>
                <w:szCs w:val="16"/>
              </w:rPr>
              <w:t>Contractors and Subcontractors</w:t>
            </w:r>
          </w:p>
        </w:tc>
        <w:tc>
          <w:tcPr>
            <w:tcW w:type="dxa" w:w="4889"/>
          </w:tcPr>
          <w:p>
            <w:pPr>
              <w:pStyle w:val="TableContents"/>
              <w:spacing w:before="0" w:after="0" w:line="240" w:lineRule="atLeast"/>
            </w:pPr>
            <w:r>
              <w:rPr>
                <w:rFonts w:ascii="Arial" w:hAnsi="Arial" w:cs="Arial" w:eastAsia="Arial"/>
                <w:sz w:val="16"/>
                <w:szCs w:val="16"/>
              </w:rPr>
              <w:t xml:space="preserve">Ensure all personnel they deploy to the project meet the training and competency requirements defined in the Training Matrix </w:t>
            </w:r>
            <w:r>
              <w:rPr>
                <w:rFonts w:ascii="Arial" w:hAnsi="Arial" w:cs="Arial" w:eastAsia="Arial"/>
                <w:b/>
                <w:bCs/>
                <w:color w:val="0059D1"/>
                <w:sz w:val="16"/>
                <w:szCs w:val="16"/>
              </w:rPr>
              <w:t>[INSERT: Project Document Number]</w:t>
            </w:r>
            <w:r>
              <w:rPr>
                <w:rFonts w:ascii="Arial" w:hAnsi="Arial" w:cs="Arial" w:eastAsia="Arial"/>
                <w:sz w:val="16"/>
                <w:szCs w:val="16"/>
              </w:rPr>
              <w:t xml:space="preserve"> before commencing work. Provide training records to the Training Coordinator on request.</w:t>
            </w:r>
          </w:p>
        </w:tc>
      </w:tr>
      <w:tr>
        <w:tc>
          <w:tcPr>
            <w:tcW w:type="dxa" w:w="4888"/>
          </w:tcPr>
          <w:p>
            <w:pPr>
              <w:pStyle w:val="TableContents"/>
              <w:spacing w:before="0" w:after="0" w:line="240" w:lineRule="atLeast"/>
            </w:pPr>
            <w:r>
              <w:rPr>
                <w:rFonts w:ascii="Arial" w:hAnsi="Arial" w:cs="Arial" w:eastAsia="Arial"/>
                <w:sz w:val="16"/>
                <w:szCs w:val="16"/>
              </w:rPr>
              <w:t>{'insert': True, 'field': 'additional_role_1'}</w:t>
            </w:r>
          </w:p>
        </w:tc>
        <w:tc>
          <w:tcPr>
            <w:tcW w:type="dxa" w:w="4889"/>
          </w:tcPr>
          <w:p>
            <w:pPr>
              <w:pStyle w:val="TableContents"/>
              <w:spacing w:before="0" w:after="0" w:line="240" w:lineRule="atLeast"/>
            </w:pPr>
            <w:r>
              <w:rPr>
                <w:rFonts w:ascii="Arial" w:hAnsi="Arial" w:cs="Arial" w:eastAsia="Arial"/>
                <w:sz w:val="16"/>
                <w:szCs w:val="16"/>
              </w:rPr>
              <w:t>{'insert': True, 'field': 'additional_role_1_responsibility'}</w:t>
            </w:r>
          </w:p>
        </w:tc>
      </w:tr>
    </w:tbl>
    <w:p>
      <w:pPr>
        <w:pStyle w:val="NormalNumberedtext"/>
      </w:pPr>
    </w:p>
    <w:p>
      <w:pPr>
        <w:pStyle w:val="Heading1Numbered"/>
        <w:numPr>
          <w:ilvl w:val="0"/>
          <w:numId w:val="1"/>
        </w:numPr>
      </w:pPr>
      <w:r>
        <w:rPr>
          <w:rFonts w:ascii="Arial" w:hAnsi="Arial" w:cs="Arial" w:eastAsia="Arial"/>
        </w:rPr>
        <w:t>Training Needs Analysis and Programme</w:t>
      </w:r>
    </w:p>
    <w:p>
      <w:pPr>
        <w:pStyle w:val="NormalNumberedtext"/>
      </w:pPr>
      <w:r>
        <w:t>This section defines the process for conducting a training needs analysis for all roles and developing, structuring, and delivering the project training programme.</w:t>
      </w:r>
    </w:p>
    <w:p>
      <w:pPr>
        <w:pStyle w:val="NormalNumberedtext"/>
      </w:pPr>
    </w:p>
    <w:p>
      <w:pPr>
        <w:pStyle w:val="Heading2Numbered"/>
        <w:numPr>
          <w:ilvl w:val="1"/>
          <w:numId w:val="1"/>
        </w:numPr>
      </w:pPr>
      <w:r>
        <w:rPr>
          <w:rFonts w:ascii="Arial" w:hAnsi="Arial" w:cs="Arial" w:eastAsia="Arial"/>
        </w:rPr>
        <w:t>Training Needs Analysis</w:t>
      </w:r>
    </w:p>
    <w:p>
      <w:pPr>
        <w:pStyle w:val="NormalNumberedtext"/>
      </w:pPr>
      <w:r>
        <w:t>This section defines when a training needs analysis is required, who conducts it, and what it must address.</w:t>
      </w:r>
    </w:p>
    <w:p>
      <w:pPr>
        <w:pStyle w:val="NormalNumberedtext"/>
      </w:pPr>
      <w:r>
        <w:t>The HSESC Manager ensures a training needs analysis is completed for all roles before any personnel in those roles commence work on the project. The training needs analysis identifies required training, required competencies, applicable licences and certifications, and the specific measures and actions personnel must implement under the project management system, including the methods required to implement those actions competently.</w:t>
      </w:r>
    </w:p>
    <w:p>
      <w:pPr>
        <w:pStyle w:val="NormalNumberedtext"/>
      </w:pPr>
      <w:r>
        <w:t>The training needs analysis accounts for the physical and psychological health and safety responsibilities of each role, occupational exposures relevant to the role, and the health surveillance and risk-based monitoring requirements that apply. The HSESC Manager ensures the analysis is reviewed whenever the risk profile of a role changes, a new hazard is identified, or a project phase transition occurs.</w:t>
      </w:r>
    </w:p>
    <w:p>
      <w:pPr>
        <w:pStyle w:val="NormalNumberedtext"/>
      </w:pPr>
      <w:r>
        <w:t>The training needs analysis addresses the following inputs for each role:</w:t>
      </w:r>
    </w:p>
    <w:p>
      <w:pPr>
        <w:pStyle w:val="NumberedBulletL1"/>
      </w:pPr>
      <w:r>
        <w:t>Hazards and risks associated with the role as identified in the project risk register.</w:t>
      </w:r>
    </w:p>
    <w:p>
      <w:pPr>
        <w:pStyle w:val="NumberedBulletL1"/>
      </w:pPr>
      <w:r>
        <w:t>Licence and certification requirements referenced in [INSERT: Project Document Number].</w:t>
      </w:r>
    </w:p>
    <w:p>
      <w:pPr>
        <w:pStyle w:val="NumberedBulletL1"/>
      </w:pPr>
      <w:r>
        <w:t>Role-specific competency requirements defined in [INSERT: Project Document Number].</w:t>
      </w:r>
    </w:p>
    <w:p>
      <w:pPr>
        <w:pStyle w:val="NumberedBulletL1"/>
      </w:pPr>
      <w:r>
        <w:t>Emergency arrangements applicable to the role.</w:t>
      </w:r>
    </w:p>
    <w:p>
      <w:pPr>
        <w:pStyle w:val="NumberedBulletL1"/>
      </w:pPr>
      <w:r>
        <w:t>Psychological safety, psychosocial hazard awareness, and respectful workplace conduct obligations.</w:t>
      </w:r>
    </w:p>
    <w:p>
      <w:pPr>
        <w:pStyle w:val="NumberedBulletL1"/>
      </w:pPr>
      <w:r>
        <w:t>Community, cultural, and heritage commitments relevant to the role.</w:t>
      </w:r>
    </w:p>
    <w:p>
      <w:pPr>
        <w:pStyle w:val="NumberedBulletL1"/>
      </w:pPr>
      <w:r>
        <w:rPr>
          <w:color w:val="C55A11"/>
        </w:rPr>
        <w:t>Health surveillance and occupational exposure monitoring requirements relevant to the role's task profile.</w:t>
      </w:r>
    </w:p>
    <w:p>
      <w:pPr>
        <w:pStyle w:val="NormalNumberedtext"/>
      </w:pPr>
    </w:p>
    <w:p>
      <w:pPr>
        <w:pStyle w:val="Heading2Numbered"/>
        <w:numPr>
          <w:ilvl w:val="1"/>
          <w:numId w:val="1"/>
        </w:numPr>
      </w:pPr>
      <w:r>
        <w:rPr>
          <w:rFonts w:ascii="Arial" w:hAnsi="Arial" w:cs="Arial" w:eastAsia="Arial"/>
        </w:rPr>
        <w:t>Training Programme Development</w:t>
      </w:r>
    </w:p>
    <w:p>
      <w:pPr>
        <w:pStyle w:val="NormalNumberedtext"/>
      </w:pPr>
      <w:r>
        <w:t>This section defines the timeline, structure, and minimum content requirements for the project training programme.</w:t>
      </w:r>
    </w:p>
    <w:p>
      <w:pPr>
        <w:pStyle w:val="NormalNumberedtext"/>
      </w:pPr>
      <w:r>
        <w:t>The HSESC Manager develops and makes available a training programme within 30 days of the Effective Date of the project. The programme is based on the completed training needs analysis and addresses regional challenges including the availability of third-party training providers in the project area.</w:t>
      </w:r>
    </w:p>
    <w:p>
      <w:pPr>
        <w:pStyle w:val="NormalNumberedtext"/>
      </w:pPr>
      <w:r>
        <w:t>The training programme covers all workers, contractors, and visitors on relevant aspects of their daily work, including emergency arrangements. Briefings are provided to visitors and third parties accessing project premises in accordance with the visitor orientation requirements in Section 5.3.</w:t>
      </w:r>
    </w:p>
    <w:p>
      <w:pPr>
        <w:pStyle w:val="NormalNumberedtext"/>
      </w:pPr>
      <w:r>
        <w:t>The training programme defines the following for each training requirement:</w:t>
      </w:r>
    </w:p>
    <w:p>
      <w:pPr>
        <w:pStyle w:val="NumberedBulletL1"/>
      </w:pPr>
      <w:r>
        <w:t>Target role or personnel category.</w:t>
      </w:r>
    </w:p>
    <w:p>
      <w:pPr>
        <w:pStyle w:val="NumberedBulletL1"/>
      </w:pPr>
      <w:r>
        <w:t>Training topic and minimum content.</w:t>
      </w:r>
    </w:p>
    <w:p>
      <w:pPr>
        <w:pStyle w:val="NumberedBulletL1"/>
      </w:pPr>
      <w:r>
        <w:t>Delivery method and language.</w:t>
      </w:r>
    </w:p>
    <w:p>
      <w:pPr>
        <w:pStyle w:val="NumberedBulletL1"/>
      </w:pPr>
      <w:r>
        <w:t>Frequency and re-verification interval.</w:t>
      </w:r>
    </w:p>
    <w:p>
      <w:pPr>
        <w:pStyle w:val="NumberedBulletL1"/>
      </w:pPr>
      <w:r>
        <w:t>Assessment method and competency criteria.</w:t>
      </w:r>
    </w:p>
    <w:p>
      <w:pPr>
        <w:pStyle w:val="NumberedBulletL1"/>
      </w:pPr>
      <w:r>
        <w:t>Record type and storage location per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CRITICAL - Insert the project Training Matrix as Appendix A to this procedure, or reference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if maintained as a standalone register. The matrix must list every role on the project and all required training and competency for that role. All other procedures reference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for competency requirements.</w:t>
            </w:r>
          </w:p>
        </w:tc>
      </w:tr>
    </w:tbl>
    <w:p>
      <w:pPr>
        <w:pStyle w:val="NormalNumberedtext"/>
      </w:pPr>
    </w:p>
    <w:p>
      <w:pPr>
        <w:pStyle w:val="NormalNumberedtext"/>
      </w:pPr>
      <w:r>
        <w:t>The Training Matrix and Competency Register [INSERT: Project Document Number] is the controlled record of all training requirements, completed training, assessment outcomes, authorisation levels, and re-verification due dates for all personnel on the project.</w:t>
      </w:r>
    </w:p>
    <w:p>
      <w:pPr>
        <w:pStyle w:val="NormalNumberedtext"/>
      </w:pPr>
      <w:r>
        <w:rPr>
          <w:b/>
          <w:bCs/>
          <w:color w:val="0059D1"/>
        </w:rPr>
        <w:t>[INSERT: training_matrix_location] — Confirm whether the Training Matrix is embedded as Appendix A to this procedure or maintained as a standalone register at RTPR-HSE-REG-0003, and insert the document management system location.</w:t>
      </w:r>
    </w:p>
    <w:p>
      <w:pPr>
        <w:pStyle w:val="NormalNumberedtext"/>
      </w:pPr>
    </w:p>
    <w:p>
      <w:pPr>
        <w:pStyle w:val="Heading2Numbered"/>
        <w:numPr>
          <w:ilvl w:val="1"/>
          <w:numId w:val="1"/>
        </w:numPr>
      </w:pPr>
      <w:r>
        <w:rPr>
          <w:rFonts w:ascii="Arial" w:hAnsi="Arial" w:cs="Arial" w:eastAsia="Arial"/>
        </w:rPr>
        <w:t>Language, Literacy and Accessibility</w:t>
      </w:r>
    </w:p>
    <w:p>
      <w:pPr>
        <w:pStyle w:val="NormalNumberedtext"/>
      </w:pPr>
      <w:r>
        <w:t>This section defines the requirements for ensuring training materials are accessible to all personnel regardless of language or literacy level.</w:t>
      </w:r>
    </w:p>
    <w:p>
      <w:pPr>
        <w:pStyle w:val="NormalNumberedtext"/>
      </w:pPr>
      <w:r>
        <w:t>The HSESC Manager ensures training materials match the language and literacy levels of the workforce. Where English is not the first language of a personnel group, the HSESC Manager ensures translated materials, qualified interpreters, or localised training programmes are provided before those personnel commence work.</w:t>
      </w:r>
    </w:p>
    <w:p>
      <w:pPr>
        <w:pStyle w:val="NormalNumberedtext"/>
      </w:pPr>
      <w:r>
        <w:t>The SSE programme includes tailored delivery methods addressing literacy and language challenges for SSE personnel. Training effectiveness is verified through observation and assessment rather than attendance alone, to confirm personnel can demonstrate understanding and application of safe work practices.</w:t>
      </w:r>
    </w:p>
    <w:p>
      <w:pPr>
        <w:pStyle w:val="NormalNumberedtext"/>
      </w:pPr>
      <w:r>
        <w:t>The HSESC Manager considers the following accessibility measures when developing training materials:</w:t>
      </w:r>
    </w:p>
    <w:p>
      <w:pPr>
        <w:pStyle w:val="NumberedBulletL1"/>
      </w:pPr>
      <w:r>
        <w:rPr>
          <w:color w:val="C55A11"/>
        </w:rPr>
        <w:t>Use of pictograms, diagrams, and visual-based content to supplement written materials.</w:t>
      </w:r>
    </w:p>
    <w:p>
      <w:pPr>
        <w:pStyle w:val="NumberedBulletL1"/>
      </w:pPr>
      <w:r>
        <w:rPr>
          <w:color w:val="C55A11"/>
        </w:rPr>
        <w:t>Delivery of toolbox talks and pre-start briefings in the primary language of the work group.</w:t>
      </w:r>
    </w:p>
    <w:p>
      <w:pPr>
        <w:pStyle w:val="NumberedBulletL1"/>
      </w:pPr>
      <w:r>
        <w:t>Engagement of qualified interpreters for formal training sessions where required.</w:t>
      </w:r>
    </w:p>
    <w:p>
      <w:pPr>
        <w:pStyle w:val="NumberedBulletL1"/>
      </w:pPr>
      <w:r>
        <w:rPr>
          <w:color w:val="C55A11"/>
        </w:rPr>
        <w:t>Assessment of comprehension through practical demonstration rather than written testing only.</w:t>
      </w:r>
    </w:p>
    <w:p>
      <w:pPr>
        <w:pStyle w:val="NormalNumberedtext"/>
      </w:pPr>
      <w:r>
        <w:rPr>
          <w:b/>
          <w:bCs/>
          <w:color w:val="0059D1"/>
        </w:rPr>
        <w:t>[INSERT: additional_language_measure]</w:t>
      </w:r>
    </w:p>
    <w:p>
      <w:pPr>
        <w:pStyle w:val="NormalNumberedtext"/>
      </w:pPr>
    </w:p>
    <w:p>
      <w:pPr>
        <w:pStyle w:val="Heading1Numbered"/>
        <w:numPr>
          <w:ilvl w:val="0"/>
          <w:numId w:val="1"/>
        </w:numPr>
      </w:pPr>
      <w:r>
        <w:rPr>
          <w:rFonts w:ascii="Arial" w:hAnsi="Arial" w:cs="Arial" w:eastAsia="Arial"/>
        </w:rPr>
        <w:t>Competency Assurance</w:t>
      </w:r>
    </w:p>
    <w:p>
      <w:pPr>
        <w:pStyle w:val="NormalNumberedtext"/>
      </w:pPr>
      <w:r>
        <w:t>This section defines the process for competency development, initial assessment, re-verification, ongoing assurance, and authorisation of personnel to perform high-risk work tasks.</w:t>
      </w:r>
    </w:p>
    <w:p>
      <w:pPr>
        <w:pStyle w:val="NormalNumberedtext"/>
      </w:pPr>
    </w:p>
    <w:p>
      <w:pPr>
        <w:pStyle w:val="Heading2Numbered"/>
        <w:numPr>
          <w:ilvl w:val="1"/>
          <w:numId w:val="1"/>
        </w:numPr>
      </w:pPr>
      <w:r>
        <w:rPr>
          <w:rFonts w:ascii="Arial" w:hAnsi="Arial" w:cs="Arial" w:eastAsia="Arial"/>
        </w:rPr>
        <w:t>Competency Assessment Process</w:t>
      </w:r>
    </w:p>
    <w:p>
      <w:pPr>
        <w:pStyle w:val="NormalNumberedtext"/>
      </w:pPr>
      <w:r>
        <w:t>This section defines the stages of the competency assurance process and the documentation required at each stage.</w:t>
      </w:r>
    </w:p>
    <w:p>
      <w:pPr>
        <w:pStyle w:val="NormalNumberedtext"/>
      </w:pPr>
      <w:r>
        <w:t>The HSESC Manager defines and maintains a competency assurance process covering competency development, initial assessment, re-verification, and ongoing assurance for all roles. Competency assessment verifies training outcomes and the ability of personnel to demonstrate understanding and application of safe work practices, not attendance at training alone.</w:t>
      </w:r>
    </w:p>
    <w:p>
      <w:pPr>
        <w:pStyle w:val="NormalNumberedtext"/>
      </w:pPr>
      <w:r>
        <w:t>The competency assurance process includes the following stages:</w:t>
      </w:r>
    </w:p>
    <w:p>
      <w:pPr>
        <w:pStyle w:val="NumberedBulletL1"/>
      </w:pPr>
      <w:r>
        <w:t>Competency development: structured training delivered against the requirements of the Training Matrix [INSERT: Project Document Number].</w:t>
      </w:r>
    </w:p>
    <w:p>
      <w:pPr>
        <w:pStyle w:val="NumberedBulletL1"/>
      </w:pPr>
      <w:r>
        <w:t>Initial assessment: formal assessment of the personnel member's ability to perform the task or fulfil the role requirement to the required standard.</w:t>
      </w:r>
    </w:p>
    <w:p>
      <w:pPr>
        <w:pStyle w:val="NumberedBulletL1"/>
      </w:pPr>
      <w:r>
        <w:t>Authorisation: formal documentation of competency in [INSERT: Project Document Number] and linkage to task or role authorisation before the personnel member performs the task.</w:t>
      </w:r>
    </w:p>
    <w:p>
      <w:pPr>
        <w:pStyle w:val="NumberedBulletL1"/>
      </w:pPr>
      <w:r>
        <w:rPr>
          <w:color w:val="C55A11"/>
        </w:rPr>
        <w:t>Re-verification: scheduled re-assessment at intervals defined in [INSERT: Project Document Number], or following an incident, near miss, or significant change to the task or work environment.</w:t>
      </w:r>
    </w:p>
    <w:p>
      <w:pPr>
        <w:pStyle w:val="NumberedBulletL1"/>
      </w:pPr>
      <w:r>
        <w:t>Ongoing assurance: field-based observation and verification that authorised personnel continue to perform tasks to the required standard.</w:t>
      </w:r>
    </w:p>
    <w:p>
      <w:pPr>
        <w:pStyle w:val="NormalNumberedtext"/>
      </w:pPr>
    </w:p>
    <w:p>
      <w:pPr>
        <w:pStyle w:val="Heading2Numbered"/>
        <w:numPr>
          <w:ilvl w:val="1"/>
          <w:numId w:val="1"/>
        </w:numPr>
      </w:pPr>
      <w:r>
        <w:rPr>
          <w:rFonts w:ascii="Arial" w:hAnsi="Arial" w:cs="Arial" w:eastAsia="Arial"/>
        </w:rPr>
        <w:t>Verification of Competency</w:t>
      </w:r>
    </w:p>
    <w:p>
      <w:pPr>
        <w:pStyle w:val="NormalNumberedtext"/>
      </w:pPr>
      <w:r>
        <w:t>This section defines when VOC is required, who may conduct it, and the approved alternative process where registered training organisations are unavailable.</w:t>
      </w:r>
    </w:p>
    <w:p>
      <w:pPr>
        <w:pStyle w:val="NormalNumberedtext"/>
      </w:pPr>
      <w:r>
        <w:t>The HSESC Manager identifies all high-risk work tasks on the project that require formal VOC. These tasks are listed in the Training Matrix [INSERT: Project Document Number]. No personnel may perform a VOC-required task without documented competency linked to their authorisation record in [INSERT: Project Document Number].</w:t>
      </w:r>
    </w:p>
    <w:p>
      <w:pPr>
        <w:pStyle w:val="NormalNumberedtext"/>
      </w:pPr>
      <w:r>
        <w:t>VOC is conducted by an independent registered training organisation (RTO) where an RTO is available in the project region. Where an RTO is not available, the Project Director approves an alternative in-house competency assessment process before it is applied. The approved alternative process is documented in this section.</w:t>
      </w:r>
    </w:p>
    <w:p>
      <w:pPr>
        <w:pStyle w:val="NormalNumberedtext"/>
      </w:pPr>
      <w:r>
        <w:rPr>
          <w:b/>
          <w:bCs/>
          <w:color w:val="0059D1"/>
        </w:rPr>
        <w:t>[INSERT: voc_provider] — Insert the name of the approved RTO for this project, or confirm that an in-house alternative process has been approved and document the approved process and Project Director approval reference here.</w:t>
      </w:r>
    </w:p>
    <w:p>
      <w:pPr>
        <w:pStyle w:val="NormalNumberedtext"/>
      </w:pPr>
      <w:r>
        <w:t>The VOC-required task list for this project includes at minimum the following categories:</w:t>
      </w:r>
    </w:p>
    <w:p>
      <w:pPr>
        <w:pStyle w:val="NumberedBulletL1"/>
      </w:pPr>
      <w:r>
        <w:rPr>
          <w:color w:val="C55A11"/>
        </w:rPr>
        <w:t>Operation of plant and mobile equipment.</w:t>
      </w:r>
    </w:p>
    <w:p>
      <w:pPr>
        <w:pStyle w:val="NumberedBulletL1"/>
      </w:pPr>
      <w:r>
        <w:rPr>
          <w:color w:val="C55A11"/>
        </w:rPr>
        <w:t>Work at height, including scaffolding erection and inspection.</w:t>
      </w:r>
    </w:p>
    <w:p>
      <w:pPr>
        <w:pStyle w:val="NumberedBulletL1"/>
      </w:pPr>
      <w:r>
        <w:rPr>
          <w:color w:val="C55A11"/>
        </w:rPr>
        <w:t>Electrical work and isolation.</w:t>
      </w:r>
    </w:p>
    <w:p>
      <w:pPr>
        <w:pStyle w:val="NumberedBulletL1"/>
      </w:pPr>
      <w:r>
        <w:rPr>
          <w:color w:val="C55A11"/>
        </w:rPr>
        <w:t>Confined space entry and standby.</w:t>
      </w:r>
    </w:p>
    <w:p>
      <w:pPr>
        <w:pStyle w:val="NumberedBulletL1"/>
      </w:pPr>
      <w:r>
        <w:rPr>
          <w:color w:val="C55A11"/>
        </w:rPr>
        <w:t>Explosive and blasting operations.</w:t>
      </w:r>
    </w:p>
    <w:p>
      <w:pPr>
        <w:pStyle w:val="NumberedBulletL1"/>
      </w:pPr>
      <w:r>
        <w:rPr>
          <w:color w:val="C55A11"/>
        </w:rPr>
        <w:t>Crane and rigging operations.</w:t>
      </w:r>
    </w:p>
    <w:p>
      <w:pPr>
        <w:pStyle w:val="NormalNumberedtext"/>
      </w:pPr>
      <w:r>
        <w:rPr>
          <w:b/>
          <w:bCs/>
          <w:color w:val="0059D1"/>
        </w:rPr>
        <w:t>[INSERT: additional_voc_tasks]</w:t>
      </w:r>
    </w:p>
    <w:p>
      <w:pPr>
        <w:pStyle w:val="NormalNumberedtext"/>
      </w:pPr>
      <w:r>
        <w:t>Table 2: VOC-Required Tasks and Assessment Method</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Task</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VOC Requirement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Approved Assessment Provider</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Re-verification Interval</w:t>
            </w:r>
          </w:p>
        </w:tc>
      </w:tr>
      <w:tr>
        <w:tc>
          <w:tcPr>
            <w:tcW w:type="dxa" w:w="2256"/>
          </w:tcPr>
          <w:p>
            <w:pPr>
              <w:pStyle w:val="TableContents"/>
              <w:spacing w:before="0" w:after="0" w:line="240" w:lineRule="atLeast"/>
            </w:pPr>
            <w:r>
              <w:rPr>
                <w:rFonts w:ascii="Arial" w:hAnsi="Arial" w:cs="Arial" w:eastAsia="Arial"/>
                <w:sz w:val="16"/>
                <w:szCs w:val="16"/>
              </w:rPr>
              <w:t>{'insert': True, 'field': 'voc_task_1'}</w:t>
            </w:r>
          </w:p>
        </w:tc>
        <w:tc>
          <w:tcPr>
            <w:tcW w:type="dxa" w:w="2256"/>
          </w:tcPr>
          <w:p>
            <w:pPr>
              <w:pStyle w:val="TableContents"/>
              <w:spacing w:before="0" w:after="0" w:line="240" w:lineRule="atLeast"/>
            </w:pPr>
            <w:r>
              <w:rPr>
                <w:rFonts w:ascii="Arial" w:hAnsi="Arial" w:cs="Arial" w:eastAsia="Arial"/>
                <w:sz w:val="16"/>
                <w:szCs w:val="16"/>
              </w:rPr>
              <w:t>{'insert': True, 'field': 'voc_requirement_1'}</w:t>
            </w:r>
          </w:p>
        </w:tc>
        <w:tc>
          <w:tcPr>
            <w:tcW w:type="dxa" w:w="2256"/>
          </w:tcPr>
          <w:p>
            <w:pPr>
              <w:pStyle w:val="TableContents"/>
              <w:spacing w:before="0" w:after="0" w:line="240" w:lineRule="atLeast"/>
            </w:pPr>
            <w:r>
              <w:rPr>
                <w:rFonts w:ascii="Arial" w:hAnsi="Arial" w:cs="Arial" w:eastAsia="Arial"/>
                <w:sz w:val="16"/>
                <w:szCs w:val="16"/>
              </w:rPr>
              <w:t>{'insert': True, 'field': 'voc_provider_1'}</w:t>
            </w:r>
          </w:p>
        </w:tc>
        <w:tc>
          <w:tcPr>
            <w:tcW w:type="dxa" w:w="2258"/>
          </w:tcPr>
          <w:p>
            <w:pPr>
              <w:pStyle w:val="TableContents"/>
              <w:spacing w:before="0" w:after="0" w:line="240" w:lineRule="atLeast"/>
            </w:pPr>
            <w:r>
              <w:rPr>
                <w:rFonts w:ascii="Arial" w:hAnsi="Arial" w:cs="Arial" w:eastAsia="Arial"/>
                <w:sz w:val="16"/>
                <w:szCs w:val="16"/>
              </w:rPr>
              <w:t>{'insert': True, 'field': 'voc_interval_1'}</w:t>
            </w:r>
          </w:p>
        </w:tc>
      </w:tr>
      <w:tr>
        <w:tc>
          <w:tcPr>
            <w:tcW w:type="dxa" w:w="2256"/>
          </w:tcPr>
          <w:p>
            <w:pPr>
              <w:pStyle w:val="TableContents"/>
              <w:spacing w:before="0" w:after="0" w:line="240" w:lineRule="atLeast"/>
            </w:pPr>
            <w:r>
              <w:rPr>
                <w:rFonts w:ascii="Arial" w:hAnsi="Arial" w:cs="Arial" w:eastAsia="Arial"/>
                <w:sz w:val="16"/>
                <w:szCs w:val="16"/>
              </w:rPr>
              <w:t>{'insert': True, 'field': 'voc_task_2'}</w:t>
            </w:r>
          </w:p>
        </w:tc>
        <w:tc>
          <w:tcPr>
            <w:tcW w:type="dxa" w:w="2256"/>
          </w:tcPr>
          <w:p>
            <w:pPr>
              <w:pStyle w:val="TableContents"/>
              <w:spacing w:before="0" w:after="0" w:line="240" w:lineRule="atLeast"/>
            </w:pPr>
            <w:r>
              <w:rPr>
                <w:rFonts w:ascii="Arial" w:hAnsi="Arial" w:cs="Arial" w:eastAsia="Arial"/>
                <w:sz w:val="16"/>
                <w:szCs w:val="16"/>
              </w:rPr>
              <w:t>{'insert': True, 'field': 'voc_requirement_2'}</w:t>
            </w:r>
          </w:p>
        </w:tc>
        <w:tc>
          <w:tcPr>
            <w:tcW w:type="dxa" w:w="2256"/>
          </w:tcPr>
          <w:p>
            <w:pPr>
              <w:pStyle w:val="TableContents"/>
              <w:spacing w:before="0" w:after="0" w:line="240" w:lineRule="atLeast"/>
            </w:pPr>
            <w:r>
              <w:rPr>
                <w:rFonts w:ascii="Arial" w:hAnsi="Arial" w:cs="Arial" w:eastAsia="Arial"/>
                <w:sz w:val="16"/>
                <w:szCs w:val="16"/>
              </w:rPr>
              <w:t>{'insert': True, 'field': 'voc_provider_2'}</w:t>
            </w:r>
          </w:p>
        </w:tc>
        <w:tc>
          <w:tcPr>
            <w:tcW w:type="dxa" w:w="2258"/>
          </w:tcPr>
          <w:p>
            <w:pPr>
              <w:pStyle w:val="TableContents"/>
              <w:spacing w:before="0" w:after="0" w:line="240" w:lineRule="atLeast"/>
            </w:pPr>
            <w:r>
              <w:rPr>
                <w:rFonts w:ascii="Arial" w:hAnsi="Arial" w:cs="Arial" w:eastAsia="Arial"/>
                <w:sz w:val="16"/>
                <w:szCs w:val="16"/>
              </w:rPr>
              <w:t>{'insert': True, 'field': 'voc_interval_2'}</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Where local VOC providers are not available, define the in-house alternative competency assessment process approved for this project. The procedure requires this is formally approved by the Project Director. Document the approval reference, assessment methodology, and the names of qualified internal assessors in the table above.</w:t>
            </w:r>
          </w:p>
        </w:tc>
      </w:tr>
    </w:tbl>
    <w:p>
      <w:pPr>
        <w:pStyle w:val="NormalNumberedtext"/>
      </w:pPr>
    </w:p>
    <w:p>
      <w:pPr>
        <w:pStyle w:val="Heading1Numbered"/>
        <w:numPr>
          <w:ilvl w:val="0"/>
          <w:numId w:val="1"/>
        </w:numPr>
      </w:pPr>
      <w:r>
        <w:rPr>
          <w:rFonts w:ascii="Arial" w:hAnsi="Arial" w:cs="Arial" w:eastAsia="Arial"/>
        </w:rPr>
        <w:t>Induction and Orientation</w:t>
      </w:r>
    </w:p>
    <w:p>
      <w:pPr>
        <w:pStyle w:val="NormalNumberedtext"/>
      </w:pPr>
      <w:r>
        <w:t>This section defines the induction requirements for all personnel before commencing work, the content requirements for each project phase, and the visitor orientation process.</w:t>
      </w:r>
    </w:p>
    <w:p>
      <w:pPr>
        <w:pStyle w:val="NormalNumberedtext"/>
      </w:pPr>
    </w:p>
    <w:p>
      <w:pPr>
        <w:pStyle w:val="Heading2Numbered"/>
        <w:numPr>
          <w:ilvl w:val="1"/>
          <w:numId w:val="1"/>
        </w:numPr>
      </w:pPr>
      <w:r>
        <w:rPr>
          <w:rFonts w:ascii="Arial" w:hAnsi="Arial" w:cs="Arial" w:eastAsia="Arial"/>
        </w:rPr>
        <w:t>Site Induction Requirements</w:t>
      </w:r>
    </w:p>
    <w:p>
      <w:pPr>
        <w:pStyle w:val="NormalNumberedtext"/>
      </w:pPr>
      <w:r>
        <w:t>This section defines the mandatory site induction requirement, who it applies to, and the minimum content standard.</w:t>
      </w:r>
    </w:p>
    <w:p>
      <w:pPr>
        <w:pStyle w:val="NormalNumberedtext"/>
      </w:pPr>
      <w:r>
        <w:t>All personnel, including Rio Tinto staff, contractor and subcontractor personnel, and any other person accessing the project site, complete a site-specific induction before commencing work. No person performs any work activity on the project site without a recorded completed induction.</w:t>
      </w:r>
    </w:p>
    <w:p>
      <w:pPr>
        <w:pStyle w:val="NormalNumberedtext"/>
      </w:pPr>
      <w:r>
        <w:t>The site induction covers the following minimum content:</w:t>
      </w:r>
    </w:p>
    <w:p>
      <w:pPr>
        <w:pStyle w:val="NumberedBulletL1"/>
      </w:pPr>
      <w:r>
        <w:t>Project overview, site layout, and emergency arrangements including evacuation routes and muster points.</w:t>
      </w:r>
    </w:p>
    <w:p>
      <w:pPr>
        <w:pStyle w:val="NumberedBulletL1"/>
      </w:pPr>
      <w:r>
        <w:t>HSESC management system structure, key procedures, and the incident reporting process (refer [INSERT: Project Document Number]).</w:t>
      </w:r>
    </w:p>
    <w:p>
      <w:pPr>
        <w:pStyle w:val="NumberedBulletL1"/>
      </w:pPr>
      <w:r>
        <w:t>Hazard identification and reporting processes, including the Take 5, JHA, and SWMS requirements.</w:t>
      </w:r>
    </w:p>
    <w:p>
      <w:pPr>
        <w:pStyle w:val="NumberedBulletL1"/>
      </w:pPr>
      <w:r>
        <w:t>Community, cultural, and heritage context for the project area, including behavioural expectations and the project's commitments to local and Indigenous communities.</w:t>
      </w:r>
    </w:p>
    <w:p>
      <w:pPr>
        <w:pStyle w:val="NumberedBulletL1"/>
      </w:pPr>
      <w:r>
        <w:t>Psychological safety, respectful workplace conduct, and the project's approach to preventing harassment and discrimination.</w:t>
      </w:r>
    </w:p>
    <w:p>
      <w:pPr>
        <w:pStyle w:val="NumberedBulletL1"/>
      </w:pPr>
      <w:r>
        <w:rPr>
          <w:color w:val="C55A11"/>
        </w:rPr>
        <w:t>Housekeeping, waste management, and environmental protection obligations relevant to site access.</w:t>
      </w:r>
    </w:p>
    <w:p>
      <w:pPr>
        <w:pStyle w:val="NormalNumberedtext"/>
      </w:pPr>
      <w:r>
        <w:rPr>
          <w:b/>
          <w:bCs/>
          <w:color w:val="0059D1"/>
        </w:rPr>
        <w:t>[INSERT: additional_induction_content]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the project induction content for each phase. This procedure defines which phases require specific inductions. The project team must develop the actual induction content, reference the induction materials here, and confirm the induction attendance record process.</w:t>
            </w:r>
          </w:p>
        </w:tc>
      </w:tr>
    </w:tbl>
    <w:p>
      <w:pPr>
        <w:pStyle w:val="NormalNumberedtext"/>
      </w:pPr>
    </w:p>
    <w:p>
      <w:pPr>
        <w:pStyle w:val="NormalNumberedtext"/>
      </w:pPr>
      <w:r>
        <w:rPr>
          <w:b/>
          <w:bCs/>
          <w:color w:val="0059D1"/>
        </w:rPr>
        <w:t>[INSERT: induction_attendance_record_process] — Insert the induction attendance record process, including the system used to record attendance, the responsible role, and where records are stored per RTPR-HSE-PRO-0010.</w:t>
      </w:r>
    </w:p>
    <w:p>
      <w:pPr>
        <w:pStyle w:val="NormalNumberedtext"/>
      </w:pPr>
    </w:p>
    <w:p>
      <w:pPr>
        <w:pStyle w:val="Heading2Numbered"/>
        <w:numPr>
          <w:ilvl w:val="1"/>
          <w:numId w:val="1"/>
        </w:numPr>
      </w:pPr>
      <w:r>
        <w:rPr>
          <w:rFonts w:ascii="Arial" w:hAnsi="Arial" w:cs="Arial" w:eastAsia="Arial"/>
        </w:rPr>
        <w:t>Phase Transition Inductions</w:t>
      </w:r>
    </w:p>
    <w:p>
      <w:pPr>
        <w:pStyle w:val="NormalNumberedtext"/>
      </w:pPr>
      <w:r>
        <w:t>This section defines the specific induction required at each project phase transition and who is responsible for delivering it.</w:t>
      </w:r>
    </w:p>
    <w:p>
      <w:pPr>
        <w:pStyle w:val="NormalNumberedtext"/>
      </w:pPr>
      <w:r>
        <w:t>The HSESC Manager delivers a tailored phase transition induction to all affected personnel before the commencement of each new project phase. Phase transition inductions address the changes in hazards, risk profile, site conditions, and applicable procedures that apply in the new phase.</w:t>
      </w:r>
    </w:p>
    <w:p>
      <w:pPr>
        <w:pStyle w:val="NormalNumberedtext"/>
      </w:pPr>
      <w:r>
        <w:t>Table 3: Phase Transition Induction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Phase Transition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Trigger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Target Audience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Content Reference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805"/>
          </w:tcPr>
          <w:p>
            <w:pPr>
              <w:pStyle w:val="TableContents"/>
              <w:spacing w:before="0" w:after="0" w:line="240" w:lineRule="atLeast"/>
            </w:pPr>
            <w:r>
              <w:rPr>
                <w:rFonts w:ascii="Arial" w:hAnsi="Arial" w:cs="Arial" w:eastAsia="Arial"/>
                <w:sz w:val="16"/>
                <w:szCs w:val="16"/>
              </w:rPr>
              <w:t>Engineering to Construction</w:t>
            </w:r>
          </w:p>
        </w:tc>
        <w:tc>
          <w:tcPr>
            <w:tcW w:type="dxa" w:w="1805"/>
          </w:tcPr>
          <w:p>
            <w:pPr>
              <w:pStyle w:val="TableContents"/>
              <w:spacing w:before="0" w:after="0" w:line="240" w:lineRule="atLeast"/>
            </w:pPr>
            <w:r>
              <w:rPr>
                <w:rFonts w:ascii="Arial" w:hAnsi="Arial" w:cs="Arial" w:eastAsia="Arial"/>
                <w:sz w:val="16"/>
                <w:szCs w:val="16"/>
              </w:rPr>
              <w:t>First personnel mobilisation to construction site</w:t>
            </w:r>
          </w:p>
        </w:tc>
        <w:tc>
          <w:tcPr>
            <w:tcW w:type="dxa" w:w="1805"/>
          </w:tcPr>
          <w:p>
            <w:pPr>
              <w:pStyle w:val="TableContents"/>
              <w:spacing w:before="0" w:after="0" w:line="240" w:lineRule="atLeast"/>
            </w:pPr>
            <w:r>
              <w:rPr>
                <w:rFonts w:ascii="Arial" w:hAnsi="Arial" w:cs="Arial" w:eastAsia="Arial"/>
                <w:sz w:val="16"/>
                <w:szCs w:val="16"/>
              </w:rPr>
              <w:t>All construction personnel</w:t>
            </w:r>
          </w:p>
        </w:tc>
        <w:tc>
          <w:tcPr>
            <w:tcW w:type="dxa" w:w="1805"/>
          </w:tcPr>
          <w:p>
            <w:pPr>
              <w:pStyle w:val="TableContents"/>
              <w:spacing w:before="0" w:after="0" w:line="240" w:lineRule="atLeast"/>
            </w:pPr>
            <w:r>
              <w:rPr>
                <w:rFonts w:ascii="Arial" w:hAnsi="Arial" w:cs="Arial" w:eastAsia="Arial"/>
                <w:sz w:val="16"/>
                <w:szCs w:val="16"/>
              </w:rPr>
              <w:t>{'insert': True, 'field': 'eng_to_const_content_ref'}</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Construction to Commissioning</w:t>
            </w:r>
          </w:p>
        </w:tc>
        <w:tc>
          <w:tcPr>
            <w:tcW w:type="dxa" w:w="1805"/>
          </w:tcPr>
          <w:p>
            <w:pPr>
              <w:pStyle w:val="TableContents"/>
              <w:spacing w:before="0" w:after="0" w:line="240" w:lineRule="atLeast"/>
            </w:pPr>
            <w:r>
              <w:rPr>
                <w:rFonts w:ascii="Arial" w:hAnsi="Arial" w:cs="Arial" w:eastAsia="Arial"/>
                <w:sz w:val="16"/>
                <w:szCs w:val="16"/>
              </w:rPr>
              <w:t>Commissioning phase gate approval</w:t>
            </w:r>
          </w:p>
        </w:tc>
        <w:tc>
          <w:tcPr>
            <w:tcW w:type="dxa" w:w="1805"/>
          </w:tcPr>
          <w:p>
            <w:pPr>
              <w:pStyle w:val="TableContents"/>
              <w:spacing w:before="0" w:after="0" w:line="240" w:lineRule="atLeast"/>
            </w:pPr>
            <w:r>
              <w:rPr>
                <w:rFonts w:ascii="Arial" w:hAnsi="Arial" w:cs="Arial" w:eastAsia="Arial"/>
                <w:sz w:val="16"/>
                <w:szCs w:val="16"/>
              </w:rPr>
              <w:t>All commissioning and remaining construction personnel</w:t>
            </w:r>
          </w:p>
        </w:tc>
        <w:tc>
          <w:tcPr>
            <w:tcW w:type="dxa" w:w="1805"/>
          </w:tcPr>
          <w:p>
            <w:pPr>
              <w:pStyle w:val="TableContents"/>
              <w:spacing w:before="0" w:after="0" w:line="240" w:lineRule="atLeast"/>
            </w:pPr>
            <w:r>
              <w:rPr>
                <w:rFonts w:ascii="Arial" w:hAnsi="Arial" w:cs="Arial" w:eastAsia="Arial"/>
                <w:sz w:val="16"/>
                <w:szCs w:val="16"/>
              </w:rPr>
              <w:t>{'insert': True, 'field': 'const_to_comm_content_ref'}</w:t>
            </w:r>
          </w:p>
        </w:tc>
        <w:tc>
          <w:tcPr>
            <w:tcW w:type="dxa" w:w="1806"/>
          </w:tcPr>
          <w:p>
            <w:pPr>
              <w:pStyle w:val="TableContents"/>
              <w:spacing w:before="0" w:after="0" w:line="240" w:lineRule="atLeast"/>
            </w:pPr>
            <w:r>
              <w:rPr>
                <w:rFonts w:ascii="Arial" w:hAnsi="Arial" w:cs="Arial" w:eastAsia="Arial"/>
                <w:sz w:val="16"/>
                <w:szCs w:val="16"/>
              </w:rPr>
              <w:t>HSESC Manager</w:t>
            </w:r>
          </w:p>
        </w:tc>
      </w:tr>
      <w:tr>
        <w:tc>
          <w:tcPr>
            <w:tcW w:type="dxa" w:w="1805"/>
          </w:tcPr>
          <w:p>
            <w:pPr>
              <w:pStyle w:val="TableContents"/>
              <w:spacing w:before="0" w:after="0" w:line="240" w:lineRule="atLeast"/>
            </w:pPr>
            <w:r>
              <w:rPr>
                <w:rFonts w:ascii="Arial" w:hAnsi="Arial" w:cs="Arial" w:eastAsia="Arial"/>
                <w:sz w:val="16"/>
                <w:szCs w:val="16"/>
              </w:rPr>
              <w:t>Commissioning to Handover to Operations</w:t>
            </w:r>
          </w:p>
        </w:tc>
        <w:tc>
          <w:tcPr>
            <w:tcW w:type="dxa" w:w="1805"/>
          </w:tcPr>
          <w:p>
            <w:pPr>
              <w:pStyle w:val="TableContents"/>
              <w:spacing w:before="0" w:after="0" w:line="240" w:lineRule="atLeast"/>
            </w:pPr>
            <w:r>
              <w:rPr>
                <w:rFonts w:ascii="Arial" w:hAnsi="Arial" w:cs="Arial" w:eastAsia="Arial"/>
                <w:sz w:val="16"/>
                <w:szCs w:val="16"/>
              </w:rPr>
              <w:t>Operations readiness sign-off</w:t>
            </w:r>
          </w:p>
        </w:tc>
        <w:tc>
          <w:tcPr>
            <w:tcW w:type="dxa" w:w="1805"/>
          </w:tcPr>
          <w:p>
            <w:pPr>
              <w:pStyle w:val="TableContents"/>
              <w:spacing w:before="0" w:after="0" w:line="240" w:lineRule="atLeast"/>
            </w:pPr>
            <w:r>
              <w:rPr>
                <w:rFonts w:ascii="Arial" w:hAnsi="Arial" w:cs="Arial" w:eastAsia="Arial"/>
                <w:sz w:val="16"/>
                <w:szCs w:val="16"/>
              </w:rPr>
              <w:t>All personnel transitioning to operations phase</w:t>
            </w:r>
          </w:p>
        </w:tc>
        <w:tc>
          <w:tcPr>
            <w:tcW w:type="dxa" w:w="1805"/>
          </w:tcPr>
          <w:p>
            <w:pPr>
              <w:pStyle w:val="TableContents"/>
              <w:spacing w:before="0" w:after="0" w:line="240" w:lineRule="atLeast"/>
            </w:pPr>
            <w:r>
              <w:rPr>
                <w:rFonts w:ascii="Arial" w:hAnsi="Arial" w:cs="Arial" w:eastAsia="Arial"/>
                <w:sz w:val="16"/>
                <w:szCs w:val="16"/>
              </w:rPr>
              <w:t>{'insert': True, 'field': 'comm_to_handover_content_ref'}</w:t>
            </w:r>
          </w:p>
        </w:tc>
        <w:tc>
          <w:tcPr>
            <w:tcW w:type="dxa" w:w="1806"/>
          </w:tcPr>
          <w:p>
            <w:pPr>
              <w:pStyle w:val="TableContents"/>
              <w:spacing w:before="0" w:after="0" w:line="240" w:lineRule="atLeast"/>
            </w:pPr>
            <w:r>
              <w:rPr>
                <w:rFonts w:ascii="Arial" w:hAnsi="Arial" w:cs="Arial" w:eastAsia="Arial"/>
                <w:sz w:val="16"/>
                <w:szCs w:val="16"/>
              </w:rPr>
              <w:t>HSESC Manager</w:t>
            </w:r>
          </w:p>
        </w:tc>
      </w:tr>
    </w:tbl>
    <w:p>
      <w:pPr>
        <w:pStyle w:val="NormalNumberedtext"/>
      </w:pPr>
    </w:p>
    <w:p>
      <w:pPr>
        <w:pStyle w:val="Heading2Numbered"/>
        <w:numPr>
          <w:ilvl w:val="1"/>
          <w:numId w:val="1"/>
        </w:numPr>
      </w:pPr>
      <w:r>
        <w:rPr>
          <w:rFonts w:ascii="Arial" w:hAnsi="Arial" w:cs="Arial" w:eastAsia="Arial"/>
        </w:rPr>
        <w:t>Indigenous and Cultural Awareness</w:t>
      </w:r>
    </w:p>
    <w:p>
      <w:pPr>
        <w:pStyle w:val="NormalNumberedtext"/>
      </w:pPr>
      <w:r>
        <w:t>This section defines the cultural awareness training requirement where Indigenous Peoples are present in the project area.</w:t>
      </w:r>
    </w:p>
    <w:p>
      <w:pPr>
        <w:pStyle w:val="NormalNumberedtext"/>
      </w:pPr>
      <w:r>
        <w:t>Where Indigenous Peoples are present in the project area, the HSESC Manager ensures cultural awareness training content is developed in collaboration with those communities. Cultural awareness training is delivered to all personnel who interact with, or make decisions affecting, Indigenous Peoples.</w:t>
      </w:r>
    </w:p>
    <w:p>
      <w:pPr>
        <w:pStyle w:val="NormalNumberedtext"/>
      </w:pPr>
      <w:r>
        <w:t>The cultural awareness training content is reviewed with community representatives before first delivery and updated whenever the community raises concerns about content or project conduct. Development and review records are maintained in the project management system.</w:t>
      </w:r>
    </w:p>
    <w:p>
      <w:pPr>
        <w:pStyle w:val="NormalNumberedtext"/>
      </w:pPr>
      <w:r>
        <w:rPr>
          <w:b/>
          <w:bCs/>
          <w:color w:val="0059D1"/>
        </w:rPr>
        <w:t>[INSERT: cultural_awareness_content_ref] — Insert the reference to the approved cultural awareness training materials developed in collaboration with the relevant Indigenous community or communities, and the name of the community representative or organisation involved in development.</w:t>
      </w:r>
    </w:p>
    <w:p>
      <w:pPr>
        <w:pStyle w:val="NormalNumberedtext"/>
      </w:pPr>
    </w:p>
    <w:p>
      <w:pPr>
        <w:pStyle w:val="Heading2Numbered"/>
        <w:numPr>
          <w:ilvl w:val="1"/>
          <w:numId w:val="1"/>
        </w:numPr>
      </w:pPr>
      <w:r>
        <w:rPr>
          <w:rFonts w:ascii="Arial" w:hAnsi="Arial" w:cs="Arial" w:eastAsia="Arial"/>
        </w:rPr>
        <w:t>Visitor Orientation</w:t>
      </w:r>
    </w:p>
    <w:p>
      <w:pPr>
        <w:pStyle w:val="NormalNumberedtext"/>
      </w:pPr>
      <w:r>
        <w:t>This section defines the minimum content, maximum duration, and identification system for the visitor orientation process.</w:t>
      </w:r>
    </w:p>
    <w:p>
      <w:pPr>
        <w:pStyle w:val="NormalNumberedtext"/>
      </w:pPr>
      <w:r>
        <w:t>The project defines and documents a visitor orientation process for all persons accessing the site who are not subject to the full site induction. The visitor orientation is commensurate with the site risk profile and the areas the visitor will access.</w:t>
      </w:r>
    </w:p>
    <w:p>
      <w:pPr>
        <w:pStyle w:val="NormalNumberedtext"/>
      </w:pPr>
      <w:r>
        <w:t>The visitor orientation covers the following minimum content:</w:t>
      </w:r>
    </w:p>
    <w:p>
      <w:pPr>
        <w:pStyle w:val="NumberedBulletL1"/>
      </w:pPr>
      <w:r>
        <w:t>Emergency arrangements including evacuation routes, muster points, and the emergency contact number.</w:t>
      </w:r>
    </w:p>
    <w:p>
      <w:pPr>
        <w:pStyle w:val="NumberedBulletL1"/>
      </w:pPr>
      <w:r>
        <w:t>Site rules including prohibited areas, PPE requirements, and mobile phone restrictions.</w:t>
      </w:r>
    </w:p>
    <w:p>
      <w:pPr>
        <w:pStyle w:val="NumberedBulletL1"/>
      </w:pPr>
      <w:r>
        <w:t>Hazard reporting process and the requirement to stop work if an unsafe condition is observed.</w:t>
      </w:r>
    </w:p>
    <w:p>
      <w:pPr>
        <w:pStyle w:val="NumberedBulletL1"/>
      </w:pPr>
      <w:r>
        <w:rPr>
          <w:color w:val="C55A11"/>
        </w:rPr>
        <w:t>Environmental and community conduct expectations relevant to the site area.</w:t>
      </w:r>
    </w:p>
    <w:p>
      <w:pPr>
        <w:pStyle w:val="NormalNumberedtext"/>
      </w:pPr>
      <w:r>
        <w:t>All visitors are issued a visible identification system on arrival. The identification system distinguishes visitors from inducted personnel at all times while on site.</w:t>
      </w:r>
    </w:p>
    <w:p>
      <w:pPr>
        <w:pStyle w:val="NormalNumberedtext"/>
      </w:pPr>
      <w:r>
        <w:rPr>
          <w:b/>
          <w:bCs/>
          <w:color w:val="0059D1"/>
        </w:rPr>
        <w:t>[INSERT: visitor_identification_system] — Insert the visitor identification method for this project, e.g., coloured visitor hard hat (specify colour), visitor access badge design, or escorted access system. This is a project decision — document the chosen method and the responsible role for issuing and collecting identification.</w:t>
      </w:r>
    </w:p>
    <w:p>
      <w:pPr>
        <w:pStyle w:val="NormalNumberedtext"/>
      </w:pPr>
      <w:r>
        <w:t>Table 4: Visitor Orientation Standard</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Project Standard</w:t>
            </w:r>
          </w:p>
        </w:tc>
      </w:tr>
      <w:tr>
        <w:tc>
          <w:tcPr>
            <w:tcW w:type="dxa" w:w="4513"/>
          </w:tcPr>
          <w:p>
            <w:pPr>
              <w:pStyle w:val="TableContents"/>
              <w:spacing w:before="0" w:after="0" w:line="240" w:lineRule="atLeast"/>
            </w:pPr>
            <w:r>
              <w:rPr>
                <w:rFonts w:ascii="Arial" w:hAnsi="Arial" w:cs="Arial" w:eastAsia="Arial"/>
                <w:sz w:val="16"/>
                <w:szCs w:val="16"/>
              </w:rPr>
              <w:t>Maximum orientation duration</w:t>
            </w:r>
          </w:p>
        </w:tc>
        <w:tc>
          <w:tcPr>
            <w:tcW w:type="dxa" w:w="4513"/>
          </w:tcPr>
          <w:p>
            <w:pPr>
              <w:pStyle w:val="TableContents"/>
              <w:spacing w:before="0" w:after="0" w:line="240" w:lineRule="atLeast"/>
            </w:pPr>
            <w:r>
              <w:rPr>
                <w:rFonts w:ascii="Arial" w:hAnsi="Arial" w:cs="Arial" w:eastAsia="Arial"/>
                <w:sz w:val="16"/>
                <w:szCs w:val="16"/>
              </w:rPr>
              <w:t>{'insert': True, 'field': 'visitor_orientation_duration'}</w:t>
            </w:r>
          </w:p>
        </w:tc>
      </w:tr>
      <w:tr>
        <w:tc>
          <w:tcPr>
            <w:tcW w:type="dxa" w:w="4513"/>
          </w:tcPr>
          <w:p>
            <w:pPr>
              <w:pStyle w:val="TableContents"/>
              <w:spacing w:before="0" w:after="0" w:line="240" w:lineRule="atLeast"/>
            </w:pPr>
            <w:r>
              <w:rPr>
                <w:rFonts w:ascii="Arial" w:hAnsi="Arial" w:cs="Arial" w:eastAsia="Arial"/>
                <w:sz w:val="16"/>
                <w:szCs w:val="16"/>
              </w:rPr>
              <w:t>Visitor identification method</w:t>
            </w:r>
          </w:p>
        </w:tc>
        <w:tc>
          <w:tcPr>
            <w:tcW w:type="dxa" w:w="4513"/>
          </w:tcPr>
          <w:p>
            <w:pPr>
              <w:pStyle w:val="TableContents"/>
              <w:spacing w:before="0" w:after="0" w:line="240" w:lineRule="atLeast"/>
            </w:pPr>
            <w:r>
              <w:rPr>
                <w:rFonts w:ascii="Arial" w:hAnsi="Arial" w:cs="Arial" w:eastAsia="Arial"/>
                <w:sz w:val="16"/>
                <w:szCs w:val="16"/>
              </w:rPr>
              <w:t>{'insert': True, 'field': 'visitor_id_method'}</w:t>
            </w:r>
          </w:p>
        </w:tc>
      </w:tr>
      <w:tr>
        <w:tc>
          <w:tcPr>
            <w:tcW w:type="dxa" w:w="4513"/>
          </w:tcPr>
          <w:p>
            <w:pPr>
              <w:pStyle w:val="TableContents"/>
              <w:spacing w:before="0" w:after="0" w:line="240" w:lineRule="atLeast"/>
            </w:pPr>
            <w:r>
              <w:rPr>
                <w:rFonts w:ascii="Arial" w:hAnsi="Arial" w:cs="Arial" w:eastAsia="Arial"/>
                <w:sz w:val="16"/>
                <w:szCs w:val="16"/>
              </w:rPr>
              <w:t>Responsible role for orientation delivery</w:t>
            </w:r>
          </w:p>
        </w:tc>
        <w:tc>
          <w:tcPr>
            <w:tcW w:type="dxa" w:w="4513"/>
          </w:tcPr>
          <w:p>
            <w:pPr>
              <w:pStyle w:val="TableContents"/>
              <w:spacing w:before="0" w:after="0" w:line="240" w:lineRule="atLeast"/>
            </w:pPr>
            <w:r>
              <w:rPr>
                <w:rFonts w:ascii="Arial" w:hAnsi="Arial" w:cs="Arial" w:eastAsia="Arial"/>
                <w:sz w:val="16"/>
                <w:szCs w:val="16"/>
              </w:rPr>
              <w:t>{'insert': True, 'field': 'visitor_orientation_role'}</w:t>
            </w:r>
          </w:p>
        </w:tc>
      </w:tr>
      <w:tr>
        <w:tc>
          <w:tcPr>
            <w:tcW w:type="dxa" w:w="4513"/>
          </w:tcPr>
          <w:p>
            <w:pPr>
              <w:pStyle w:val="TableContents"/>
              <w:spacing w:before="0" w:after="0" w:line="240" w:lineRule="atLeast"/>
            </w:pPr>
            <w:r>
              <w:rPr>
                <w:rFonts w:ascii="Arial" w:hAnsi="Arial" w:cs="Arial" w:eastAsia="Arial"/>
                <w:sz w:val="16"/>
                <w:szCs w:val="16"/>
              </w:rPr>
              <w:t>Record of visitor orientation</w:t>
            </w:r>
          </w:p>
        </w:tc>
        <w:tc>
          <w:tcPr>
            <w:tcW w:type="dxa" w:w="4513"/>
          </w:tcPr>
          <w:p>
            <w:pPr>
              <w:pStyle w:val="TableContents"/>
              <w:spacing w:before="0" w:after="0" w:line="240" w:lineRule="atLeast"/>
            </w:pPr>
            <w:r>
              <w:rPr>
                <w:rFonts w:ascii="Arial" w:hAnsi="Arial" w:cs="Arial" w:eastAsia="Arial"/>
                <w:sz w:val="16"/>
                <w:szCs w:val="16"/>
              </w:rPr>
              <w:t>{'insert': True, 'field': 'visitor_orientation_record'}</w:t>
            </w:r>
          </w:p>
        </w:tc>
      </w:tr>
      <w:tr>
        <w:tc>
          <w:tcPr>
            <w:tcW w:type="dxa" w:w="4513"/>
          </w:tcPr>
          <w:p>
            <w:pPr>
              <w:pStyle w:val="TableContents"/>
              <w:spacing w:before="0" w:after="0" w:line="240" w:lineRule="atLeast"/>
            </w:pPr>
            <w:r>
              <w:rPr>
                <w:rFonts w:ascii="Arial" w:hAnsi="Arial" w:cs="Arial" w:eastAsia="Arial"/>
                <w:sz w:val="16"/>
                <w:szCs w:val="16"/>
              </w:rPr>
              <w:t>Escort requirement for high-risk areas</w:t>
            </w:r>
          </w:p>
        </w:tc>
        <w:tc>
          <w:tcPr>
            <w:tcW w:type="dxa" w:w="4513"/>
          </w:tcPr>
          <w:p>
            <w:pPr>
              <w:pStyle w:val="TableContents"/>
              <w:spacing w:before="0" w:after="0" w:line="240" w:lineRule="atLeast"/>
            </w:pPr>
            <w:r>
              <w:rPr>
                <w:rFonts w:ascii="Arial" w:hAnsi="Arial" w:cs="Arial" w:eastAsia="Arial"/>
                <w:sz w:val="16"/>
                <w:szCs w:val="16"/>
              </w:rPr>
              <w:t>{'insert': True, 'field': 'visitor_escort_requirement'}</w:t>
            </w:r>
          </w:p>
        </w:tc>
      </w:tr>
    </w:tbl>
    <w:p>
      <w:pPr>
        <w:pStyle w:val="NormalNumberedtext"/>
      </w:pPr>
    </w:p>
    <w:p>
      <w:pPr>
        <w:pStyle w:val="Heading1Numbered"/>
        <w:numPr>
          <w:ilvl w:val="0"/>
          <w:numId w:val="1"/>
        </w:numPr>
      </w:pPr>
      <w:r>
        <w:rPr>
          <w:rFonts w:ascii="Arial" w:hAnsi="Arial" w:cs="Arial" w:eastAsia="Arial"/>
        </w:rPr>
        <w:t>Short Service Employee Programme</w:t>
      </w:r>
    </w:p>
    <w:p>
      <w:pPr>
        <w:pStyle w:val="NormalNumberedtext"/>
      </w:pPr>
      <w:r>
        <w:t>This section defines the SSE programme, including the threshold for SSE classification, identification requirements, supervision, mentoring, and monitoring obligations.</w:t>
      </w:r>
    </w:p>
    <w:p>
      <w:pPr>
        <w:pStyle w:val="NormalNumberedtext"/>
      </w:pPr>
    </w:p>
    <w:p>
      <w:pPr>
        <w:pStyle w:val="Heading2Numbered"/>
        <w:numPr>
          <w:ilvl w:val="1"/>
          <w:numId w:val="1"/>
        </w:numPr>
      </w:pPr>
      <w:r>
        <w:rPr>
          <w:rFonts w:ascii="Arial" w:hAnsi="Arial" w:cs="Arial" w:eastAsia="Arial"/>
        </w:rPr>
        <w:t>SSE Definition and Threshold</w:t>
      </w:r>
    </w:p>
    <w:p>
      <w:pPr>
        <w:pStyle w:val="NormalNumberedtext"/>
      </w:pPr>
      <w:r>
        <w:t>This section defines who is classified as an SSE on this project and the basis for that classification.</w:t>
      </w:r>
    </w:p>
    <w:p>
      <w:pPr>
        <w:pStyle w:val="NormalNumberedtext"/>
      </w:pPr>
      <w:r>
        <w:t>A Short Service Employee (SSE) is any person with less than three months of experience in the same job type, regardless of their overall experience in the industry or their length of service with their employer. The SSE classification applies from the first day of mobilisation to the project.</w:t>
      </w:r>
    </w:p>
    <w:p>
      <w:pPr>
        <w:pStyle w:val="NormalNumberedtext"/>
      </w:pPr>
      <w:r>
        <w:t>Contractors and subcontractors identify all SSE personnel within their workforce before mobilisation and notify the HSESC Manager. The HSESC Manager records SSE status in the Training Matrix [INSERT: Project Document Number] and tracks the SSE period for each person.</w:t>
      </w:r>
    </w:p>
    <w:p>
      <w:pPr>
        <w:pStyle w:val="NormalNumberedtext"/>
      </w:pPr>
    </w:p>
    <w:p>
      <w:pPr>
        <w:pStyle w:val="Heading2Numbered"/>
        <w:numPr>
          <w:ilvl w:val="1"/>
          <w:numId w:val="1"/>
        </w:numPr>
      </w:pPr>
      <w:r>
        <w:rPr>
          <w:rFonts w:ascii="Arial" w:hAnsi="Arial" w:cs="Arial" w:eastAsia="Arial"/>
        </w:rPr>
        <w:t>SSE Identification and Supervision</w:t>
      </w:r>
    </w:p>
    <w:p>
      <w:pPr>
        <w:pStyle w:val="NormalNumberedtext"/>
      </w:pPr>
      <w:r>
        <w:t>This section defines the visual identification requirement, supervision standards, and mentor assignment process for SSE personnel.</w:t>
      </w:r>
    </w:p>
    <w:p>
      <w:pPr>
        <w:pStyle w:val="NormalNumberedtext"/>
      </w:pPr>
      <w:r>
        <w:t>All SSE personnel are visually identifiable at all times while on site. The identification method is defined for this project and applied consistently across all contractor and subcontractor workforces.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SSE identification method for this project. This is a project decision - insert the chosen method, including the specific visual identifier (e.g., coloured hard hat with colour specified, SSE badge design) and the buddy or mentor assignment process.</w:t>
            </w:r>
          </w:p>
        </w:tc>
      </w:tr>
    </w:tbl>
    <w:p>
      <w:pPr>
        <w:pStyle w:val="NormalNumberedtext"/>
      </w:pPr>
    </w:p>
    <w:p>
      <w:pPr>
        <w:pStyle w:val="NormalNumberedtext"/>
      </w:pPr>
      <w:r>
        <w:rPr>
          <w:b/>
          <w:bCs/>
          <w:color w:val="0059D1"/>
        </w:rPr>
        <w:t>[INSERT: sse_identification_method] — Insert the SSE visual identification method for this project, e.g., green hard hat, green sticker on hard hat, or SSE wristband. Specify the colour or design and the responsible role for issuing identifiers.</w:t>
      </w:r>
    </w:p>
    <w:p>
      <w:pPr>
        <w:pStyle w:val="NormalNumberedtext"/>
      </w:pPr>
      <w:r>
        <w:t>Each SSE is assigned an experienced mentor before commencing work. The mentor provides close supervision, structured feedback, and daily monitoring of the SSE's task performance and wellbeing throughout the SSE period. The work supervisor confirms the mentor assignment is recorded in [INSERT: Project Document Number].</w:t>
      </w:r>
    </w:p>
    <w:p>
      <w:pPr>
        <w:pStyle w:val="NormalNumberedtext"/>
      </w:pPr>
      <w:r>
        <w:t>The SSE supervision standard requires the following for the duration of the SSE period:</w:t>
      </w:r>
    </w:p>
    <w:p>
      <w:pPr>
        <w:pStyle w:val="NumberedBulletL1"/>
      </w:pPr>
      <w:r>
        <w:t>An assigned experienced mentor who is not also classified as an SSE.</w:t>
      </w:r>
    </w:p>
    <w:p>
      <w:pPr>
        <w:pStyle w:val="NumberedBulletL1"/>
      </w:pPr>
      <w:r>
        <w:t>Close supervision during all task execution, with the supervisor or mentor present or within immediate reach.</w:t>
      </w:r>
    </w:p>
    <w:p>
      <w:pPr>
        <w:pStyle w:val="NumberedBulletL1"/>
      </w:pPr>
      <w:r>
        <w:rPr>
          <w:color w:val="C55A11"/>
        </w:rPr>
        <w:t>Structured weekly feedback discussions between the SSE and their mentor, with outcomes recorded.</w:t>
      </w:r>
    </w:p>
    <w:p>
      <w:pPr>
        <w:pStyle w:val="NumberedBulletL1"/>
      </w:pPr>
      <w:r>
        <w:t>Targeted training delivery addressing literacy and language challenges specific to the SSE.</w:t>
      </w:r>
    </w:p>
    <w:p>
      <w:pPr>
        <w:pStyle w:val="NumberedBulletL1"/>
      </w:pPr>
      <w:r>
        <w:t>Observation and assessment to confirm competency before the SSE progresses to unsupervised work on any task.</w:t>
      </w:r>
    </w:p>
    <w:p>
      <w:pPr>
        <w:pStyle w:val="NumberedBulletL1"/>
      </w:pPr>
      <w:r>
        <w:t>Closer supervision for workers new to specific hazards until competency is demonstrated through observation and assessment.</w:t>
      </w:r>
    </w:p>
    <w:p>
      <w:pPr>
        <w:pStyle w:val="NormalNumberedtext"/>
      </w:pPr>
      <w:r>
        <w:t>Table 5: SSE Programme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Project Standard</w:t>
            </w:r>
          </w:p>
        </w:tc>
      </w:tr>
      <w:tr>
        <w:tc>
          <w:tcPr>
            <w:tcW w:type="dxa" w:w="4513"/>
          </w:tcPr>
          <w:p>
            <w:pPr>
              <w:pStyle w:val="TableContents"/>
              <w:spacing w:before="0" w:after="0" w:line="240" w:lineRule="atLeast"/>
            </w:pPr>
            <w:r>
              <w:rPr>
                <w:rFonts w:ascii="Arial" w:hAnsi="Arial" w:cs="Arial" w:eastAsia="Arial"/>
                <w:sz w:val="16"/>
                <w:szCs w:val="16"/>
              </w:rPr>
              <w:t>SSE period duration</w:t>
            </w:r>
          </w:p>
        </w:tc>
        <w:tc>
          <w:tcPr>
            <w:tcW w:type="dxa" w:w="4513"/>
          </w:tcPr>
          <w:p>
            <w:pPr>
              <w:pStyle w:val="TableContents"/>
              <w:spacing w:before="0" w:after="0" w:line="240" w:lineRule="atLeast"/>
            </w:pPr>
            <w:r>
              <w:rPr>
                <w:rFonts w:ascii="Arial" w:hAnsi="Arial" w:cs="Arial" w:eastAsia="Arial"/>
                <w:sz w:val="16"/>
                <w:szCs w:val="16"/>
              </w:rPr>
              <w:t>Three months from first day in same job type</w:t>
            </w:r>
          </w:p>
        </w:tc>
      </w:tr>
      <w:tr>
        <w:tc>
          <w:tcPr>
            <w:tcW w:type="dxa" w:w="4513"/>
          </w:tcPr>
          <w:p>
            <w:pPr>
              <w:pStyle w:val="TableContents"/>
              <w:spacing w:before="0" w:after="0" w:line="240" w:lineRule="atLeast"/>
            </w:pPr>
            <w:r>
              <w:rPr>
                <w:rFonts w:ascii="Arial" w:hAnsi="Arial" w:cs="Arial" w:eastAsia="Arial"/>
                <w:sz w:val="16"/>
                <w:szCs w:val="16"/>
              </w:rPr>
              <w:t>Visual identification method</w:t>
            </w:r>
          </w:p>
        </w:tc>
        <w:tc>
          <w:tcPr>
            <w:tcW w:type="dxa" w:w="4513"/>
          </w:tcPr>
          <w:p>
            <w:pPr>
              <w:pStyle w:val="TableContents"/>
              <w:spacing w:before="0" w:after="0" w:line="240" w:lineRule="atLeast"/>
            </w:pPr>
            <w:r>
              <w:rPr>
                <w:rFonts w:ascii="Arial" w:hAnsi="Arial" w:cs="Arial" w:eastAsia="Arial"/>
                <w:sz w:val="16"/>
                <w:szCs w:val="16"/>
              </w:rPr>
              <w:t>{'insert': True, 'field': 'sse_id_table'}</w:t>
            </w:r>
          </w:p>
        </w:tc>
      </w:tr>
      <w:tr>
        <w:tc>
          <w:tcPr>
            <w:tcW w:type="dxa" w:w="4513"/>
          </w:tcPr>
          <w:p>
            <w:pPr>
              <w:pStyle w:val="TableContents"/>
              <w:spacing w:before="0" w:after="0" w:line="240" w:lineRule="atLeast"/>
            </w:pPr>
            <w:r>
              <w:rPr>
                <w:rFonts w:ascii="Arial" w:hAnsi="Arial" w:cs="Arial" w:eastAsia="Arial"/>
                <w:sz w:val="16"/>
                <w:szCs w:val="16"/>
              </w:rPr>
              <w:t>Mentor assignment process</w:t>
            </w:r>
          </w:p>
        </w:tc>
        <w:tc>
          <w:tcPr>
            <w:tcW w:type="dxa" w:w="4513"/>
          </w:tcPr>
          <w:p>
            <w:pPr>
              <w:pStyle w:val="TableContents"/>
              <w:spacing w:before="0" w:after="0" w:line="240" w:lineRule="atLeast"/>
            </w:pPr>
            <w:r>
              <w:rPr>
                <w:rFonts w:ascii="Arial" w:hAnsi="Arial" w:cs="Arial" w:eastAsia="Arial"/>
                <w:sz w:val="16"/>
                <w:szCs w:val="16"/>
              </w:rPr>
              <w:t>{'insert': True, 'field': 'sse_mentor_process'}</w:t>
            </w:r>
          </w:p>
        </w:tc>
      </w:tr>
      <w:tr>
        <w:tc>
          <w:tcPr>
            <w:tcW w:type="dxa" w:w="4513"/>
          </w:tcPr>
          <w:p>
            <w:pPr>
              <w:pStyle w:val="TableContents"/>
              <w:spacing w:before="0" w:after="0" w:line="240" w:lineRule="atLeast"/>
            </w:pPr>
            <w:r>
              <w:rPr>
                <w:rFonts w:ascii="Arial" w:hAnsi="Arial" w:cs="Arial" w:eastAsia="Arial"/>
                <w:sz w:val="16"/>
                <w:szCs w:val="16"/>
              </w:rPr>
              <w:t>Structured feedback frequency</w:t>
            </w:r>
          </w:p>
        </w:tc>
        <w:tc>
          <w:tcPr>
            <w:tcW w:type="dxa" w:w="4513"/>
          </w:tcPr>
          <w:p>
            <w:pPr>
              <w:pStyle w:val="TableContents"/>
              <w:spacing w:before="0" w:after="0" w:line="240" w:lineRule="atLeast"/>
            </w:pPr>
            <w:r>
              <w:rPr>
                <w:rFonts w:ascii="Arial" w:hAnsi="Arial" w:cs="Arial" w:eastAsia="Arial"/>
                <w:sz w:val="16"/>
                <w:szCs w:val="16"/>
              </w:rPr>
              <w:t>{'insert': True, 'field': 'sse_feedback_frequency'}</w:t>
            </w:r>
          </w:p>
        </w:tc>
      </w:tr>
      <w:tr>
        <w:tc>
          <w:tcPr>
            <w:tcW w:type="dxa" w:w="4513"/>
          </w:tcPr>
          <w:p>
            <w:pPr>
              <w:pStyle w:val="TableContents"/>
              <w:spacing w:before="0" w:after="0" w:line="240" w:lineRule="atLeast"/>
            </w:pPr>
            <w:r>
              <w:rPr>
                <w:rFonts w:ascii="Arial" w:hAnsi="Arial" w:cs="Arial" w:eastAsia="Arial"/>
                <w:sz w:val="16"/>
                <w:szCs w:val="16"/>
              </w:rPr>
              <w:t>Monitoring and reporting framework</w:t>
            </w:r>
          </w:p>
        </w:tc>
        <w:tc>
          <w:tcPr>
            <w:tcW w:type="dxa" w:w="4513"/>
          </w:tcPr>
          <w:p>
            <w:pPr>
              <w:pStyle w:val="TableContents"/>
              <w:spacing w:before="0" w:after="0" w:line="240" w:lineRule="atLeast"/>
            </w:pPr>
            <w:r>
              <w:rPr>
                <w:rFonts w:ascii="Arial" w:hAnsi="Arial" w:cs="Arial" w:eastAsia="Arial"/>
                <w:sz w:val="16"/>
                <w:szCs w:val="16"/>
              </w:rPr>
              <w:t>{'insert': True, 'field': 'sse_monitoring_framework'}</w:t>
            </w:r>
          </w:p>
        </w:tc>
      </w:tr>
      <w:tr>
        <w:tc>
          <w:tcPr>
            <w:tcW w:type="dxa" w:w="4513"/>
          </w:tcPr>
          <w:p>
            <w:pPr>
              <w:pStyle w:val="TableContents"/>
              <w:spacing w:before="0" w:after="0" w:line="240" w:lineRule="atLeast"/>
            </w:pPr>
            <w:r>
              <w:rPr>
                <w:rFonts w:ascii="Arial" w:hAnsi="Arial" w:cs="Arial" w:eastAsia="Arial"/>
                <w:sz w:val="16"/>
                <w:szCs w:val="16"/>
              </w:rPr>
              <w:t>SSE status record location</w:t>
            </w:r>
          </w:p>
        </w:tc>
        <w:tc>
          <w:tcPr>
            <w:tcW w:type="dxa" w:w="4513"/>
          </w:tcPr>
          <w:p>
            <w:pPr>
              <w:pStyle w:val="TableContents"/>
              <w:spacing w:before="0" w:after="0" w:line="240" w:lineRule="atLeast"/>
            </w:pPr>
            <w:r>
              <w:rPr>
                <w:rFonts w:ascii="Arial" w:hAnsi="Arial" w:cs="Arial" w:eastAsia="Arial"/>
                <w:b/>
                <w:bCs/>
                <w:color w:val="0059D1"/>
                <w:sz w:val="16"/>
                <w:szCs w:val="16"/>
              </w:rPr>
              <w:t>[INSERT: Project Document Number]</w:t>
            </w:r>
            <w:r>
              <w:rPr>
                <w:rFonts w:ascii="Arial" w:hAnsi="Arial" w:cs="Arial" w:eastAsia="Arial"/>
                <w:sz w:val="16"/>
                <w:szCs w:val="16"/>
              </w:rPr>
              <w:t xml:space="preserve"> Training Matrix and Competency Register</w:t>
            </w:r>
          </w:p>
        </w:tc>
      </w:tr>
    </w:tbl>
    <w:p>
      <w:pPr>
        <w:pStyle w:val="NormalNumberedtext"/>
      </w:pPr>
    </w:p>
    <w:p>
      <w:pPr>
        <w:pStyle w:val="Heading1Numbered"/>
        <w:numPr>
          <w:ilvl w:val="0"/>
          <w:numId w:val="1"/>
        </w:numPr>
      </w:pPr>
      <w:r>
        <w:rPr>
          <w:rFonts w:ascii="Arial" w:hAnsi="Arial" w:cs="Arial" w:eastAsia="Arial"/>
        </w:rPr>
        <w:t>Field Supervisor Development</w:t>
      </w:r>
    </w:p>
    <w:p>
      <w:pPr>
        <w:pStyle w:val="NormalNumberedtext"/>
      </w:pPr>
      <w:r>
        <w:t>This section defines the field supervisor training and mentoring programme, including HSESC leadership, Leadership in Field principles, and cultural and regional requirements.</w:t>
      </w:r>
    </w:p>
    <w:p>
      <w:pPr>
        <w:pStyle w:val="NormalNumberedtext"/>
      </w:pPr>
    </w:p>
    <w:p>
      <w:pPr>
        <w:pStyle w:val="Heading2Numbered"/>
        <w:numPr>
          <w:ilvl w:val="1"/>
          <w:numId w:val="1"/>
        </w:numPr>
      </w:pPr>
      <w:r>
        <w:rPr>
          <w:rFonts w:ascii="Arial" w:hAnsi="Arial" w:cs="Arial" w:eastAsia="Arial"/>
        </w:rPr>
        <w:t>Field Supervisor Training Programme</w:t>
      </w:r>
    </w:p>
    <w:p>
      <w:pPr>
        <w:pStyle w:val="NormalNumberedtext"/>
      </w:pPr>
      <w:r>
        <w:t>This section defines the content, delivery, and completion requirements for the field supervisor development programme.</w:t>
      </w:r>
    </w:p>
    <w:p>
      <w:pPr>
        <w:pStyle w:val="NormalNumberedtext"/>
      </w:pPr>
      <w:r>
        <w:t>The HSESC Manager defines and delivers a field supervisor training and mentoring programme for all personnel holding field supervisor roles on the project. The programme addresses HSESC leadership skills, Leadership in Field (LiF) principles, and cultural and regional challenges relevant to the project area.</w:t>
      </w:r>
    </w:p>
    <w:p>
      <w:pPr>
        <w:pStyle w:val="NormalNumberedtext"/>
      </w:pPr>
      <w:r>
        <w:t>Field supervisors complete the required programme before assuming supervisory responsibilities. Completion is recorded in the Training Matrix [INSERT: Project Document Number] and linked to the supervisor's authorisation record.</w:t>
      </w:r>
    </w:p>
    <w:p>
      <w:pPr>
        <w:pStyle w:val="NormalNumberedtext"/>
      </w:pPr>
      <w:r>
        <w:t>The field supervisor development programme covers the following minimum topics:</w:t>
      </w:r>
    </w:p>
    <w:p>
      <w:pPr>
        <w:pStyle w:val="NumberedBulletL1"/>
      </w:pPr>
      <w:r>
        <w:t>HSESC leadership responsibilities and accountability structures for field supervisors.</w:t>
      </w:r>
    </w:p>
    <w:p>
      <w:pPr>
        <w:pStyle w:val="NumberedBulletL1"/>
      </w:pPr>
      <w:r>
        <w:t>Leadership in Field (LiF) principles, including field leadership interaction techniques and structured observation methods.</w:t>
      </w:r>
    </w:p>
    <w:p>
      <w:pPr>
        <w:pStyle w:val="NumberedBulletL1"/>
      </w:pPr>
      <w:r>
        <w:t>Conducting effective pre-start meetings and toolbox talks.</w:t>
      </w:r>
    </w:p>
    <w:p>
      <w:pPr>
        <w:pStyle w:val="NumberedBulletL1"/>
      </w:pPr>
      <w:r>
        <w:t>Identifying and managing psychosocial hazards, modelling safe behaviour, and fostering a respectful workplace environment in the supervisor's team.</w:t>
      </w:r>
    </w:p>
    <w:p>
      <w:pPr>
        <w:pStyle w:val="NumberedBulletL1"/>
      </w:pPr>
      <w:r>
        <w:t>Training supervisors to recognise indicators of psychological distress and to respond appropriately.</w:t>
      </w:r>
    </w:p>
    <w:p>
      <w:pPr>
        <w:pStyle w:val="NumberedBulletL1"/>
      </w:pPr>
      <w:r>
        <w:t>Cultural awareness and communication in a diverse workforce, including regional and community-specific challenges.</w:t>
      </w:r>
    </w:p>
    <w:p>
      <w:pPr>
        <w:pStyle w:val="NumberedBulletL1"/>
      </w:pPr>
      <w:r>
        <w:rPr>
          <w:color w:val="C55A11"/>
        </w:rPr>
        <w:t>Fatigue risk management and recognition of impairment in the work team.</w:t>
      </w:r>
    </w:p>
    <w:p>
      <w:pPr>
        <w:pStyle w:val="NormalNumberedtext"/>
      </w:pPr>
      <w:r>
        <w:rPr>
          <w:b/>
          <w:bCs/>
          <w:color w:val="0059D1"/>
        </w:rPr>
        <w:t>[INSERT: additional_supervisor_training_topic]</w:t>
      </w:r>
    </w:p>
    <w:p>
      <w:pPr>
        <w:pStyle w:val="NormalNumberedtext"/>
      </w:pPr>
    </w:p>
    <w:p>
      <w:pPr>
        <w:pStyle w:val="NormalNumberedtext"/>
      </w:pPr>
      <w:r>
        <w:rPr>
          <w:b/>
          <w:bCs/>
          <w:color w:val="0059D1"/>
        </w:rPr>
        <w:t>[INSERT: field_supervisor_programme_ref] — Insert the reference to the approved field supervisor development programme materials, the delivery schedule, and the name of the approved delivery organisation or internal facilitator.</w:t>
      </w:r>
    </w:p>
    <w:p>
      <w:pPr>
        <w:pStyle w:val="NormalNumberedtext"/>
      </w:pPr>
    </w:p>
    <w:p>
      <w:pPr>
        <w:pStyle w:val="Heading2Numbered"/>
        <w:numPr>
          <w:ilvl w:val="1"/>
          <w:numId w:val="1"/>
        </w:numPr>
      </w:pPr>
      <w:r>
        <w:rPr>
          <w:rFonts w:ascii="Arial" w:hAnsi="Arial" w:cs="Arial" w:eastAsia="Arial"/>
        </w:rPr>
        <w:t>Field Supervisor Mentoring</w:t>
      </w:r>
    </w:p>
    <w:p>
      <w:pPr>
        <w:pStyle w:val="NormalNumberedtext"/>
      </w:pPr>
      <w:r>
        <w:t>This section defines the structured mentoring component of the field supervisor development programme.</w:t>
      </w:r>
    </w:p>
    <w:p>
      <w:pPr>
        <w:pStyle w:val="NormalNumberedtext"/>
      </w:pPr>
      <w:r>
        <w:t>Each field supervisor is assigned a senior mentor for the initial period following appointment to a supervisory role. The mentoring component supplements formal training with structured field observation, debrief sessions, and performance feedback.</w:t>
      </w:r>
    </w:p>
    <w:p>
      <w:pPr>
        <w:pStyle w:val="NormalNumberedtext"/>
      </w:pPr>
      <w:r>
        <w:rPr>
          <w:b/>
          <w:bCs/>
          <w:color w:val="0059D1"/>
        </w:rPr>
        <w:t>[INSERT: supervisor_mentoring_process] — Insert the mentoring period duration, the frequency of structured debrief sessions, and the record process for mentoring outcomes.</w:t>
      </w:r>
    </w:p>
    <w:p>
      <w:pPr>
        <w:pStyle w:val="NormalNumberedtext"/>
      </w:pPr>
    </w:p>
    <w:p>
      <w:pPr>
        <w:pStyle w:val="Heading1Numbered"/>
        <w:numPr>
          <w:ilvl w:val="0"/>
          <w:numId w:val="1"/>
        </w:numPr>
      </w:pPr>
      <w:r>
        <w:rPr>
          <w:rFonts w:ascii="Arial" w:hAnsi="Arial" w:cs="Arial" w:eastAsia="Arial"/>
        </w:rPr>
        <w:t>Records</w:t>
      </w:r>
    </w:p>
    <w:p>
      <w:pPr>
        <w:pStyle w:val="NormalNumberedtext"/>
      </w:pPr>
      <w:r>
        <w:t>This section defines the records required to demonstrate compliance with training and competency requirements, including the register structure, retention, and availability for audit.</w:t>
      </w:r>
    </w:p>
    <w:p>
      <w:pPr>
        <w:pStyle w:val="NormalNumberedtext"/>
      </w:pPr>
    </w:p>
    <w:p>
      <w:pPr>
        <w:pStyle w:val="Heading2Numbered"/>
        <w:numPr>
          <w:ilvl w:val="1"/>
          <w:numId w:val="1"/>
        </w:numPr>
      </w:pPr>
      <w:r>
        <w:rPr>
          <w:rFonts w:ascii="Arial" w:hAnsi="Arial" w:cs="Arial" w:eastAsia="Arial"/>
        </w:rPr>
        <w:t>Training Matrix and Competency Register</w:t>
      </w:r>
    </w:p>
    <w:p>
      <w:pPr>
        <w:pStyle w:val="NormalNumberedtext"/>
      </w:pPr>
      <w:r>
        <w:t>This section defines the content requirements and maintenance obligations for the Training Matrix and Competency Register.</w:t>
      </w:r>
    </w:p>
    <w:p>
      <w:pPr>
        <w:pStyle w:val="NormalNumberedtext"/>
      </w:pPr>
      <w:r>
        <w:t>The HSESC Manager maintains the Training Matrix and Competency Register [INSERT: Project Document Number] as the primary record of all training and competency status for personnel on the project. The register is reviewed and updated at least monthly and whenever a personnel change, phase transition, or re-verification event occurs.</w:t>
      </w:r>
    </w:p>
    <w:p>
      <w:pPr>
        <w:pStyle w:val="NormalNumberedtext"/>
      </w:pPr>
      <w:r>
        <w:t>The Training Matrix and Competency Register [INSERT: Project Document Number] captures the following for each person on the project:</w:t>
      </w:r>
    </w:p>
    <w:p>
      <w:pPr>
        <w:pStyle w:val="NumberedBulletL1"/>
      </w:pPr>
      <w:r>
        <w:t>Required training and competency by role, as defined by the training needs analysis.</w:t>
      </w:r>
    </w:p>
    <w:p>
      <w:pPr>
        <w:pStyle w:val="NumberedBulletL1"/>
      </w:pPr>
      <w:r>
        <w:t>Completed training, including date, delivery method, and training provider.</w:t>
      </w:r>
    </w:p>
    <w:p>
      <w:pPr>
        <w:pStyle w:val="NumberedBulletL1"/>
      </w:pPr>
      <w:r>
        <w:t>Assessment outcomes, including pass or fail status and assessor identity.</w:t>
      </w:r>
    </w:p>
    <w:p>
      <w:pPr>
        <w:pStyle w:val="NumberedBulletL1"/>
      </w:pPr>
      <w:r>
        <w:t>Authorisation level and the tasks or roles the person is authorised to perform.</w:t>
      </w:r>
    </w:p>
    <w:p>
      <w:pPr>
        <w:pStyle w:val="NumberedBulletL1"/>
      </w:pPr>
      <w:r>
        <w:t>Re-verification due dates for all time-limited competencies and licences.</w:t>
      </w:r>
    </w:p>
    <w:p>
      <w:pPr>
        <w:pStyle w:val="NumberedBulletL1"/>
      </w:pPr>
      <w:r>
        <w:t>SSE status and SSE period end date where applicable.</w:t>
      </w:r>
    </w:p>
    <w:p>
      <w:pPr>
        <w:pStyle w:val="NumberedBulletL1"/>
      </w:pPr>
      <w:r>
        <w:t>VOC status for all VOC-required tasks.</w:t>
      </w:r>
    </w:p>
    <w:p>
      <w:pPr>
        <w:pStyle w:val="NormalNumberedtext"/>
      </w:pPr>
    </w:p>
    <w:p>
      <w:pPr>
        <w:pStyle w:val="Heading2Numbered"/>
        <w:numPr>
          <w:ilvl w:val="1"/>
          <w:numId w:val="1"/>
        </w:numPr>
      </w:pPr>
      <w:r>
        <w:rPr>
          <w:rFonts w:ascii="Arial" w:hAnsi="Arial" w:cs="Arial" w:eastAsia="Arial"/>
        </w:rPr>
        <w:t>Record Retention and Availability</w:t>
      </w:r>
    </w:p>
    <w:p>
      <w:pPr>
        <w:pStyle w:val="NormalNumberedtext"/>
      </w:pPr>
      <w:r>
        <w:t>This section defines how training records are stored, retained, and made available for audit.</w:t>
      </w:r>
    </w:p>
    <w:p>
      <w:pPr>
        <w:pStyle w:val="NormalNumberedtext"/>
      </w:pPr>
      <w:r>
        <w:t>Training records are stored in the project document management system in accordance with [INSERT: Project Document Number]. Retention periods for training records are governed by [INSERT: Project Document Number] and are not repeated in this procedure.</w:t>
      </w:r>
    </w:p>
    <w:p>
      <w:pPr>
        <w:pStyle w:val="NormalNumberedtext"/>
      </w:pPr>
      <w:r>
        <w:t>Training records are made available to the HSESC Manager, the Project Director, and authorised auditors on request. Records remain accessible for the duration of the project and for the retention period defined in [INSERT: Project Document Number] following project closure.</w:t>
      </w:r>
    </w:p>
    <w:p>
      <w:pPr>
        <w:pStyle w:val="NormalNumberedtext"/>
      </w:pPr>
      <w:r>
        <w:rPr>
          <w:b/>
          <w:bCs/>
          <w:color w:val="0059D1"/>
        </w:rPr>
        <w:t>[INSERT: training_record_system] — Insert the name and location of the document management system used to store training records for this project, consistent with RTPR-HSE-PRO-0010.</w:t>
      </w:r>
    </w:p>
    <w:p>
      <w:pPr>
        <w:pStyle w:val="NormalNumberedtext"/>
      </w:pPr>
      <w:r>
        <w:t>Table 6: Training Record Types and Storage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Record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Storage Location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Retention Period Reference</w:t>
            </w:r>
          </w:p>
        </w:tc>
      </w:tr>
      <w:tr>
        <w:tc>
          <w:tcPr>
            <w:tcW w:type="dxa" w:w="2256"/>
          </w:tcPr>
          <w:p>
            <w:pPr>
              <w:pStyle w:val="TableContents"/>
              <w:spacing w:before="0" w:after="0" w:line="240" w:lineRule="atLeast"/>
            </w:pPr>
            <w:r>
              <w:rPr>
                <w:rFonts w:ascii="Arial" w:hAnsi="Arial" w:cs="Arial" w:eastAsia="Arial"/>
                <w:sz w:val="16"/>
                <w:szCs w:val="16"/>
              </w:rPr>
              <w:t>Site induction attendance records</w:t>
            </w:r>
          </w:p>
        </w:tc>
        <w:tc>
          <w:tcPr>
            <w:tcW w:type="dxa" w:w="2256"/>
          </w:tcPr>
          <w:p>
            <w:pPr>
              <w:pStyle w:val="TableContents"/>
              <w:spacing w:before="0" w:after="0" w:line="240" w:lineRule="atLeast"/>
            </w:pPr>
            <w:r>
              <w:rPr>
                <w:rFonts w:ascii="Arial" w:hAnsi="Arial" w:cs="Arial" w:eastAsia="Arial"/>
                <w:sz w:val="16"/>
                <w:szCs w:val="16"/>
              </w:rPr>
              <w:t>{'insert': True, 'field': 'induction_record_location'}</w:t>
            </w:r>
          </w:p>
        </w:tc>
        <w:tc>
          <w:tcPr>
            <w:tcW w:type="dxa" w:w="2256"/>
          </w:tcPr>
          <w:p>
            <w:pPr>
              <w:pStyle w:val="TableContents"/>
              <w:spacing w:before="0" w:after="0" w:line="240" w:lineRule="atLeast"/>
            </w:pPr>
            <w:r>
              <w:rPr>
                <w:rFonts w:ascii="Arial" w:hAnsi="Arial" w:cs="Arial" w:eastAsia="Arial"/>
                <w:sz w:val="16"/>
                <w:szCs w:val="16"/>
              </w:rPr>
              <w:t>Training Coordinator</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Competency assessment records</w:t>
            </w:r>
          </w:p>
        </w:tc>
        <w:tc>
          <w:tcPr>
            <w:tcW w:type="dxa" w:w="2256"/>
          </w:tcPr>
          <w:p>
            <w:pPr>
              <w:pStyle w:val="TableContents"/>
              <w:spacing w:before="0" w:after="0" w:line="240" w:lineRule="atLeast"/>
            </w:pPr>
            <w:r>
              <w:rPr>
                <w:rFonts w:ascii="Arial" w:hAnsi="Arial" w:cs="Arial" w:eastAsia="Arial"/>
                <w:sz w:val="16"/>
                <w:szCs w:val="16"/>
              </w:rPr>
              <w:t>{'insert': True, 'field': 'competency_record_location'}</w:t>
            </w:r>
          </w:p>
        </w:tc>
        <w:tc>
          <w:tcPr>
            <w:tcW w:type="dxa" w:w="2256"/>
          </w:tcPr>
          <w:p>
            <w:pPr>
              <w:pStyle w:val="TableContents"/>
              <w:spacing w:before="0" w:after="0" w:line="240" w:lineRule="atLeast"/>
            </w:pPr>
            <w:r>
              <w:rPr>
                <w:rFonts w:ascii="Arial" w:hAnsi="Arial" w:cs="Arial" w:eastAsia="Arial"/>
                <w:sz w:val="16"/>
                <w:szCs w:val="16"/>
              </w:rPr>
              <w:t>Training Coordinator</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VOC certificates</w:t>
            </w:r>
          </w:p>
        </w:tc>
        <w:tc>
          <w:tcPr>
            <w:tcW w:type="dxa" w:w="2256"/>
          </w:tcPr>
          <w:p>
            <w:pPr>
              <w:pStyle w:val="TableContents"/>
              <w:spacing w:before="0" w:after="0" w:line="240" w:lineRule="atLeast"/>
            </w:pPr>
            <w:r>
              <w:rPr>
                <w:rFonts w:ascii="Arial" w:hAnsi="Arial" w:cs="Arial" w:eastAsia="Arial"/>
                <w:sz w:val="16"/>
                <w:szCs w:val="16"/>
              </w:rPr>
              <w:t>{'insert': True, 'field': 'voc_record_location'}</w:t>
            </w:r>
          </w:p>
        </w:tc>
        <w:tc>
          <w:tcPr>
            <w:tcW w:type="dxa" w:w="2256"/>
          </w:tcPr>
          <w:p>
            <w:pPr>
              <w:pStyle w:val="TableContents"/>
              <w:spacing w:before="0" w:after="0" w:line="240" w:lineRule="atLeast"/>
            </w:pPr>
            <w:r>
              <w:rPr>
                <w:rFonts w:ascii="Arial" w:hAnsi="Arial" w:cs="Arial" w:eastAsia="Arial"/>
                <w:sz w:val="16"/>
                <w:szCs w:val="16"/>
              </w:rPr>
              <w:t>Training Coordinator</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SSE monitoring records</w:t>
            </w:r>
          </w:p>
        </w:tc>
        <w:tc>
          <w:tcPr>
            <w:tcW w:type="dxa" w:w="2256"/>
          </w:tcPr>
          <w:p>
            <w:pPr>
              <w:pStyle w:val="TableContents"/>
              <w:spacing w:before="0" w:after="0" w:line="240" w:lineRule="atLeast"/>
            </w:pPr>
            <w:r>
              <w:rPr>
                <w:rFonts w:ascii="Arial" w:hAnsi="Arial" w:cs="Arial" w:eastAsia="Arial"/>
                <w:sz w:val="16"/>
                <w:szCs w:val="16"/>
              </w:rPr>
              <w:t>{'insert': True, 'field': 'sse_record_location'}</w:t>
            </w:r>
          </w:p>
        </w:tc>
        <w:tc>
          <w:tcPr>
            <w:tcW w:type="dxa" w:w="2256"/>
          </w:tcPr>
          <w:p>
            <w:pPr>
              <w:pStyle w:val="TableContents"/>
              <w:spacing w:before="0" w:after="0" w:line="240" w:lineRule="atLeast"/>
            </w:pPr>
            <w:r>
              <w:rPr>
                <w:rFonts w:ascii="Arial" w:hAnsi="Arial" w:cs="Arial" w:eastAsia="Arial"/>
                <w:sz w:val="16"/>
                <w:szCs w:val="16"/>
              </w:rPr>
              <w:t>Training Coordinator</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Field supervisor development records</w:t>
            </w:r>
          </w:p>
        </w:tc>
        <w:tc>
          <w:tcPr>
            <w:tcW w:type="dxa" w:w="2256"/>
          </w:tcPr>
          <w:p>
            <w:pPr>
              <w:pStyle w:val="TableContents"/>
              <w:spacing w:before="0" w:after="0" w:line="240" w:lineRule="atLeast"/>
            </w:pPr>
            <w:r>
              <w:rPr>
                <w:rFonts w:ascii="Arial" w:hAnsi="Arial" w:cs="Arial" w:eastAsia="Arial"/>
                <w:sz w:val="16"/>
                <w:szCs w:val="16"/>
              </w:rPr>
              <w:t>{'insert': True, 'field': 'supervisor_record_location'}</w:t>
            </w:r>
          </w:p>
        </w:tc>
        <w:tc>
          <w:tcPr>
            <w:tcW w:type="dxa" w:w="2256"/>
          </w:tcPr>
          <w:p>
            <w:pPr>
              <w:pStyle w:val="TableContents"/>
              <w:spacing w:before="0" w:after="0" w:line="240" w:lineRule="atLeast"/>
            </w:pPr>
            <w:r>
              <w:rPr>
                <w:rFonts w:ascii="Arial" w:hAnsi="Arial" w:cs="Arial" w:eastAsia="Arial"/>
                <w:sz w:val="16"/>
                <w:szCs w:val="16"/>
              </w:rPr>
              <w:t>Training Coordinator</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Visitor orientation records</w:t>
            </w:r>
          </w:p>
        </w:tc>
        <w:tc>
          <w:tcPr>
            <w:tcW w:type="dxa" w:w="2256"/>
          </w:tcPr>
          <w:p>
            <w:pPr>
              <w:pStyle w:val="TableContents"/>
              <w:spacing w:before="0" w:after="0" w:line="240" w:lineRule="atLeast"/>
            </w:pPr>
            <w:r>
              <w:rPr>
                <w:rFonts w:ascii="Arial" w:hAnsi="Arial" w:cs="Arial" w:eastAsia="Arial"/>
                <w:sz w:val="16"/>
                <w:szCs w:val="16"/>
              </w:rPr>
              <w:t>{'insert': True, 'field': 'visitor_record_location'}</w:t>
            </w:r>
          </w:p>
        </w:tc>
        <w:tc>
          <w:tcPr>
            <w:tcW w:type="dxa" w:w="2256"/>
          </w:tcPr>
          <w:p>
            <w:pPr>
              <w:pStyle w:val="TableContents"/>
              <w:spacing w:before="0" w:after="0" w:line="240" w:lineRule="atLeast"/>
            </w:pPr>
            <w:r>
              <w:rPr>
                <w:rFonts w:ascii="Arial" w:hAnsi="Arial" w:cs="Arial" w:eastAsia="Arial"/>
                <w:sz w:val="16"/>
                <w:szCs w:val="16"/>
              </w:rPr>
              <w:t>{'insert': True, 'field': 'visitor_record_role'}</w:t>
            </w:r>
          </w:p>
        </w:tc>
        <w:tc>
          <w:tcPr>
            <w:tcW w:type="dxa" w:w="2258"/>
          </w:tcPr>
          <w:p>
            <w:pPr>
              <w:pStyle w:val="TableContents"/>
              <w:spacing w:before="0" w:after="0" w:line="240" w:lineRule="atLeast"/>
            </w:pPr>
            <w:r>
              <w:rPr>
                <w:rFonts w:ascii="Arial" w:hAnsi="Arial" w:cs="Arial" w:eastAsia="Arial"/>
                <w:b/>
                <w:bCs/>
                <w:color w:val="0059D1"/>
                <w:sz w:val="16"/>
                <w:szCs w:val="16"/>
              </w:rPr>
              <w:t>[INSERT: Project Document Number]</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TNA</w:t>
            </w:r>
          </w:p>
        </w:tc>
        <w:tc>
          <w:tcPr>
            <w:tcW w:type="dxa" w:w="4889"/>
          </w:tcPr>
          <w:p>
            <w:pPr>
              <w:pStyle w:val="TableContents"/>
              <w:spacing w:before="0" w:after="0" w:line="240" w:lineRule="atLeast"/>
            </w:pPr>
            <w:r>
              <w:rPr>
                <w:rFonts w:ascii="Arial" w:hAnsi="Arial" w:cs="Arial" w:eastAsia="Arial"/>
                <w:sz w:val="16"/>
                <w:szCs w:val="16"/>
              </w:rPr>
              <w:t>Training Needs Analysis - a systematic process of identifying the gap between current and required knowledge, skills and behaviours for personnel performing defined roles on the project.</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integrated discipline covering occupational health, safety risk management and environmental protection obligations applicable to all project activities.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expanded discipline framework used on Rio Tinto owner-led projects to encompass health, safety, environment and social performance requirements.</w:t>
            </w:r>
          </w:p>
        </w:tc>
      </w:tr>
      <w:tr>
        <w:tc>
          <w:tcPr>
            <w:tcW w:type="dxa" w:w="4888"/>
          </w:tcPr>
          <w:p>
            <w:pPr>
              <w:pStyle w:val="TableContents"/>
              <w:spacing w:before="0" w:after="0" w:line="240" w:lineRule="atLeast"/>
            </w:pPr>
            <w:r>
              <w:rPr>
                <w:rFonts w:ascii="Arial" w:hAnsi="Arial" w:cs="Arial" w:eastAsia="Arial"/>
                <w:sz w:val="16"/>
                <w:szCs w:val="16"/>
              </w:rPr>
              <w:t>SSE</w:t>
            </w:r>
          </w:p>
        </w:tc>
        <w:tc>
          <w:tcPr>
            <w:tcW w:type="dxa" w:w="4889"/>
          </w:tcPr>
          <w:p>
            <w:pPr>
              <w:pStyle w:val="TableContents"/>
              <w:spacing w:before="0" w:after="0" w:line="240" w:lineRule="atLeast"/>
            </w:pPr>
            <w:r>
              <w:rPr>
                <w:rFonts w:ascii="Arial" w:hAnsi="Arial" w:cs="Arial" w:eastAsia="Arial"/>
                <w:sz w:val="16"/>
                <w:szCs w:val="16"/>
              </w:rPr>
              <w:t>Short Service Employee - a worker who has less than six months of experience in the current role, task environment or industry sector, and who is subject to enhanced supervision and mentoring requirements.</w:t>
            </w:r>
          </w:p>
        </w:tc>
      </w:tr>
      <w:tr>
        <w:tc>
          <w:tcPr>
            <w:tcW w:type="dxa" w:w="4888"/>
          </w:tcPr>
          <w:p>
            <w:pPr>
              <w:pStyle w:val="TableContents"/>
              <w:spacing w:before="0" w:after="0" w:line="240" w:lineRule="atLeast"/>
            </w:pPr>
            <w:r>
              <w:rPr>
                <w:rFonts w:ascii="Arial" w:hAnsi="Arial" w:cs="Arial" w:eastAsia="Arial"/>
                <w:sz w:val="16"/>
                <w:szCs w:val="16"/>
              </w:rPr>
              <w:t>SSEP</w:t>
            </w:r>
          </w:p>
        </w:tc>
        <w:tc>
          <w:tcPr>
            <w:tcW w:type="dxa" w:w="4889"/>
          </w:tcPr>
          <w:p>
            <w:pPr>
              <w:pStyle w:val="TableContents"/>
              <w:spacing w:before="0" w:after="0" w:line="240" w:lineRule="atLeast"/>
            </w:pPr>
            <w:r>
              <w:rPr>
                <w:rFonts w:ascii="Arial" w:hAnsi="Arial" w:cs="Arial" w:eastAsia="Arial"/>
                <w:sz w:val="16"/>
                <w:szCs w:val="16"/>
              </w:rPr>
              <w:t>Short Service Employee Programme - the structured risk-control programme defining identification, supervision ratios, mentoring, restrictions and monitoring requirements applicable to Short Service Employees.</w:t>
            </w:r>
          </w:p>
        </w:tc>
      </w:tr>
      <w:tr>
        <w:tc>
          <w:tcPr>
            <w:tcW w:type="dxa" w:w="4888"/>
          </w:tcPr>
          <w:p>
            <w:pPr>
              <w:pStyle w:val="TableContents"/>
              <w:spacing w:before="0" w:after="0" w:line="240" w:lineRule="atLeast"/>
            </w:pPr>
            <w:r>
              <w:rPr>
                <w:rFonts w:ascii="Arial" w:hAnsi="Arial" w:cs="Arial" w:eastAsia="Arial"/>
                <w:sz w:val="16"/>
                <w:szCs w:val="16"/>
              </w:rPr>
              <w:t>FSD</w:t>
            </w:r>
          </w:p>
        </w:tc>
        <w:tc>
          <w:tcPr>
            <w:tcW w:type="dxa" w:w="4889"/>
          </w:tcPr>
          <w:p>
            <w:pPr>
              <w:pStyle w:val="TableContents"/>
              <w:spacing w:before="0" w:after="0" w:line="240" w:lineRule="atLeast"/>
            </w:pPr>
            <w:r>
              <w:rPr>
                <w:rFonts w:ascii="Arial" w:hAnsi="Arial" w:cs="Arial" w:eastAsia="Arial"/>
                <w:sz w:val="16"/>
                <w:szCs w:val="16"/>
              </w:rPr>
              <w:t>Field Supervisor Development - the targeted competency development pathway designed to build and verify the leadership, technical and HSESC capabilities of frontline supervisors overseeing field operations.</w:t>
            </w:r>
          </w:p>
        </w:tc>
      </w:tr>
      <w:tr>
        <w:tc>
          <w:tcPr>
            <w:tcW w:type="dxa" w:w="4888"/>
          </w:tcPr>
          <w:p>
            <w:pPr>
              <w:pStyle w:val="TableContents"/>
              <w:spacing w:before="0" w:after="0" w:line="240" w:lineRule="atLeast"/>
            </w:pPr>
            <w:r>
              <w:rPr>
                <w:rFonts w:ascii="Arial" w:hAnsi="Arial" w:cs="Arial" w:eastAsia="Arial"/>
                <w:sz w:val="16"/>
                <w:szCs w:val="16"/>
              </w:rPr>
              <w:t>CA</w:t>
            </w:r>
          </w:p>
        </w:tc>
        <w:tc>
          <w:tcPr>
            <w:tcW w:type="dxa" w:w="4889"/>
          </w:tcPr>
          <w:p>
            <w:pPr>
              <w:pStyle w:val="TableContents"/>
              <w:spacing w:before="0" w:after="0" w:line="240" w:lineRule="atLeast"/>
            </w:pPr>
            <w:r>
              <w:rPr>
                <w:rFonts w:ascii="Arial" w:hAnsi="Arial" w:cs="Arial" w:eastAsia="Arial"/>
                <w:sz w:val="16"/>
                <w:szCs w:val="16"/>
              </w:rPr>
              <w:t>Competency Assurance - the systematic process of defining, assessing, verifying and recording that personnel possess and maintain the knowledge, skills and behaviours required to perform their roles safely and effectively.</w:t>
            </w:r>
          </w:p>
        </w:tc>
      </w:tr>
      <w:tr>
        <w:tc>
          <w:tcPr>
            <w:tcW w:type="dxa" w:w="4888"/>
          </w:tcPr>
          <w:p>
            <w:pPr>
              <w:pStyle w:val="TableContents"/>
              <w:spacing w:before="0" w:after="0" w:line="240" w:lineRule="atLeast"/>
            </w:pPr>
            <w:r>
              <w:rPr>
                <w:rFonts w:ascii="Arial" w:hAnsi="Arial" w:cs="Arial" w:eastAsia="Arial"/>
                <w:sz w:val="16"/>
                <w:szCs w:val="16"/>
              </w:rPr>
              <w:t>CAP</w:t>
            </w:r>
          </w:p>
        </w:tc>
        <w:tc>
          <w:tcPr>
            <w:tcW w:type="dxa" w:w="4889"/>
          </w:tcPr>
          <w:p>
            <w:pPr>
              <w:pStyle w:val="TableContents"/>
              <w:spacing w:before="0" w:after="0" w:line="240" w:lineRule="atLeast"/>
            </w:pPr>
            <w:r>
              <w:rPr>
                <w:rFonts w:ascii="Arial" w:hAnsi="Arial" w:cs="Arial" w:eastAsia="Arial"/>
                <w:sz w:val="16"/>
                <w:szCs w:val="16"/>
              </w:rPr>
              <w:t>Competency Assurance Plan - the project-level documented plan specifying the roles, competency standards, assessment methods, assessors, frequencies and gap-closure actions applicable to the competency assurance process.</w:t>
            </w:r>
          </w:p>
        </w:tc>
      </w:tr>
      <w:tr>
        <w:tc>
          <w:tcPr>
            <w:tcW w:type="dxa" w:w="4888"/>
          </w:tcPr>
          <w:p>
            <w:pPr>
              <w:pStyle w:val="TableContents"/>
              <w:spacing w:before="0" w:after="0" w:line="240" w:lineRule="atLeast"/>
            </w:pPr>
            <w:r>
              <w:rPr>
                <w:rFonts w:ascii="Arial" w:hAnsi="Arial" w:cs="Arial" w:eastAsia="Arial"/>
                <w:sz w:val="16"/>
                <w:szCs w:val="16"/>
              </w:rPr>
              <w:t>OJT</w:t>
            </w:r>
          </w:p>
        </w:tc>
        <w:tc>
          <w:tcPr>
            <w:tcW w:type="dxa" w:w="4889"/>
          </w:tcPr>
          <w:p>
            <w:pPr>
              <w:pStyle w:val="TableContents"/>
              <w:spacing w:before="0" w:after="0" w:line="240" w:lineRule="atLeast"/>
            </w:pPr>
            <w:r>
              <w:rPr>
                <w:rFonts w:ascii="Arial" w:hAnsi="Arial" w:cs="Arial" w:eastAsia="Arial"/>
                <w:sz w:val="16"/>
                <w:szCs w:val="16"/>
              </w:rPr>
              <w:t>On-the-Job Training - structured workplace-based learning in which a worker acquires or demonstrates competency by performing tasks under the direct observation and guidance of a qualified assessor or supervisor.</w:t>
            </w:r>
          </w:p>
        </w:tc>
      </w:tr>
      <w:tr>
        <w:tc>
          <w:tcPr>
            <w:tcW w:type="dxa" w:w="4888"/>
          </w:tcPr>
          <w:p>
            <w:pPr>
              <w:pStyle w:val="TableContents"/>
              <w:spacing w:before="0" w:after="0" w:line="240" w:lineRule="atLeast"/>
            </w:pPr>
            <w:r>
              <w:rPr>
                <w:rFonts w:ascii="Arial" w:hAnsi="Arial" w:cs="Arial" w:eastAsia="Arial"/>
                <w:sz w:val="16"/>
                <w:szCs w:val="16"/>
              </w:rPr>
              <w:t>LMS</w:t>
            </w:r>
          </w:p>
        </w:tc>
        <w:tc>
          <w:tcPr>
            <w:tcW w:type="dxa" w:w="4889"/>
          </w:tcPr>
          <w:p>
            <w:pPr>
              <w:pStyle w:val="TableContents"/>
              <w:spacing w:before="0" w:after="0" w:line="240" w:lineRule="atLeast"/>
            </w:pPr>
            <w:r>
              <w:rPr>
                <w:rFonts w:ascii="Arial" w:hAnsi="Arial" w:cs="Arial" w:eastAsia="Arial"/>
                <w:sz w:val="16"/>
                <w:szCs w:val="16"/>
              </w:rPr>
              <w:t>Learning Management System - the electronic platform used to schedule, deliver, track and report training activities and competency records for project personnel.</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governance requirements apply to all owner-led project activities covered by this procedure.</w:t>
            </w:r>
          </w:p>
        </w:tc>
      </w:tr>
      <w:tr>
        <w:tc>
          <w:tcPr>
            <w:tcW w:type="dxa" w:w="4888"/>
          </w:tcPr>
          <w:p>
            <w:pPr>
              <w:pStyle w:val="TableContents"/>
              <w:spacing w:before="0" w:after="0" w:line="240" w:lineRule="atLeast"/>
            </w:pPr>
            <w:r>
              <w:rPr>
                <w:rFonts w:ascii="Arial" w:hAnsi="Arial" w:cs="Arial" w:eastAsia="Arial"/>
                <w:sz w:val="16"/>
                <w:szCs w:val="16"/>
              </w:rPr>
              <w:t>RMS</w:t>
            </w:r>
          </w:p>
        </w:tc>
        <w:tc>
          <w:tcPr>
            <w:tcW w:type="dxa" w:w="4889"/>
          </w:tcPr>
          <w:p>
            <w:pPr>
              <w:pStyle w:val="TableContents"/>
              <w:spacing w:before="0" w:after="0" w:line="240" w:lineRule="atLeast"/>
            </w:pPr>
            <w:r>
              <w:rPr>
                <w:rFonts w:ascii="Arial" w:hAnsi="Arial" w:cs="Arial" w:eastAsia="Arial"/>
                <w:sz w:val="16"/>
                <w:szCs w:val="16"/>
              </w:rPr>
              <w:t>Risk Management Standard - the Rio Tinto corporate standard that defines the minimum requirements for identifying, assessing, controlling and monitoring risk, including requirements for competency of personnel performing safety-critical tasks.</w:t>
            </w:r>
          </w:p>
        </w:tc>
      </w:tr>
      <w:tr>
        <w:tc>
          <w:tcPr>
            <w:tcW w:type="dxa" w:w="4888"/>
          </w:tcPr>
          <w:p>
            <w:pPr>
              <w:pStyle w:val="TableContents"/>
              <w:spacing w:before="0" w:after="0" w:line="240" w:lineRule="atLeast"/>
            </w:pPr>
            <w:r>
              <w:rPr>
                <w:rFonts w:ascii="Arial" w:hAnsi="Arial" w:cs="Arial" w:eastAsia="Arial"/>
                <w:sz w:val="16"/>
                <w:szCs w:val="16"/>
              </w:rPr>
              <w:t>PMOC</w:t>
            </w:r>
          </w:p>
        </w:tc>
        <w:tc>
          <w:tcPr>
            <w:tcW w:type="dxa" w:w="4889"/>
          </w:tcPr>
          <w:p>
            <w:pPr>
              <w:pStyle w:val="TableContents"/>
              <w:spacing w:before="0" w:after="0" w:line="240" w:lineRule="atLeast"/>
            </w:pPr>
            <w:r>
              <w:rPr>
                <w:rFonts w:ascii="Arial" w:hAnsi="Arial" w:cs="Arial" w:eastAsia="Arial"/>
                <w:sz w:val="16"/>
                <w:szCs w:val="16"/>
              </w:rPr>
              <w:t>Project Management of Change - the formal process used to identify, assess, approve and communicate changes to project scope, personnel, methods or equipment, including re-evaluation of training and competency requirements resulting from the change.</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person to minimise exposure to hazards that could cause injury or illness; training in correct selection, use, inspection and storage of PPE is a mandatory element of site induction.</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Individual Training Plan - a documented plan prepared for each worker or role-type that records required training, current status, completion dates and scheduled renewal dates.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measure used to evaluate the effectiveness and compliance of the training and competency programme against defined targets and schedule.</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 person with demonstrated specialist knowledge, qualification or experience in a specific technical, operational or HSESC discipline who is authorised to develop or deliver training content or conduct competency assessments within that discipline.</w:t>
            </w:r>
          </w:p>
        </w:tc>
      </w:tr>
      <w:tr>
        <w:tc>
          <w:tcPr>
            <w:tcW w:type="dxa" w:w="4888"/>
          </w:tcPr>
          <w:p>
            <w:pPr>
              <w:pStyle w:val="TableContents"/>
              <w:spacing w:before="0" w:after="0" w:line="240" w:lineRule="atLeast"/>
            </w:pPr>
            <w:r>
              <w:rPr>
                <w:rFonts w:ascii="Arial" w:hAnsi="Arial" w:cs="Arial" w:eastAsia="Arial"/>
                <w:sz w:val="16"/>
                <w:szCs w:val="16"/>
              </w:rPr>
              <w:t>CPD</w:t>
            </w:r>
          </w:p>
        </w:tc>
        <w:tc>
          <w:tcPr>
            <w:tcW w:type="dxa" w:w="4889"/>
          </w:tcPr>
          <w:p>
            <w:pPr>
              <w:pStyle w:val="TableContents"/>
              <w:spacing w:before="0" w:after="0" w:line="240" w:lineRule="atLeast"/>
            </w:pPr>
            <w:r>
              <w:rPr>
                <w:rFonts w:ascii="Arial" w:hAnsi="Arial" w:cs="Arial" w:eastAsia="Arial"/>
                <w:sz w:val="16"/>
                <w:szCs w:val="16"/>
              </w:rPr>
              <w:t>Continuing Professional Development - the ongoing structured learning activities undertaken by personnel to maintain, update and expand their knowledge, skills and competencies throughout their engagement on the project.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prefix designation used to identify procedures, plans and documents that are specific to the Rio Tinto owner-led project management system, as distinct from contractor or third-party documentation.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RMS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Competency Requirements for Safety-Critical Tasks</w:t>
            </w:r>
          </w:p>
        </w:tc>
        <w:tc>
          <w:tcPr>
            <w:tcW w:type="dxa" w:w="3259"/>
          </w:tcPr>
          <w:p>
            <w:pPr>
              <w:pStyle w:val="TableContents"/>
              <w:spacing w:before="0" w:after="0" w:line="240" w:lineRule="atLeast"/>
            </w:pPr>
            <w:r>
              <w:rPr>
                <w:rFonts w:ascii="Arial" w:hAnsi="Arial" w:cs="Arial" w:eastAsia="Arial"/>
                <w:sz w:val="16"/>
                <w:szCs w:val="16"/>
              </w:rPr>
              <w:t>RT RMS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Organisational Resources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Records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 45001:2018 -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14001:2015 - 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Competency Assurance Framework</w:t>
            </w:r>
          </w:p>
        </w:tc>
        <w:tc>
          <w:tcPr>
            <w:tcW w:type="dxa" w:w="3259"/>
          </w:tcPr>
          <w:p>
            <w:pPr>
              <w:pStyle w:val="TableContents"/>
              <w:spacing w:before="0" w:after="0" w:line="240" w:lineRule="atLeast"/>
            </w:pPr>
            <w:r>
              <w:rPr>
                <w:rFonts w:ascii="Arial" w:hAnsi="Arial" w:cs="Arial" w:eastAsia="Arial"/>
                <w:sz w:val="16"/>
                <w:szCs w:val="16"/>
              </w:rPr>
              <w:t>RT CAF</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Short Service Employee Standard</w:t>
            </w:r>
          </w:p>
        </w:tc>
        <w:tc>
          <w:tcPr>
            <w:tcW w:type="dxa" w:w="3259"/>
          </w:tcPr>
          <w:p>
            <w:pPr>
              <w:pStyle w:val="TableContents"/>
              <w:spacing w:before="0" w:after="0" w:line="240" w:lineRule="atLeast"/>
            </w:pPr>
            <w:r>
              <w:rPr>
                <w:rFonts w:ascii="Arial" w:hAnsi="Arial" w:cs="Arial" w:eastAsia="Arial"/>
                <w:sz w:val="16"/>
                <w:szCs w:val="16"/>
              </w:rPr>
              <w:t>RT SSE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Critical Risk Management Programme</w:t>
            </w:r>
          </w:p>
        </w:tc>
        <w:tc>
          <w:tcPr>
            <w:tcW w:type="dxa" w:w="3259"/>
          </w:tcPr>
          <w:p>
            <w:pPr>
              <w:pStyle w:val="TableContents"/>
              <w:spacing w:before="0" w:after="0" w:line="240" w:lineRule="atLeast"/>
            </w:pPr>
            <w:r>
              <w:rPr>
                <w:rFonts w:ascii="Arial" w:hAnsi="Arial" w:cs="Arial" w:eastAsia="Arial"/>
                <w:sz w:val="16"/>
                <w:szCs w:val="16"/>
              </w:rPr>
              <w:t>RT CRMP</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§29.2</w:t>
            </w:r>
          </w:p>
        </w:tc>
        <w:tc>
          <w:tcPr>
            <w:tcW w:type="dxa" w:w="2256"/>
          </w:tcPr>
          <w:p>
            <w:pPr>
              <w:pStyle w:val="TableContents"/>
              <w:spacing w:before="0" w:after="0" w:line="240" w:lineRule="atLeast"/>
            </w:pPr>
            <w:r>
              <w:rPr>
                <w:rFonts w:ascii="Arial" w:hAnsi="Arial" w:cs="Arial" w:eastAsia="Arial"/>
                <w:sz w:val="16"/>
                <w:szCs w:val="16"/>
              </w:rPr>
              <w:t>Requires a training needs analysis for all roles before commencement of work and a training programme available within 30 days of the Effective Date, with materials matching workforce language and literacy levels.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§20</w:t>
            </w:r>
          </w:p>
        </w:tc>
        <w:tc>
          <w:tcPr>
            <w:tcW w:type="dxa" w:w="2256"/>
          </w:tcPr>
          <w:p>
            <w:pPr>
              <w:pStyle w:val="TableContents"/>
              <w:spacing w:before="0" w:after="0" w:line="240" w:lineRule="atLeast"/>
            </w:pPr>
            <w:r>
              <w:rPr>
                <w:rFonts w:ascii="Arial" w:hAnsi="Arial" w:cs="Arial" w:eastAsia="Arial"/>
                <w:sz w:val="16"/>
                <w:szCs w:val="16"/>
              </w:rPr>
              <w:t>Requires training to address the specific measures and actions required under the project management system, including the methods needed to implement those actions competently.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PS2 GN§80</w:t>
            </w:r>
          </w:p>
        </w:tc>
        <w:tc>
          <w:tcPr>
            <w:tcW w:type="dxa" w:w="2256"/>
          </w:tcPr>
          <w:p>
            <w:pPr>
              <w:pStyle w:val="TableContents"/>
              <w:spacing w:before="0" w:after="0" w:line="240" w:lineRule="atLeast"/>
            </w:pPr>
            <w:r>
              <w:rPr>
                <w:rFonts w:ascii="Arial" w:hAnsi="Arial" w:cs="Arial" w:eastAsia="Arial"/>
                <w:sz w:val="16"/>
                <w:szCs w:val="16"/>
              </w:rPr>
              <w:t>Requires OHS training for all workers on relevant aspects of their daily work including emergency arrangements, briefings for visitors, targeted training for workers new to specific hazards, and retention of training records for audit purposes.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5.2</w:t>
            </w:r>
          </w:p>
        </w:tc>
        <w:tc>
          <w:tcPr>
            <w:tcW w:type="dxa" w:w="2256"/>
          </w:tcPr>
          <w:p>
            <w:pPr>
              <w:pStyle w:val="TableContents"/>
              <w:spacing w:before="0" w:after="0" w:line="240" w:lineRule="atLeast"/>
            </w:pPr>
            <w:r>
              <w:rPr>
                <w:rFonts w:ascii="Arial" w:hAnsi="Arial" w:cs="Arial" w:eastAsia="Arial"/>
                <w:sz w:val="16"/>
                <w:szCs w:val="16"/>
              </w:rPr>
              <w:t>Requires workers to be trained in accordance with their responsibilities for physical and psychological health and safety, and implementation of health surveillance and risk-based monitoring programmes based on occupational exposures.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SH4</w:t>
            </w:r>
          </w:p>
        </w:tc>
        <w:tc>
          <w:tcPr>
            <w:tcW w:type="dxa" w:w="2256"/>
          </w:tcPr>
          <w:p>
            <w:pPr>
              <w:pStyle w:val="TableContents"/>
              <w:spacing w:before="0" w:after="0" w:line="240" w:lineRule="atLeast"/>
            </w:pPr>
            <w:r>
              <w:rPr>
                <w:rFonts w:ascii="Arial" w:hAnsi="Arial" w:cs="Arial" w:eastAsia="Arial"/>
                <w:sz w:val="16"/>
                <w:szCs w:val="16"/>
              </w:rPr>
              <w:t>Requires risk-based training for all employees, contractors, and visitors, ongoing awareness activities including psychological safety and respectful workplace conduct, and supervisor training to model safe behaviour and identify psychosocial hazards.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§29.3</w:t>
            </w:r>
          </w:p>
        </w:tc>
        <w:tc>
          <w:tcPr>
            <w:tcW w:type="dxa" w:w="2256"/>
          </w:tcPr>
          <w:p>
            <w:pPr>
              <w:pStyle w:val="TableContents"/>
              <w:spacing w:before="0" w:after="0" w:line="240" w:lineRule="atLeast"/>
            </w:pPr>
            <w:r>
              <w:rPr>
                <w:rFonts w:ascii="Arial" w:hAnsi="Arial" w:cs="Arial" w:eastAsia="Arial"/>
                <w:sz w:val="16"/>
                <w:szCs w:val="16"/>
              </w:rPr>
              <w:t>Requires a defined competency development, assessment, re-verification and assurance process, VOC by an independent registered training organisation where available, and formal documentation of competency linked to authorisation for high-risk tasks.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RP 2016 - Education and Training</w:t>
            </w:r>
          </w:p>
        </w:tc>
        <w:tc>
          <w:tcPr>
            <w:tcW w:type="dxa" w:w="2256"/>
          </w:tcPr>
          <w:p>
            <w:pPr>
              <w:pStyle w:val="TableContents"/>
              <w:spacing w:before="0" w:after="0" w:line="240" w:lineRule="atLeast"/>
            </w:pPr>
            <w:r>
              <w:rPr>
                <w:rFonts w:ascii="Arial" w:hAnsi="Arial" w:cs="Arial" w:eastAsia="Arial"/>
                <w:sz w:val="16"/>
                <w:szCs w:val="16"/>
              </w:rPr>
              <w:t>Requires verification of training outcomes rather than attendance alone, to ensure personnel can demonstrate understanding and application of safe work practices before authorisation.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§29.6</w:t>
            </w:r>
          </w:p>
        </w:tc>
        <w:tc>
          <w:tcPr>
            <w:tcW w:type="dxa" w:w="2256"/>
          </w:tcPr>
          <w:p>
            <w:pPr>
              <w:pStyle w:val="TableContents"/>
              <w:spacing w:before="0" w:after="0" w:line="240" w:lineRule="atLeast"/>
            </w:pPr>
            <w:r>
              <w:rPr>
                <w:rFonts w:ascii="Arial" w:hAnsi="Arial" w:cs="Arial" w:eastAsia="Arial"/>
                <w:sz w:val="16"/>
                <w:szCs w:val="16"/>
              </w:rPr>
              <w:t>Requires site-specific induction before commencing work, tailored inductions at each project phase transition, and induction content covering community, cultural, and heritage context.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PS7 §12</w:t>
            </w:r>
          </w:p>
        </w:tc>
        <w:tc>
          <w:tcPr>
            <w:tcW w:type="dxa" w:w="2256"/>
          </w:tcPr>
          <w:p>
            <w:pPr>
              <w:pStyle w:val="TableContents"/>
              <w:spacing w:before="0" w:after="0" w:line="240" w:lineRule="atLeast"/>
            </w:pPr>
            <w:r>
              <w:rPr>
                <w:rFonts w:ascii="Arial" w:hAnsi="Arial" w:cs="Arial" w:eastAsia="Arial"/>
                <w:sz w:val="16"/>
                <w:szCs w:val="16"/>
              </w:rPr>
              <w:t>Where Indigenous Peoples are present, requires cultural awareness training content to be developed in collaboration with those communities and delivered to all personnel who interact with or make decisions affecting Indigenous Peoples.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§29.7</w:t>
            </w:r>
          </w:p>
        </w:tc>
        <w:tc>
          <w:tcPr>
            <w:tcW w:type="dxa" w:w="2256"/>
          </w:tcPr>
          <w:p>
            <w:pPr>
              <w:pStyle w:val="TableContents"/>
              <w:spacing w:before="0" w:after="0" w:line="240" w:lineRule="atLeast"/>
            </w:pPr>
            <w:r>
              <w:rPr>
                <w:rFonts w:ascii="Arial" w:hAnsi="Arial" w:cs="Arial" w:eastAsia="Arial"/>
                <w:sz w:val="16"/>
                <w:szCs w:val="16"/>
              </w:rPr>
              <w:t>Requires a Short Service Employee programme for personnel with less than three months experience in the same job type, including visual identification, assigned mentors, close supervision, tailored training, and a monitoring and reporting framework.</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§29.4 and C-6</w:t>
            </w:r>
          </w:p>
        </w:tc>
        <w:tc>
          <w:tcPr>
            <w:tcW w:type="dxa" w:w="2256"/>
          </w:tcPr>
          <w:p>
            <w:pPr>
              <w:pStyle w:val="TableContents"/>
              <w:spacing w:before="0" w:after="0" w:line="240" w:lineRule="atLeast"/>
            </w:pPr>
            <w:r>
              <w:rPr>
                <w:rFonts w:ascii="Arial" w:hAnsi="Arial" w:cs="Arial" w:eastAsia="Arial"/>
                <w:sz w:val="16"/>
                <w:szCs w:val="16"/>
              </w:rPr>
              <w:t>Requires a field supervisor training and mentoring programme addressing HSESC leadership skills, Leadership in Field principles, and cultural and regional challenges.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Management &amp; Compliance Standard</w:t>
            </w:r>
          </w:p>
        </w:tc>
        <w:tc>
          <w:tcPr>
            <w:tcW w:type="dxa" w:w="2256"/>
          </w:tcPr>
          <w:p>
            <w:pPr>
              <w:pStyle w:val="TableContents"/>
              <w:spacing w:before="0" w:after="0" w:line="240" w:lineRule="atLeast"/>
            </w:pPr>
            <w:r>
              <w:rPr>
                <w:rFonts w:ascii="Arial" w:hAnsi="Arial" w:cs="Arial" w:eastAsia="Arial"/>
                <w:sz w:val="16"/>
                <w:szCs w:val="16"/>
              </w:rPr>
              <w:t>Requires maintenance of a Training Matrix and Competency Register for all personnel capturing required training, completed training, assessment outcomes, authorisation levels, and re-verification due dates.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