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Radiation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Radiation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identifying, assessing, and controlling radiation hazards including ionising radiation (X-ray, gamma, beta, alpha, neutron) and non-ionising radiation (UV, laser, radiofrequency, microwave) in the project environment.</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radiation control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radiation control domains within scope, and the requirements that apply from project mobilisation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radiation control requirements it establishes for the project.</w:t>
      </w:r>
    </w:p>
    <w:p>
      <w:pPr>
        <w:pStyle w:val="NormalNumberedtext"/>
      </w:pPr>
      <w:r>
        <w:t>This procedure meets the following purpose requirements:</w:t>
      </w:r>
    </w:p>
    <w:p>
      <w:pPr>
        <w:pStyle w:val="NormalNumberedtext"/>
      </w:pPr>
      <w:r>
        <w:t>This procedure establishes the radiation control requirements for all project activities involving ionising and non-ionising radiation sources, and supports compliance with applicable national legislation and Rio Tinto Group standards. It applies to all personnel on the project, including Rio Tinto staff and all contractor organisations.</w:t>
      </w:r>
    </w:p>
    <w:p>
      <w:pPr>
        <w:pStyle w:val="NormalNumberedtext"/>
      </w:pPr>
      <w:r>
        <w:t>This procedure operationalises the radiation source identification, registration, dose monitoring, restricted zone, and emergency response requirements into a documented, project-specific process. Radiation risk assessment is conducted under [INSERT: Project Document Number]. Licence requirements are governed by [INSERT: Project Document Number]. Radiation work is controlled through the permit to work system under [INSERT: Project Document Number].</w:t>
      </w:r>
    </w:p>
    <w:p>
      <w:pPr>
        <w:pStyle w:val="NormalNumberedtext"/>
      </w:pPr>
      <w:r>
        <w:t>This procedure applies from the point the project mobilises radiation-emitting equipment to site and remains in effect until project handover or closure.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radiation sources, personnel categories, and project phases are governed by this procedure.</w:t>
      </w:r>
    </w:p>
    <w:p>
      <w:pPr>
        <w:pStyle w:val="NormalNumberedtext"/>
      </w:pPr>
      <w:r>
        <w:t>This procedure applies the following scope requirements:</w:t>
      </w:r>
    </w:p>
    <w:p>
      <w:pPr>
        <w:pStyle w:val="NormalNumberedtext"/>
      </w:pPr>
      <w:r>
        <w:t>This procedure governs the identification, registration, control, monitoring, and emergency response for all radiation sources mobilised to or present on the project site. It covers ionising radiation sources including X-ray inspection equipment, nuclear density gauges, and gamma sources, and non-ionising radiation sources including UV equipment, lasers, and radiofrequency and microwave emitting plant.</w:t>
      </w:r>
    </w:p>
    <w:p>
      <w:pPr>
        <w:pStyle w:val="NormalNumberedtext"/>
      </w:pPr>
      <w:r>
        <w:t>This procedure applies to all project phases from execution through commissioning and handover. Radiation hazards identified before execution are recorded in the project risk register under [INSERT: Project Document Number] and reviewed when a design change, scope change, management of change outcome, incident, or regulatory change occurs.</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radiation control responsibilities for all project roles, covering the Rio Tinto project team and all contractor organisations.</w:t>
      </w:r>
    </w:p>
    <w:p>
      <w:pPr>
        <w:pStyle w:val="NormalNumberedtext"/>
      </w:pPr>
      <w:r>
        <w:t>The project must assign a Radiation Safety Officer, or equivalent role with equivalent authority, before any radiation-emitting equipment is mobilised to site. The Radiation Safety Officer holds defined responsibilities for programme oversight, regulatory liaison, dose monitoring, and emergency response coordination.</w:t>
      </w:r>
    </w:p>
    <w:p>
      <w:pPr>
        <w:pStyle w:val="Normal"/>
      </w:pPr>
      <w:r>
        <w:rPr>
          <w:b/>
          <w:bCs/>
          <w:color w:val="0059D1"/>
        </w:rPr>
        <w:t>[INSERT: RSO_name_position] — Identify the Radiation Safety Officer by name and position title. This role must be confirmed before any radiation-emitting equipment is mobilised to site.</w:t>
      </w:r>
    </w:p>
    <w:p>
      <w:pPr>
        <w:pStyle w:val="NormalNumberedtext"/>
      </w:pPr>
      <w:r>
        <w:t>Table 1: Radiation Control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Director</w:t>
            </w:r>
          </w:p>
        </w:tc>
        <w:tc>
          <w:tcPr>
            <w:tcW w:type="dxa" w:w="4889"/>
          </w:tcPr>
          <w:p>
            <w:pPr>
              <w:pStyle w:val="TableContents"/>
              <w:spacing w:before="0" w:after="0" w:line="240" w:lineRule="atLeast"/>
            </w:pPr>
            <w:r>
              <w:rPr>
                <w:rFonts w:ascii="Arial" w:hAnsi="Arial" w:cs="Arial" w:eastAsia="Arial"/>
                <w:sz w:val="16"/>
                <w:szCs w:val="16"/>
              </w:rPr>
              <w:t>Approve the Radiation Protection Programme and authorise mobilisation of radiation-emitting equipment to site.</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 xml:space="preserve">Maintain the radiation source register, oversee implementation of this procedure, and report radiation incidents per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Radiation Safety Officer (RSO)</w:t>
            </w:r>
          </w:p>
        </w:tc>
        <w:tc>
          <w:tcPr>
            <w:tcW w:type="dxa" w:w="4889"/>
          </w:tcPr>
          <w:p>
            <w:pPr>
              <w:pStyle w:val="TableContents"/>
              <w:spacing w:before="0" w:after="0" w:line="240" w:lineRule="atLeast"/>
            </w:pPr>
            <w:r>
              <w:rPr>
                <w:rFonts w:ascii="Arial" w:hAnsi="Arial" w:cs="Arial" w:eastAsia="Arial"/>
                <w:sz w:val="16"/>
                <w:szCs w:val="16"/>
              </w:rPr>
              <w:t>Administer the Radiation Protection Programme; coordinate dose monitoring; define and review restricted zones; respond to radiation incidents; liaise with regulatory authorities.</w:t>
            </w:r>
          </w:p>
        </w:tc>
      </w:tr>
      <w:tr>
        <w:tc>
          <w:tcPr>
            <w:tcW w:type="dxa" w:w="4888"/>
          </w:tcPr>
          <w:p>
            <w:pPr>
              <w:pStyle w:val="TableContents"/>
              <w:spacing w:before="0" w:after="0" w:line="240" w:lineRule="atLeast"/>
            </w:pPr>
            <w:r>
              <w:rPr>
                <w:rFonts w:ascii="Arial" w:hAnsi="Arial" w:cs="Arial" w:eastAsia="Arial"/>
                <w:sz w:val="16"/>
                <w:szCs w:val="16"/>
              </w:rPr>
              <w:t>Work Supervisor</w:t>
            </w:r>
          </w:p>
        </w:tc>
        <w:tc>
          <w:tcPr>
            <w:tcW w:type="dxa" w:w="4889"/>
          </w:tcPr>
          <w:p>
            <w:pPr>
              <w:pStyle w:val="TableContents"/>
              <w:spacing w:before="0" w:after="0" w:line="240" w:lineRule="atLeast"/>
            </w:pPr>
            <w:r>
              <w:rPr>
                <w:rFonts w:ascii="Arial" w:hAnsi="Arial" w:cs="Arial" w:eastAsia="Arial"/>
                <w:sz w:val="16"/>
                <w:szCs w:val="16"/>
              </w:rPr>
              <w:t xml:space="preserve">Confirm personnel hold current competency and licence before operating radiation-emitting equipment; ensure PTW is raised per </w:t>
            </w:r>
            <w:r>
              <w:rPr>
                <w:rFonts w:ascii="Arial" w:hAnsi="Arial" w:cs="Arial" w:eastAsia="Arial"/>
                <w:b/>
                <w:bCs/>
                <w:color w:val="0059D1"/>
                <w:sz w:val="16"/>
                <w:szCs w:val="16"/>
              </w:rPr>
              <w:t>[INSERT: Project Document Number]</w:t>
            </w:r>
            <w:r>
              <w:rPr>
                <w:rFonts w:ascii="Arial" w:hAnsi="Arial" w:cs="Arial" w:eastAsia="Arial"/>
                <w:sz w:val="16"/>
                <w:szCs w:val="16"/>
              </w:rPr>
              <w:t>; confirm monitoring devices are worn.</w:t>
            </w:r>
          </w:p>
        </w:tc>
      </w:tr>
      <w:tr>
        <w:tc>
          <w:tcPr>
            <w:tcW w:type="dxa" w:w="4888"/>
          </w:tcPr>
          <w:p>
            <w:pPr>
              <w:pStyle w:val="TableContents"/>
              <w:spacing w:before="0" w:after="0" w:line="240" w:lineRule="atLeast"/>
            </w:pPr>
            <w:r>
              <w:rPr>
                <w:rFonts w:ascii="Arial" w:hAnsi="Arial" w:cs="Arial" w:eastAsia="Arial"/>
                <w:sz w:val="16"/>
                <w:szCs w:val="16"/>
              </w:rPr>
              <w:t>Worker (radiation-exposed)</w:t>
            </w:r>
          </w:p>
        </w:tc>
        <w:tc>
          <w:tcPr>
            <w:tcW w:type="dxa" w:w="4889"/>
          </w:tcPr>
          <w:p>
            <w:pPr>
              <w:pStyle w:val="TableContents"/>
              <w:spacing w:before="0" w:after="0" w:line="240" w:lineRule="atLeast"/>
            </w:pPr>
            <w:r>
              <w:rPr>
                <w:rFonts w:ascii="Arial" w:hAnsi="Arial" w:cs="Arial" w:eastAsia="Arial"/>
                <w:sz w:val="16"/>
                <w:szCs w:val="16"/>
              </w:rPr>
              <w:t xml:space="preserve">Wear assigned personal dosimeter for the full monitoring period; report dose readings above action levels to the supervisor immediately; report incidents per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b/>
                <w:bCs/>
                <w:color w:val="0059D1"/>
                <w:sz w:val="16"/>
                <w:szCs w:val="16"/>
              </w:rPr>
              <w:t>[INSERT: Contractor organisation]</w:t>
            </w:r>
          </w:p>
        </w:tc>
        <w:tc>
          <w:tcPr>
            <w:tcW w:type="dxa" w:w="4889"/>
          </w:tcPr>
          <w:p>
            <w:pPr>
              <w:pStyle w:val="TableContents"/>
              <w:spacing w:before="0" w:after="0" w:line="240" w:lineRule="atLeast"/>
            </w:pPr>
            <w:r>
              <w:rPr>
                <w:rFonts w:ascii="Arial" w:hAnsi="Arial" w:cs="Arial" w:eastAsia="Arial"/>
                <w:b/>
                <w:bCs/>
                <w:color w:val="0059D1"/>
                <w:sz w:val="16"/>
                <w:szCs w:val="16"/>
              </w:rPr>
              <w:t>[INSERT: Contractor-specific radiation control responsibilities, including reporting line to the RSO]</w:t>
            </w:r>
          </w:p>
        </w:tc>
      </w:tr>
    </w:tbl>
    <w:p>
      <w:pPr>
        <w:pStyle w:val="NormalNumberedtext"/>
      </w:pPr>
    </w:p>
    <w:p>
      <w:pPr>
        <w:pStyle w:val="Heading1Numbered"/>
        <w:numPr>
          <w:ilvl w:val="0"/>
          <w:numId w:val="1"/>
        </w:numPr>
      </w:pPr>
      <w:r>
        <w:rPr>
          <w:rFonts w:ascii="Arial" w:hAnsi="Arial" w:cs="Arial" w:eastAsia="Arial"/>
        </w:rPr>
        <w:t>Hazard Identification and Assessment</w:t>
      </w:r>
    </w:p>
    <w:p>
      <w:pPr>
        <w:pStyle w:val="NormalNumberedtext"/>
      </w:pPr>
      <w:r>
        <w:t>This section defines the radiation source identification, registration, risk assessment, and dose limit requirements that apply before and during all project activities involving radiation-emitting equipment.</w:t>
      </w:r>
    </w:p>
    <w:p>
      <w:pPr>
        <w:pStyle w:val="NormalNumberedtext"/>
      </w:pPr>
    </w:p>
    <w:p>
      <w:pPr>
        <w:pStyle w:val="Heading2Numbered"/>
        <w:numPr>
          <w:ilvl w:val="1"/>
          <w:numId w:val="1"/>
        </w:numPr>
      </w:pPr>
      <w:r>
        <w:rPr>
          <w:rFonts w:ascii="Arial" w:hAnsi="Arial" w:cs="Arial" w:eastAsia="Arial"/>
        </w:rPr>
        <w:t>Radiation Source Identification</w:t>
      </w:r>
    </w:p>
    <w:p>
      <w:pPr>
        <w:pStyle w:val="NormalNumberedtext"/>
      </w:pPr>
      <w:r>
        <w:t>This section defines the requirement to identify all radiation sources on site before work commences and to maintain a current source inventory.</w:t>
      </w:r>
    </w:p>
    <w:p>
      <w:pPr>
        <w:pStyle w:val="NormalNumberedtext"/>
      </w:pPr>
      <w:r>
        <w:t>The HSESC Manager ensures all ionising and non-ionising radiation sources expected on site are identified before work commences. Identification covers the following source categories:</w:t>
      </w:r>
    </w:p>
    <w:p>
      <w:pPr>
        <w:pStyle w:val="NormalNumberedtext"/>
      </w:pPr>
      <w:r>
        <w:t>Radiation sources subject to identification requirements include:</w:t>
      </w:r>
    </w:p>
    <w:p>
      <w:pPr>
        <w:pStyle w:val="NumberedBulletL1"/>
      </w:pPr>
      <w:r>
        <w:t>X-ray inspection equipment</w:t>
      </w:r>
    </w:p>
    <w:p>
      <w:pPr>
        <w:pStyle w:val="NumberedBulletL1"/>
      </w:pPr>
      <w:r>
        <w:t>Nuclear density gauges</w:t>
      </w:r>
    </w:p>
    <w:p>
      <w:pPr>
        <w:pStyle w:val="NumberedBulletL1"/>
      </w:pPr>
      <w:r>
        <w:t>Gamma sources used for non-destructive testing or level measurement</w:t>
      </w:r>
    </w:p>
    <w:p>
      <w:pPr>
        <w:pStyle w:val="NumberedBulletL1"/>
      </w:pPr>
      <w:r>
        <w:t>Ultraviolet emitting equipment</w:t>
      </w:r>
    </w:p>
    <w:p>
      <w:pPr>
        <w:pStyle w:val="NumberedBulletL1"/>
      </w:pPr>
      <w:r>
        <w:t>Lasers of any class that personnel may be exposed to</w:t>
      </w:r>
    </w:p>
    <w:p>
      <w:pPr>
        <w:pStyle w:val="NumberedBulletL1"/>
      </w:pPr>
      <w:r>
        <w:t>Radiofrequency and microwave emitting plant</w:t>
      </w:r>
    </w:p>
    <w:p>
      <w:pPr>
        <w:pStyle w:val="NormalNumberedtext"/>
      </w:pPr>
      <w:r>
        <w:rPr>
          <w:b/>
          <w:bCs/>
          <w:color w:val="0059D1"/>
        </w:rPr>
        <w:t>[INSERT: additional_sources]</w:t>
      </w:r>
    </w:p>
    <w:p>
      <w:pPr>
        <w:pStyle w:val="NormalNumberedtext"/>
      </w:pPr>
      <w:r>
        <w:t>All identified radiation sources must be registered and documented before the source is used on site. No radiation-emitting equipment commences operation without a completed entry in the Radiation Source Register.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SOURCE INVENTORY: Conduct a radiation source inventory for this project before work commences. List all radiation sources expected on site and insert into Table 2. The RSO confirms the inventory is complete before any radiation-emitting equipment is mobilised.</w:t>
            </w:r>
          </w:p>
        </w:tc>
      </w:tr>
    </w:tbl>
    <w:p>
      <w:pPr>
        <w:pStyle w:val="NormalNumberedtext"/>
      </w:pPr>
    </w:p>
    <w:p>
      <w:pPr>
        <w:pStyle w:val="Heading2Numbered"/>
        <w:numPr>
          <w:ilvl w:val="1"/>
          <w:numId w:val="1"/>
        </w:numPr>
      </w:pPr>
      <w:r>
        <w:rPr>
          <w:rFonts w:ascii="Arial" w:hAnsi="Arial" w:cs="Arial" w:eastAsia="Arial"/>
        </w:rPr>
        <w:t>Radiation Source Register</w:t>
      </w:r>
    </w:p>
    <w:p>
      <w:pPr>
        <w:pStyle w:val="NormalNumberedtext"/>
      </w:pPr>
      <w:r>
        <w:t>This section defines the minimum content requirements for the project Radiation Source Register and the process for maintaining it.</w:t>
      </w:r>
    </w:p>
    <w:p>
      <w:pPr>
        <w:pStyle w:val="NormalNumberedtext"/>
      </w:pPr>
      <w:r>
        <w:t>The Radiation Safety Officer maintains a Radiation Source Register documenting all radiation sources identified on site. The register is a live document, updated whenever a source is added, relocated, modified, or removed from the project.</w:t>
      </w:r>
    </w:p>
    <w:p>
      <w:pPr>
        <w:pStyle w:val="NormalNumberedtext"/>
      </w:pPr>
      <w:r>
        <w:t>Table 2: Radiation Source Register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Source ID</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Source Type</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Type of Radiation Emitted</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Dose Rate (measured or nominal)</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Location on Site</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Controls in Place</w:t>
            </w:r>
          </w:p>
        </w:tc>
        <w:tc>
          <w:tcPr>
            <w:shd w:val="clear" w:color="auto" w:fill="1F3864"/>
            <w:tcW w:type="dxa" w:w="1292"/>
          </w:tcPr>
          <w:p>
            <w:pPr>
              <w:pStyle w:val="TableContents"/>
              <w:spacing w:before="0" w:after="0" w:line="240" w:lineRule="atLeast"/>
            </w:pPr>
            <w:r>
              <w:rPr>
                <w:rFonts w:ascii="Arial" w:hAnsi="Arial" w:cs="Arial" w:eastAsia="Arial"/>
                <w:b/>
                <w:bCs/>
                <w:color w:val="FFFFFF"/>
                <w:sz w:val="16"/>
                <w:szCs w:val="16"/>
              </w:rPr>
              <w:t>Responsible Person</w:t>
            </w:r>
          </w:p>
        </w:tc>
      </w:tr>
      <w:tr>
        <w:tc>
          <w:tcPr>
            <w:tcW w:type="dxa" w:w="1289"/>
          </w:tcPr>
          <w:p>
            <w:pPr>
              <w:pStyle w:val="TableContents"/>
              <w:spacing w:before="0" w:after="0" w:line="240" w:lineRule="atLeast"/>
            </w:pPr>
            <w:r>
              <w:rPr>
                <w:rFonts w:ascii="Arial" w:hAnsi="Arial" w:cs="Arial" w:eastAsia="Arial"/>
                <w:b/>
                <w:bCs/>
                <w:color w:val="0059D1"/>
                <w:sz w:val="16"/>
                <w:szCs w:val="16"/>
              </w:rPr>
              <w:t>[INSERT: ID]</w:t>
            </w:r>
          </w:p>
        </w:tc>
        <w:tc>
          <w:tcPr>
            <w:tcW w:type="dxa" w:w="1289"/>
          </w:tcPr>
          <w:p>
            <w:pPr>
              <w:pStyle w:val="TableContents"/>
              <w:spacing w:before="0" w:after="0" w:line="240" w:lineRule="atLeast"/>
            </w:pPr>
            <w:r>
              <w:rPr>
                <w:rFonts w:ascii="Arial" w:hAnsi="Arial" w:cs="Arial" w:eastAsia="Arial"/>
                <w:sz w:val="16"/>
                <w:szCs w:val="16"/>
              </w:rPr>
              <w:t>Nuclear density gauge</w:t>
            </w:r>
          </w:p>
        </w:tc>
        <w:tc>
          <w:tcPr>
            <w:tcW w:type="dxa" w:w="1289"/>
          </w:tcPr>
          <w:p>
            <w:pPr>
              <w:pStyle w:val="TableContents"/>
              <w:spacing w:before="0" w:after="0" w:line="240" w:lineRule="atLeast"/>
            </w:pPr>
            <w:r>
              <w:rPr>
                <w:rFonts w:ascii="Arial" w:hAnsi="Arial" w:cs="Arial" w:eastAsia="Arial"/>
                <w:sz w:val="16"/>
                <w:szCs w:val="16"/>
              </w:rPr>
              <w:t>Gamma (ionising)</w:t>
            </w:r>
          </w:p>
        </w:tc>
        <w:tc>
          <w:tcPr>
            <w:tcW w:type="dxa" w:w="1289"/>
          </w:tcPr>
          <w:p>
            <w:pPr>
              <w:pStyle w:val="TableContents"/>
              <w:spacing w:before="0" w:after="0" w:line="240" w:lineRule="atLeast"/>
            </w:pPr>
            <w:r>
              <w:rPr>
                <w:rFonts w:ascii="Arial" w:hAnsi="Arial" w:cs="Arial" w:eastAsia="Arial"/>
                <w:b/>
                <w:bCs/>
                <w:color w:val="0059D1"/>
                <w:sz w:val="16"/>
                <w:szCs w:val="16"/>
              </w:rPr>
              <w:t>[INSERT: mSv/h at 1 m]</w:t>
            </w:r>
          </w:p>
        </w:tc>
        <w:tc>
          <w:tcPr>
            <w:tcW w:type="dxa" w:w="1289"/>
          </w:tcPr>
          <w:p>
            <w:pPr>
              <w:pStyle w:val="TableContents"/>
              <w:spacing w:before="0" w:after="0" w:line="240" w:lineRule="atLeast"/>
            </w:pPr>
            <w:r>
              <w:rPr>
                <w:rFonts w:ascii="Arial" w:hAnsi="Arial" w:cs="Arial" w:eastAsia="Arial"/>
                <w:b/>
                <w:bCs/>
                <w:color w:val="0059D1"/>
                <w:sz w:val="16"/>
                <w:szCs w:val="16"/>
              </w:rPr>
              <w:t>[INSERT: location]</w:t>
            </w:r>
          </w:p>
        </w:tc>
        <w:tc>
          <w:tcPr>
            <w:tcW w:type="dxa" w:w="1289"/>
          </w:tcPr>
          <w:p>
            <w:pPr>
              <w:pStyle w:val="TableContents"/>
              <w:spacing w:before="0" w:after="0" w:line="240" w:lineRule="atLeast"/>
            </w:pPr>
            <w:r>
              <w:rPr>
                <w:rFonts w:ascii="Arial" w:hAnsi="Arial" w:cs="Arial" w:eastAsia="Arial"/>
                <w:sz w:val="16"/>
                <w:szCs w:val="16"/>
              </w:rPr>
              <w:t>Locked storage; restricted zone; PTW required</w:t>
            </w:r>
          </w:p>
        </w:tc>
        <w:tc>
          <w:tcPr>
            <w:tcW w:type="dxa" w:w="1292"/>
          </w:tcPr>
          <w:p>
            <w:pPr>
              <w:pStyle w:val="TableContents"/>
              <w:spacing w:before="0" w:after="0" w:line="240" w:lineRule="atLeast"/>
            </w:pPr>
            <w:r>
              <w:rPr>
                <w:rFonts w:ascii="Arial" w:hAnsi="Arial" w:cs="Arial" w:eastAsia="Arial"/>
                <w:b/>
                <w:bCs/>
                <w:color w:val="0059D1"/>
                <w:sz w:val="16"/>
                <w:szCs w:val="16"/>
              </w:rPr>
              <w:t>[INSERT: name/role]</w:t>
            </w:r>
          </w:p>
        </w:tc>
      </w:tr>
      <w:tr>
        <w:tc>
          <w:tcPr>
            <w:tcW w:type="dxa" w:w="1289"/>
          </w:tcPr>
          <w:p>
            <w:pPr>
              <w:pStyle w:val="TableContents"/>
              <w:spacing w:before="0" w:after="0" w:line="240" w:lineRule="atLeast"/>
            </w:pPr>
            <w:r>
              <w:rPr>
                <w:rFonts w:ascii="Arial" w:hAnsi="Arial" w:cs="Arial" w:eastAsia="Arial"/>
                <w:b/>
                <w:bCs/>
                <w:color w:val="0059D1"/>
                <w:sz w:val="16"/>
                <w:szCs w:val="16"/>
              </w:rPr>
              <w:t>[INSERT: ID]</w:t>
            </w:r>
          </w:p>
        </w:tc>
        <w:tc>
          <w:tcPr>
            <w:tcW w:type="dxa" w:w="1289"/>
          </w:tcPr>
          <w:p>
            <w:pPr>
              <w:pStyle w:val="TableContents"/>
              <w:spacing w:before="0" w:after="0" w:line="240" w:lineRule="atLeast"/>
            </w:pPr>
            <w:r>
              <w:rPr>
                <w:rFonts w:ascii="Arial" w:hAnsi="Arial" w:cs="Arial" w:eastAsia="Arial"/>
                <w:sz w:val="16"/>
                <w:szCs w:val="16"/>
              </w:rPr>
              <w:t>X-ray inspection unit</w:t>
            </w:r>
          </w:p>
        </w:tc>
        <w:tc>
          <w:tcPr>
            <w:tcW w:type="dxa" w:w="1289"/>
          </w:tcPr>
          <w:p>
            <w:pPr>
              <w:pStyle w:val="TableContents"/>
              <w:spacing w:before="0" w:after="0" w:line="240" w:lineRule="atLeast"/>
            </w:pPr>
            <w:r>
              <w:rPr>
                <w:rFonts w:ascii="Arial" w:hAnsi="Arial" w:cs="Arial" w:eastAsia="Arial"/>
                <w:sz w:val="16"/>
                <w:szCs w:val="16"/>
              </w:rPr>
              <w:t>X-ray (ionising)</w:t>
            </w:r>
          </w:p>
        </w:tc>
        <w:tc>
          <w:tcPr>
            <w:tcW w:type="dxa" w:w="1289"/>
          </w:tcPr>
          <w:p>
            <w:pPr>
              <w:pStyle w:val="TableContents"/>
              <w:spacing w:before="0" w:after="0" w:line="240" w:lineRule="atLeast"/>
            </w:pPr>
            <w:r>
              <w:rPr>
                <w:rFonts w:ascii="Arial" w:hAnsi="Arial" w:cs="Arial" w:eastAsia="Arial"/>
                <w:b/>
                <w:bCs/>
                <w:color w:val="0059D1"/>
                <w:sz w:val="16"/>
                <w:szCs w:val="16"/>
              </w:rPr>
              <w:t>[INSERT: mSv/h at 1 m]</w:t>
            </w:r>
          </w:p>
        </w:tc>
        <w:tc>
          <w:tcPr>
            <w:tcW w:type="dxa" w:w="1289"/>
          </w:tcPr>
          <w:p>
            <w:pPr>
              <w:pStyle w:val="TableContents"/>
              <w:spacing w:before="0" w:after="0" w:line="240" w:lineRule="atLeast"/>
            </w:pPr>
            <w:r>
              <w:rPr>
                <w:rFonts w:ascii="Arial" w:hAnsi="Arial" w:cs="Arial" w:eastAsia="Arial"/>
                <w:b/>
                <w:bCs/>
                <w:color w:val="0059D1"/>
                <w:sz w:val="16"/>
                <w:szCs w:val="16"/>
              </w:rPr>
              <w:t>[INSERT: location]</w:t>
            </w:r>
          </w:p>
        </w:tc>
        <w:tc>
          <w:tcPr>
            <w:tcW w:type="dxa" w:w="1289"/>
          </w:tcPr>
          <w:p>
            <w:pPr>
              <w:pStyle w:val="TableContents"/>
              <w:spacing w:before="0" w:after="0" w:line="240" w:lineRule="atLeast"/>
            </w:pPr>
            <w:r>
              <w:rPr>
                <w:rFonts w:ascii="Arial" w:hAnsi="Arial" w:cs="Arial" w:eastAsia="Arial"/>
                <w:sz w:val="16"/>
                <w:szCs w:val="16"/>
              </w:rPr>
              <w:t>Restricted zone; warning signage; PTW required</w:t>
            </w:r>
          </w:p>
        </w:tc>
        <w:tc>
          <w:tcPr>
            <w:tcW w:type="dxa" w:w="1292"/>
          </w:tcPr>
          <w:p>
            <w:pPr>
              <w:pStyle w:val="TableContents"/>
              <w:spacing w:before="0" w:after="0" w:line="240" w:lineRule="atLeast"/>
            </w:pPr>
            <w:r>
              <w:rPr>
                <w:rFonts w:ascii="Arial" w:hAnsi="Arial" w:cs="Arial" w:eastAsia="Arial"/>
                <w:b/>
                <w:bCs/>
                <w:color w:val="0059D1"/>
                <w:sz w:val="16"/>
                <w:szCs w:val="16"/>
              </w:rPr>
              <w:t>[INSERT: name/role]</w:t>
            </w:r>
          </w:p>
        </w:tc>
      </w:tr>
      <w:tr>
        <w:tc>
          <w:tcPr>
            <w:tcW w:type="dxa" w:w="1289"/>
          </w:tcPr>
          <w:p>
            <w:pPr>
              <w:pStyle w:val="TableContents"/>
              <w:spacing w:before="0" w:after="0" w:line="240" w:lineRule="atLeast"/>
            </w:pPr>
            <w:r>
              <w:rPr>
                <w:rFonts w:ascii="Arial" w:hAnsi="Arial" w:cs="Arial" w:eastAsia="Arial"/>
                <w:b/>
                <w:bCs/>
                <w:color w:val="0059D1"/>
                <w:sz w:val="16"/>
                <w:szCs w:val="16"/>
              </w:rPr>
              <w:t>[INSERT: ID]</w:t>
            </w:r>
          </w:p>
        </w:tc>
        <w:tc>
          <w:tcPr>
            <w:tcW w:type="dxa" w:w="1289"/>
          </w:tcPr>
          <w:p>
            <w:pPr>
              <w:pStyle w:val="TableContents"/>
              <w:spacing w:before="0" w:after="0" w:line="240" w:lineRule="atLeast"/>
            </w:pPr>
            <w:r>
              <w:rPr>
                <w:rFonts w:ascii="Arial" w:hAnsi="Arial" w:cs="Arial" w:eastAsia="Arial"/>
                <w:b/>
                <w:bCs/>
                <w:color w:val="0059D1"/>
                <w:sz w:val="16"/>
                <w:szCs w:val="16"/>
              </w:rPr>
              <w:t>[INSERT: source type]</w:t>
            </w:r>
          </w:p>
        </w:tc>
        <w:tc>
          <w:tcPr>
            <w:tcW w:type="dxa" w:w="1289"/>
          </w:tcPr>
          <w:p>
            <w:pPr>
              <w:pStyle w:val="TableContents"/>
              <w:spacing w:before="0" w:after="0" w:line="240" w:lineRule="atLeast"/>
            </w:pPr>
            <w:r>
              <w:rPr>
                <w:rFonts w:ascii="Arial" w:hAnsi="Arial" w:cs="Arial" w:eastAsia="Arial"/>
                <w:b/>
                <w:bCs/>
                <w:color w:val="0059D1"/>
                <w:sz w:val="16"/>
                <w:szCs w:val="16"/>
              </w:rPr>
              <w:t>[INSERT: radiation type]</w:t>
            </w:r>
          </w:p>
        </w:tc>
        <w:tc>
          <w:tcPr>
            <w:tcW w:type="dxa" w:w="1289"/>
          </w:tcPr>
          <w:p>
            <w:pPr>
              <w:pStyle w:val="TableContents"/>
              <w:spacing w:before="0" w:after="0" w:line="240" w:lineRule="atLeast"/>
            </w:pPr>
            <w:r>
              <w:rPr>
                <w:rFonts w:ascii="Arial" w:hAnsi="Arial" w:cs="Arial" w:eastAsia="Arial"/>
                <w:b/>
                <w:bCs/>
                <w:color w:val="0059D1"/>
                <w:sz w:val="16"/>
                <w:szCs w:val="16"/>
              </w:rPr>
              <w:t>[INSERT: dose rate]</w:t>
            </w:r>
          </w:p>
        </w:tc>
        <w:tc>
          <w:tcPr>
            <w:tcW w:type="dxa" w:w="1289"/>
          </w:tcPr>
          <w:p>
            <w:pPr>
              <w:pStyle w:val="TableContents"/>
              <w:spacing w:before="0" w:after="0" w:line="240" w:lineRule="atLeast"/>
            </w:pPr>
            <w:r>
              <w:rPr>
                <w:rFonts w:ascii="Arial" w:hAnsi="Arial" w:cs="Arial" w:eastAsia="Arial"/>
                <w:b/>
                <w:bCs/>
                <w:color w:val="0059D1"/>
                <w:sz w:val="16"/>
                <w:szCs w:val="16"/>
              </w:rPr>
              <w:t>[INSERT: location]</w:t>
            </w:r>
          </w:p>
        </w:tc>
        <w:tc>
          <w:tcPr>
            <w:tcW w:type="dxa" w:w="1289"/>
          </w:tcPr>
          <w:p>
            <w:pPr>
              <w:pStyle w:val="TableContents"/>
              <w:spacing w:before="0" w:after="0" w:line="240" w:lineRule="atLeast"/>
            </w:pPr>
            <w:r>
              <w:rPr>
                <w:rFonts w:ascii="Arial" w:hAnsi="Arial" w:cs="Arial" w:eastAsia="Arial"/>
                <w:b/>
                <w:bCs/>
                <w:color w:val="0059D1"/>
                <w:sz w:val="16"/>
                <w:szCs w:val="16"/>
              </w:rPr>
              <w:t>[INSERT: controls]</w:t>
            </w:r>
          </w:p>
        </w:tc>
        <w:tc>
          <w:tcPr>
            <w:tcW w:type="dxa" w:w="1292"/>
          </w:tcPr>
          <w:p>
            <w:pPr>
              <w:pStyle w:val="TableContents"/>
              <w:spacing w:before="0" w:after="0" w:line="240" w:lineRule="atLeast"/>
            </w:pPr>
            <w:r>
              <w:rPr>
                <w:rFonts w:ascii="Arial" w:hAnsi="Arial" w:cs="Arial" w:eastAsia="Arial"/>
                <w:b/>
                <w:bCs/>
                <w:color w:val="0059D1"/>
                <w:sz w:val="16"/>
                <w:szCs w:val="16"/>
              </w:rPr>
              <w:t>[INSERT: name/role]</w:t>
            </w:r>
          </w:p>
        </w:tc>
      </w:tr>
    </w:tbl>
    <w:p>
      <w:pPr>
        <w:pStyle w:val="NormalNumberedtext"/>
      </w:pPr>
    </w:p>
    <w:p>
      <w:pPr>
        <w:pStyle w:val="NormalNumberedtext"/>
      </w:pPr>
      <w:r>
        <w:t>The Radiation Source Register is stored in</w:t>
      </w:r>
    </w:p>
    <w:p>
      <w:pPr>
        <w:pStyle w:val="NormalNumberedtext"/>
      </w:pPr>
      <w:r>
        <w:rPr>
          <w:b/>
          <w:bCs/>
          <w:color w:val="0059D1"/>
        </w:rPr>
        <w:t>[INSERT: register_location] — Specify the document management system location where the Radiation Source Register is held and how it is accessed by the HSESC team.</w:t>
      </w:r>
    </w:p>
    <w:p>
      <w:pPr>
        <w:pStyle w:val="NormalNumberedtext"/>
      </w:pPr>
    </w:p>
    <w:p>
      <w:pPr>
        <w:pStyle w:val="Heading2Numbered"/>
        <w:numPr>
          <w:ilvl w:val="1"/>
          <w:numId w:val="1"/>
        </w:numPr>
      </w:pPr>
      <w:r>
        <w:rPr>
          <w:rFonts w:ascii="Arial" w:hAnsi="Arial" w:cs="Arial" w:eastAsia="Arial"/>
        </w:rPr>
        <w:t>Radiation Risk Assessment</w:t>
      </w:r>
    </w:p>
    <w:p>
      <w:pPr>
        <w:pStyle w:val="NormalNumberedtext"/>
      </w:pPr>
      <w:r>
        <w:t>This section defines the risk assessment requirements for all identified radiation hazards, including who must conduct the assessment and what it must address.</w:t>
      </w:r>
    </w:p>
    <w:p>
      <w:pPr>
        <w:pStyle w:val="NormalNumberedtext"/>
      </w:pPr>
      <w:r>
        <w:t>A radiation risk assessment is conducted for each identified radiation source by a competent person before the source is used on site. Risk assessment methodology follows [INSERT: Project Document Number]. The radiation risk assessment identifies all ionising and non-ionising radiation sources within the assessed scope, evaluates occupational exposure against applicable dose limits and action levels, and defines proportionate controls for each source.</w:t>
      </w:r>
    </w:p>
    <w:p>
      <w:pPr>
        <w:pStyle w:val="NormalNumberedtext"/>
      </w:pPr>
      <w:r>
        <w:t>Occupational radiation exposures are assessed against applicable dose limits and action levels and managed using the ALARA principle. ALARA requires that exposures are kept as low as reasonably achievable, taking into account economic and social factors, and not merely held below regulatory limits.</w:t>
      </w:r>
    </w:p>
    <w:p>
      <w:pPr>
        <w:pStyle w:val="NormalNumberedtext"/>
      </w:pPr>
      <w:r>
        <w:t>The radiation risk assessment is reviewed when a new source is introduced, when a source is relocated, when a control is found to be ineffective, or when an incident involving radiation exposure occurs. Incident reporting follows [INSERT: Project Document Number].</w:t>
      </w:r>
    </w:p>
    <w:p>
      <w:pPr>
        <w:pStyle w:val="NormalNumberedtext"/>
      </w:pPr>
    </w:p>
    <w:p>
      <w:pPr>
        <w:pStyle w:val="Heading2Numbered"/>
        <w:numPr>
          <w:ilvl w:val="1"/>
          <w:numId w:val="1"/>
        </w:numPr>
      </w:pPr>
      <w:r>
        <w:rPr>
          <w:rFonts w:ascii="Arial" w:hAnsi="Arial" w:cs="Arial" w:eastAsia="Arial"/>
        </w:rPr>
        <w:t>Site-Specific Dose Limits</w:t>
      </w:r>
    </w:p>
    <w:p>
      <w:pPr>
        <w:pStyle w:val="NormalNumberedtext"/>
      </w:pPr>
      <w:r>
        <w:t>This section defines the requirement to establish and document site-specific radiation dose limits before any radiation work commences.</w:t>
      </w:r>
    </w:p>
    <w:p>
      <w:pPr>
        <w:pStyle w:val="NormalNumberedtext"/>
      </w:pPr>
      <w:r>
        <w:t>The project must define site-specific radiation dose limits consistent with applicable national legislation and IAEA Basic Safety Standards before any radiation-emitting equipment is operated on site. The Radiation Safety Officer confirms the dose limits are documented, communicated to all affected workers, and reviewed whenever a change in applicable legislation or IAEA guidance occurs.</w:t>
      </w:r>
    </w:p>
    <w:p>
      <w:pPr>
        <w:pStyle w:val="NormalNumberedtext"/>
      </w:pPr>
      <w:r>
        <w:t>Table 3: Project Radiation Dose Limits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Exposure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Annual Effective Dose Limit</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Action Level (investigation trigger)</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Applicable Standard</w:t>
            </w:r>
          </w:p>
        </w:tc>
      </w:tr>
      <w:tr>
        <w:tc>
          <w:tcPr>
            <w:tcW w:type="dxa" w:w="2256"/>
          </w:tcPr>
          <w:p>
            <w:pPr>
              <w:pStyle w:val="TableContents"/>
              <w:spacing w:before="0" w:after="0" w:line="240" w:lineRule="atLeast"/>
            </w:pPr>
            <w:r>
              <w:rPr>
                <w:rFonts w:ascii="Arial" w:hAnsi="Arial" w:cs="Arial" w:eastAsia="Arial"/>
                <w:sz w:val="16"/>
                <w:szCs w:val="16"/>
              </w:rPr>
              <w:t>Radiation worker (occupational)</w:t>
            </w:r>
          </w:p>
        </w:tc>
        <w:tc>
          <w:tcPr>
            <w:tcW w:type="dxa" w:w="2256"/>
          </w:tcPr>
          <w:p>
            <w:pPr>
              <w:pStyle w:val="TableContents"/>
              <w:spacing w:before="0" w:after="0" w:line="240" w:lineRule="atLeast"/>
            </w:pPr>
            <w:r>
              <w:rPr>
                <w:rFonts w:ascii="Arial" w:hAnsi="Arial" w:cs="Arial" w:eastAsia="Arial"/>
                <w:sz w:val="16"/>
                <w:szCs w:val="16"/>
              </w:rPr>
              <w:t>20 mSv per year averaged over five years, with no single year exceeding 50 mSv</w:t>
            </w:r>
          </w:p>
        </w:tc>
        <w:tc>
          <w:tcPr>
            <w:tcW w:type="dxa" w:w="2256"/>
          </w:tcPr>
          <w:p>
            <w:pPr>
              <w:pStyle w:val="TableContents"/>
              <w:spacing w:before="0" w:after="0" w:line="240" w:lineRule="atLeast"/>
            </w:pPr>
            <w:r>
              <w:rPr>
                <w:rFonts w:ascii="Arial" w:hAnsi="Arial" w:cs="Arial" w:eastAsia="Arial"/>
                <w:sz w:val="16"/>
                <w:szCs w:val="16"/>
              </w:rPr>
              <w:t>15 mSv per year - triggers exposure investigation and enhanced controls</w:t>
            </w:r>
          </w:p>
        </w:tc>
        <w:tc>
          <w:tcPr>
            <w:tcW w:type="dxa" w:w="2258"/>
          </w:tcPr>
          <w:p>
            <w:pPr>
              <w:pStyle w:val="TableContents"/>
              <w:spacing w:before="0" w:after="0" w:line="240" w:lineRule="atLeast"/>
            </w:pPr>
            <w:r>
              <w:rPr>
                <w:rFonts w:ascii="Arial" w:hAnsi="Arial" w:cs="Arial" w:eastAsia="Arial"/>
                <w:sz w:val="16"/>
                <w:szCs w:val="16"/>
              </w:rPr>
              <w:t>IAEA BSS; applicable national legislation</w:t>
            </w:r>
          </w:p>
        </w:tc>
      </w:tr>
      <w:tr>
        <w:tc>
          <w:tcPr>
            <w:tcW w:type="dxa" w:w="2256"/>
          </w:tcPr>
          <w:p>
            <w:pPr>
              <w:pStyle w:val="TableContents"/>
              <w:spacing w:before="0" w:after="0" w:line="240" w:lineRule="atLeast"/>
            </w:pPr>
            <w:r>
              <w:rPr>
                <w:rFonts w:ascii="Arial" w:hAnsi="Arial" w:cs="Arial" w:eastAsia="Arial"/>
                <w:sz w:val="16"/>
                <w:szCs w:val="16"/>
              </w:rPr>
              <w:t>Member of public (non-classified)</w:t>
            </w:r>
          </w:p>
        </w:tc>
        <w:tc>
          <w:tcPr>
            <w:tcW w:type="dxa" w:w="2256"/>
          </w:tcPr>
          <w:p>
            <w:pPr>
              <w:pStyle w:val="TableContents"/>
              <w:spacing w:before="0" w:after="0" w:line="240" w:lineRule="atLeast"/>
            </w:pPr>
            <w:r>
              <w:rPr>
                <w:rFonts w:ascii="Arial" w:hAnsi="Arial" w:cs="Arial" w:eastAsia="Arial"/>
                <w:sz w:val="16"/>
                <w:szCs w:val="16"/>
              </w:rPr>
              <w:t>1 mSv per year</w:t>
            </w:r>
          </w:p>
        </w:tc>
        <w:tc>
          <w:tcPr>
            <w:tcW w:type="dxa" w:w="2256"/>
          </w:tcPr>
          <w:p>
            <w:pPr>
              <w:pStyle w:val="TableContents"/>
              <w:spacing w:before="0" w:after="0" w:line="240" w:lineRule="atLeast"/>
            </w:pPr>
            <w:r>
              <w:rPr>
                <w:rFonts w:ascii="Arial" w:hAnsi="Arial" w:cs="Arial" w:eastAsia="Arial"/>
                <w:sz w:val="16"/>
                <w:szCs w:val="16"/>
              </w:rPr>
              <w:t>0.3 mSv per year - triggers review of source controls</w:t>
            </w:r>
          </w:p>
        </w:tc>
        <w:tc>
          <w:tcPr>
            <w:tcW w:type="dxa" w:w="2258"/>
          </w:tcPr>
          <w:p>
            <w:pPr>
              <w:pStyle w:val="TableContents"/>
              <w:spacing w:before="0" w:after="0" w:line="240" w:lineRule="atLeast"/>
            </w:pPr>
            <w:r>
              <w:rPr>
                <w:rFonts w:ascii="Arial" w:hAnsi="Arial" w:cs="Arial" w:eastAsia="Arial"/>
                <w:sz w:val="16"/>
                <w:szCs w:val="16"/>
              </w:rPr>
              <w:t>IAEA BSS; applicable national legislation</w:t>
            </w:r>
          </w:p>
        </w:tc>
      </w:tr>
      <w:tr>
        <w:tc>
          <w:tcPr>
            <w:tcW w:type="dxa" w:w="2256"/>
          </w:tcPr>
          <w:p>
            <w:pPr>
              <w:pStyle w:val="TableContents"/>
              <w:spacing w:before="0" w:after="0" w:line="240" w:lineRule="atLeast"/>
            </w:pPr>
            <w:r>
              <w:rPr>
                <w:rFonts w:ascii="Arial" w:hAnsi="Arial" w:cs="Arial" w:eastAsia="Arial"/>
                <w:b/>
                <w:bCs/>
                <w:color w:val="0059D1"/>
                <w:sz w:val="16"/>
                <w:szCs w:val="16"/>
              </w:rPr>
              <w:t>[INSERT: project-specific category]</w:t>
            </w:r>
          </w:p>
        </w:tc>
        <w:tc>
          <w:tcPr>
            <w:tcW w:type="dxa" w:w="2256"/>
          </w:tcPr>
          <w:p>
            <w:pPr>
              <w:pStyle w:val="TableContents"/>
              <w:spacing w:before="0" w:after="0" w:line="240" w:lineRule="atLeast"/>
            </w:pPr>
            <w:r>
              <w:rPr>
                <w:rFonts w:ascii="Arial" w:hAnsi="Arial" w:cs="Arial" w:eastAsia="Arial"/>
                <w:b/>
                <w:bCs/>
                <w:color w:val="0059D1"/>
                <w:sz w:val="16"/>
                <w:szCs w:val="16"/>
              </w:rPr>
              <w:t>[INSERT: dose limit]</w:t>
            </w:r>
          </w:p>
        </w:tc>
        <w:tc>
          <w:tcPr>
            <w:tcW w:type="dxa" w:w="2256"/>
          </w:tcPr>
          <w:p>
            <w:pPr>
              <w:pStyle w:val="TableContents"/>
              <w:spacing w:before="0" w:after="0" w:line="240" w:lineRule="atLeast"/>
            </w:pPr>
            <w:r>
              <w:rPr>
                <w:rFonts w:ascii="Arial" w:hAnsi="Arial" w:cs="Arial" w:eastAsia="Arial"/>
                <w:b/>
                <w:bCs/>
                <w:color w:val="0059D1"/>
                <w:sz w:val="16"/>
                <w:szCs w:val="16"/>
              </w:rPr>
              <w:t>[INSERT: action level]</w:t>
            </w:r>
          </w:p>
        </w:tc>
        <w:tc>
          <w:tcPr>
            <w:tcW w:type="dxa" w:w="2258"/>
          </w:tcPr>
          <w:p>
            <w:pPr>
              <w:pStyle w:val="TableContents"/>
              <w:spacing w:before="0" w:after="0" w:line="240" w:lineRule="atLeast"/>
            </w:pPr>
            <w:r>
              <w:rPr>
                <w:rFonts w:ascii="Arial" w:hAnsi="Arial" w:cs="Arial" w:eastAsia="Arial"/>
                <w:b/>
                <w:bCs/>
                <w:color w:val="0059D1"/>
                <w:sz w:val="16"/>
                <w:szCs w:val="16"/>
              </w:rPr>
              <w:t>[INSERT: applicable standard]</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DOSE LIMITS: Define the project-specific dose limits and confirm compliance with applicable national legislation before mobilisation. Replace the suggested values in Table 3 if national legislation specifies lower limits.</w:t>
            </w:r>
          </w:p>
        </w:tc>
      </w:tr>
    </w:tbl>
    <w:p>
      <w:pPr>
        <w:pStyle w:val="NormalNumberedtext"/>
      </w:pPr>
    </w:p>
    <w:p>
      <w:pPr>
        <w:pStyle w:val="Heading1Numbered"/>
        <w:numPr>
          <w:ilvl w:val="0"/>
          <w:numId w:val="1"/>
        </w:numPr>
      </w:pPr>
      <w:r>
        <w:rPr>
          <w:rFonts w:ascii="Arial" w:hAnsi="Arial" w:cs="Arial" w:eastAsia="Arial"/>
        </w:rPr>
        <w:t>Controls</w:t>
      </w:r>
    </w:p>
    <w:p>
      <w:pPr>
        <w:pStyle w:val="NormalNumberedtext"/>
      </w:pPr>
      <w:r>
        <w:t>This section defines the radiation protection controls, restricted zone requirements, dose monitoring requirements, and Radiation Protection Programme obligations that apply to all project radiation work.</w:t>
      </w:r>
    </w:p>
    <w:p>
      <w:pPr>
        <w:pStyle w:val="NormalNumberedtext"/>
      </w:pPr>
    </w:p>
    <w:p>
      <w:pPr>
        <w:pStyle w:val="Heading2Numbered"/>
        <w:numPr>
          <w:ilvl w:val="1"/>
          <w:numId w:val="1"/>
        </w:numPr>
      </w:pPr>
      <w:r>
        <w:rPr>
          <w:rFonts w:ascii="Arial" w:hAnsi="Arial" w:cs="Arial" w:eastAsia="Arial"/>
        </w:rPr>
        <w:t>Radiation Protection Principles and Source Controls</w:t>
      </w:r>
    </w:p>
    <w:p>
      <w:pPr>
        <w:pStyle w:val="NormalNumberedtext"/>
      </w:pPr>
      <w:r>
        <w:t>This section defines the three fundamental radiation protection principles and how they are applied to each identified radiation source.</w:t>
      </w:r>
    </w:p>
    <w:p>
      <w:pPr>
        <w:pStyle w:val="NormalNumberedtext"/>
      </w:pPr>
      <w:r>
        <w:t>The work supervisor ensures the three fundamental radiation protection principles are applied whenever personnel work with or near radiation-emitting equipment. Controls are defined for each source in the Radiation Source Register (Table 2) and in the relevant risk assessment under [INSERT: Project Document Number]. Personnel must raise a permit via the site PTW system before commencing work, refer [INSERT: Project Document Number].</w:t>
      </w:r>
    </w:p>
    <w:p>
      <w:pPr>
        <w:pStyle w:val="NormalNumberedtext"/>
      </w:pPr>
      <w:r>
        <w:t>The three fundamental radiation protection principles applied on this project are:</w:t>
      </w:r>
    </w:p>
    <w:p>
      <w:pPr>
        <w:pStyle w:val="NumberedBulletL1"/>
      </w:pPr>
      <w:r>
        <w:t>Time - minimise the duration of exposure by planning tasks to reduce time spent near a radiation source, rotating personnel where practicable, and scheduling source operations to limit unnecessary worker presence in the radiation area.</w:t>
      </w:r>
    </w:p>
    <w:p>
      <w:pPr>
        <w:pStyle w:val="NumberedBulletL1"/>
      </w:pPr>
      <w:r>
        <w:t>Distance - maximise the distance between personnel and the radiation source during operation, using remote operation, extended tools, or physical standoff barriers where practicable.</w:t>
      </w:r>
    </w:p>
    <w:p>
      <w:pPr>
        <w:pStyle w:val="NumberedBulletL1"/>
      </w:pPr>
      <w:r>
        <w:t>Shielding - use appropriate shielding materials between the radiation source and personnel. Shielding type and thickness are specified for each source in the radiation risk assessment.</w:t>
      </w:r>
    </w:p>
    <w:p>
      <w:pPr>
        <w:pStyle w:val="NormalNumberedtext"/>
      </w:pPr>
      <w:r>
        <w:t>The Radiation Safety Officer confirms that controls selected for each source are at the highest practicable level of the hierarchy of controls and are documented in the Radiation Source Register before the source is used on site.</w:t>
      </w:r>
    </w:p>
    <w:p>
      <w:pPr>
        <w:pStyle w:val="NormalNumberedtext"/>
      </w:pPr>
    </w:p>
    <w:p>
      <w:pPr>
        <w:pStyle w:val="Heading2Numbered"/>
        <w:numPr>
          <w:ilvl w:val="1"/>
          <w:numId w:val="1"/>
        </w:numPr>
      </w:pPr>
      <w:r>
        <w:rPr>
          <w:rFonts w:ascii="Arial" w:hAnsi="Arial" w:cs="Arial" w:eastAsia="Arial"/>
        </w:rPr>
        <w:t>Radiation Restricted Zones</w:t>
      </w:r>
    </w:p>
    <w:p>
      <w:pPr>
        <w:pStyle w:val="NormalNumberedtext"/>
      </w:pPr>
      <w:r>
        <w:t>This section defines the requirements for establishing, marking, and controlling access to radiation restricted zones.</w:t>
      </w:r>
    </w:p>
    <w:p>
      <w:pPr>
        <w:pStyle w:val="NormalNumberedtext"/>
      </w:pPr>
      <w:r>
        <w:t>The Radiation Safety Officer establishes a radiation restricted zone for any area where ionising radiation annual doses to personnel may exceed 5 mSv. Restricted zones are also established around all energised ionising radiation sources during operation, regardless of measured dose rate, as a minimum control.</w:t>
      </w:r>
    </w:p>
    <w:p>
      <w:pPr>
        <w:pStyle w:val="NormalNumberedtext"/>
      </w:pPr>
      <w:r>
        <w:t>Access controls for restricted zones must be physical and documented. Physical controls and warning signage must comply with applicable regulatory requirements. The following minimum requirements apply:</w:t>
      </w:r>
    </w:p>
    <w:p>
      <w:pPr>
        <w:pStyle w:val="NormalNumberedtext"/>
      </w:pPr>
      <w:r>
        <w:t>Radiation restricted zone requirements include:</w:t>
      </w:r>
    </w:p>
    <w:p>
      <w:pPr>
        <w:pStyle w:val="NumberedBulletL1"/>
      </w:pPr>
      <w:r>
        <w:t>Physical barriers, ropes, or fencing demarcating the boundary of the restricted zone, installed before the source is energised.</w:t>
      </w:r>
    </w:p>
    <w:p>
      <w:pPr>
        <w:pStyle w:val="NumberedBulletL1"/>
      </w:pPr>
      <w:r>
        <w:rPr>
          <w:color w:val="C55A11"/>
        </w:rPr>
        <w:t>Warning signs displaying the radiation trefoil symbol and the words 'RADIATION AREA - AUTHORISED PERSONS ONLY', positioned at all access points to the restricted zone.</w:t>
      </w:r>
    </w:p>
    <w:p>
      <w:pPr>
        <w:pStyle w:val="NumberedBulletL1"/>
      </w:pPr>
      <w:r>
        <w:t>A documented access control process requiring the work supervisor to authorise entry and confirm that entrants hold current radiation safety competency and are wearing the required personal dosimeter.</w:t>
      </w:r>
    </w:p>
    <w:p>
      <w:pPr>
        <w:pStyle w:val="NumberedBulletL1"/>
      </w:pPr>
      <w:r>
        <w:t>A restricted zone boundary distance defined in the radiation risk assessment for each source, based on measured or calculated dose rates.</w:t>
      </w:r>
    </w:p>
    <w:p>
      <w:pPr>
        <w:pStyle w:val="NormalNumberedtext"/>
      </w:pPr>
      <w:r>
        <w:rPr>
          <w:b/>
          <w:bCs/>
          <w:color w:val="0059D1"/>
        </w:rPr>
        <w:t>[INSERT: additional_zone_controls]</w:t>
      </w:r>
    </w:p>
    <w:p>
      <w:pPr>
        <w:pStyle w:val="NormalNumberedtext"/>
      </w:pPr>
      <w:r>
        <w:t>The Radiation Safety Officer documents each active restricted zone in the Radiation Source Register, including the zone boundary, the physical controls in place, and the responsible person for each zone.</w:t>
      </w:r>
    </w:p>
    <w:p>
      <w:pPr>
        <w:pStyle w:val="NormalNumberedtext"/>
      </w:pPr>
    </w:p>
    <w:p>
      <w:pPr>
        <w:pStyle w:val="Heading2Numbered"/>
        <w:numPr>
          <w:ilvl w:val="1"/>
          <w:numId w:val="1"/>
        </w:numPr>
      </w:pPr>
      <w:r>
        <w:rPr>
          <w:rFonts w:ascii="Arial" w:hAnsi="Arial" w:cs="Arial" w:eastAsia="Arial"/>
        </w:rPr>
        <w:t>Dose Monitoring Requirements</w:t>
      </w:r>
    </w:p>
    <w:p>
      <w:pPr>
        <w:pStyle w:val="NormalNumberedtext"/>
      </w:pPr>
      <w:r>
        <w:t>This section defines the personal dose monitoring requirements for workers with regular radiation exposure, including device type, monitoring period, and action levels.</w:t>
      </w:r>
    </w:p>
    <w:p>
      <w:pPr>
        <w:pStyle w:val="NormalNumberedtext"/>
      </w:pPr>
      <w:r>
        <w:t>The Radiation Safety Officer defines the dose monitoring requirements for all workers with regular radiation exposure before those workers commence radiation work on site. Monitoring device type, monitoring period, and action levels are documented in Table 4 and confirmed as compliant with applicable national legislation before issue.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DOSE MONITORING: Define the monitoring device type and monitoring period for each exposed worker category. Confirm the action level values comply with applicable national legislation and the dose limits in Table 3.</w:t>
            </w:r>
          </w:p>
        </w:tc>
      </w:tr>
    </w:tbl>
    <w:p>
      <w:pPr>
        <w:pStyle w:val="NormalNumberedtext"/>
      </w:pPr>
    </w:p>
    <w:p>
      <w:pPr>
        <w:pStyle w:val="NormalNumberedtext"/>
      </w:pPr>
      <w:r>
        <w:t>Table 4: Personal Dose Monitoring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Worker Category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Monitoring Device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Monitoring Period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Action Level (investigation trigger)</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Response to Action Level Breach</w:t>
            </w:r>
          </w:p>
        </w:tc>
      </w:tr>
      <w:tr>
        <w:tc>
          <w:tcPr>
            <w:tcW w:type="dxa" w:w="1805"/>
          </w:tcPr>
          <w:p>
            <w:pPr>
              <w:pStyle w:val="TableContents"/>
              <w:spacing w:before="0" w:after="0" w:line="240" w:lineRule="atLeast"/>
            </w:pPr>
            <w:r>
              <w:rPr>
                <w:rFonts w:ascii="Arial" w:hAnsi="Arial" w:cs="Arial" w:eastAsia="Arial"/>
                <w:sz w:val="16"/>
                <w:szCs w:val="16"/>
              </w:rPr>
              <w:t>Classified radiation worker</w:t>
            </w:r>
          </w:p>
        </w:tc>
        <w:tc>
          <w:tcPr>
            <w:tcW w:type="dxa" w:w="1805"/>
          </w:tcPr>
          <w:p>
            <w:pPr>
              <w:pStyle w:val="TableContents"/>
              <w:spacing w:before="0" w:after="0" w:line="240" w:lineRule="atLeast"/>
            </w:pPr>
            <w:r>
              <w:rPr>
                <w:rFonts w:ascii="Arial" w:hAnsi="Arial" w:cs="Arial" w:eastAsia="Arial"/>
                <w:sz w:val="16"/>
                <w:szCs w:val="16"/>
              </w:rPr>
              <w:t>Thermoluminescent dosimeter (TLD) or electronic personal dosimeter (EPD)</w:t>
            </w:r>
          </w:p>
        </w:tc>
        <w:tc>
          <w:tcPr>
            <w:tcW w:type="dxa" w:w="1805"/>
          </w:tcPr>
          <w:p>
            <w:pPr>
              <w:pStyle w:val="TableContents"/>
              <w:spacing w:before="0" w:after="0" w:line="240" w:lineRule="atLeast"/>
            </w:pPr>
            <w:r>
              <w:rPr>
                <w:rFonts w:ascii="Arial" w:hAnsi="Arial" w:cs="Arial" w:eastAsia="Arial"/>
                <w:sz w:val="16"/>
                <w:szCs w:val="16"/>
              </w:rPr>
              <w:t>Monthly, with quarterly cumulative review</w:t>
            </w:r>
          </w:p>
        </w:tc>
        <w:tc>
          <w:tcPr>
            <w:tcW w:type="dxa" w:w="1805"/>
          </w:tcPr>
          <w:p>
            <w:pPr>
              <w:pStyle w:val="TableContents"/>
              <w:spacing w:before="0" w:after="0" w:line="240" w:lineRule="atLeast"/>
            </w:pPr>
            <w:r>
              <w:rPr>
                <w:rFonts w:ascii="Arial" w:hAnsi="Arial" w:cs="Arial" w:eastAsia="Arial"/>
                <w:sz w:val="16"/>
                <w:szCs w:val="16"/>
              </w:rPr>
              <w:t>15 mSv in any 12-month period</w:t>
            </w:r>
          </w:p>
        </w:tc>
        <w:tc>
          <w:tcPr>
            <w:tcW w:type="dxa" w:w="1806"/>
          </w:tcPr>
          <w:p>
            <w:pPr>
              <w:pStyle w:val="TableContents"/>
              <w:spacing w:before="0" w:after="0" w:line="240" w:lineRule="atLeast"/>
            </w:pPr>
            <w:r>
              <w:rPr>
                <w:rFonts w:ascii="Arial" w:hAnsi="Arial" w:cs="Arial" w:eastAsia="Arial"/>
                <w:sz w:val="16"/>
                <w:szCs w:val="16"/>
              </w:rPr>
              <w:t>Immediate suspension from radiation work; exposure investigation; enhanced controls; notification to RSO</w:t>
            </w:r>
          </w:p>
        </w:tc>
      </w:tr>
      <w:tr>
        <w:tc>
          <w:tcPr>
            <w:tcW w:type="dxa" w:w="1805"/>
          </w:tcPr>
          <w:p>
            <w:pPr>
              <w:pStyle w:val="TableContents"/>
              <w:spacing w:before="0" w:after="0" w:line="240" w:lineRule="atLeast"/>
            </w:pPr>
            <w:r>
              <w:rPr>
                <w:rFonts w:ascii="Arial" w:hAnsi="Arial" w:cs="Arial" w:eastAsia="Arial"/>
                <w:sz w:val="16"/>
                <w:szCs w:val="16"/>
              </w:rPr>
              <w:t>Non-classified worker with incidental exposure</w:t>
            </w:r>
          </w:p>
        </w:tc>
        <w:tc>
          <w:tcPr>
            <w:tcW w:type="dxa" w:w="1805"/>
          </w:tcPr>
          <w:p>
            <w:pPr>
              <w:pStyle w:val="TableContents"/>
              <w:spacing w:before="0" w:after="0" w:line="240" w:lineRule="atLeast"/>
            </w:pPr>
            <w:r>
              <w:rPr>
                <w:rFonts w:ascii="Arial" w:hAnsi="Arial" w:cs="Arial" w:eastAsia="Arial"/>
                <w:sz w:val="16"/>
                <w:szCs w:val="16"/>
              </w:rPr>
              <w:t>Film badge or TLD</w:t>
            </w:r>
          </w:p>
        </w:tc>
        <w:tc>
          <w:tcPr>
            <w:tcW w:type="dxa" w:w="1805"/>
          </w:tcPr>
          <w:p>
            <w:pPr>
              <w:pStyle w:val="TableContents"/>
              <w:spacing w:before="0" w:after="0" w:line="240" w:lineRule="atLeast"/>
            </w:pPr>
            <w:r>
              <w:rPr>
                <w:rFonts w:ascii="Arial" w:hAnsi="Arial" w:cs="Arial" w:eastAsia="Arial"/>
                <w:sz w:val="16"/>
                <w:szCs w:val="16"/>
              </w:rPr>
              <w:t>Quarterly</w:t>
            </w:r>
          </w:p>
        </w:tc>
        <w:tc>
          <w:tcPr>
            <w:tcW w:type="dxa" w:w="1805"/>
          </w:tcPr>
          <w:p>
            <w:pPr>
              <w:pStyle w:val="TableContents"/>
              <w:spacing w:before="0" w:after="0" w:line="240" w:lineRule="atLeast"/>
            </w:pPr>
            <w:r>
              <w:rPr>
                <w:rFonts w:ascii="Arial" w:hAnsi="Arial" w:cs="Arial" w:eastAsia="Arial"/>
                <w:sz w:val="16"/>
                <w:szCs w:val="16"/>
              </w:rPr>
              <w:t>0.3 mSv in any 12-month period</w:t>
            </w:r>
          </w:p>
        </w:tc>
        <w:tc>
          <w:tcPr>
            <w:tcW w:type="dxa" w:w="1806"/>
          </w:tcPr>
          <w:p>
            <w:pPr>
              <w:pStyle w:val="TableContents"/>
              <w:spacing w:before="0" w:after="0" w:line="240" w:lineRule="atLeast"/>
            </w:pPr>
            <w:r>
              <w:rPr>
                <w:rFonts w:ascii="Arial" w:hAnsi="Arial" w:cs="Arial" w:eastAsia="Arial"/>
                <w:sz w:val="16"/>
                <w:szCs w:val="16"/>
              </w:rPr>
              <w:t>Review of source controls; investigation by RSO</w:t>
            </w:r>
          </w:p>
        </w:tc>
      </w:tr>
      <w:tr>
        <w:tc>
          <w:tcPr>
            <w:tcW w:type="dxa" w:w="1805"/>
          </w:tcPr>
          <w:p>
            <w:pPr>
              <w:pStyle w:val="TableContents"/>
              <w:spacing w:before="0" w:after="0" w:line="240" w:lineRule="atLeast"/>
            </w:pPr>
            <w:r>
              <w:rPr>
                <w:rFonts w:ascii="Arial" w:hAnsi="Arial" w:cs="Arial" w:eastAsia="Arial"/>
                <w:b/>
                <w:bCs/>
                <w:color w:val="0059D1"/>
                <w:sz w:val="16"/>
                <w:szCs w:val="16"/>
              </w:rPr>
              <w:t>[INSERT: worker category]</w:t>
            </w:r>
          </w:p>
        </w:tc>
        <w:tc>
          <w:tcPr>
            <w:tcW w:type="dxa" w:w="1805"/>
          </w:tcPr>
          <w:p>
            <w:pPr>
              <w:pStyle w:val="TableContents"/>
              <w:spacing w:before="0" w:after="0" w:line="240" w:lineRule="atLeast"/>
            </w:pPr>
            <w:r>
              <w:rPr>
                <w:rFonts w:ascii="Arial" w:hAnsi="Arial" w:cs="Arial" w:eastAsia="Arial"/>
                <w:b/>
                <w:bCs/>
                <w:color w:val="0059D1"/>
                <w:sz w:val="16"/>
                <w:szCs w:val="16"/>
              </w:rPr>
              <w:t>[INSERT: device type]</w:t>
            </w:r>
          </w:p>
        </w:tc>
        <w:tc>
          <w:tcPr>
            <w:tcW w:type="dxa" w:w="1805"/>
          </w:tcPr>
          <w:p>
            <w:pPr>
              <w:pStyle w:val="TableContents"/>
              <w:spacing w:before="0" w:after="0" w:line="240" w:lineRule="atLeast"/>
            </w:pPr>
            <w:r>
              <w:rPr>
                <w:rFonts w:ascii="Arial" w:hAnsi="Arial" w:cs="Arial" w:eastAsia="Arial"/>
                <w:b/>
                <w:bCs/>
                <w:color w:val="0059D1"/>
                <w:sz w:val="16"/>
                <w:szCs w:val="16"/>
              </w:rPr>
              <w:t>[INSERT: monitoring period]</w:t>
            </w:r>
          </w:p>
        </w:tc>
        <w:tc>
          <w:tcPr>
            <w:tcW w:type="dxa" w:w="1805"/>
          </w:tcPr>
          <w:p>
            <w:pPr>
              <w:pStyle w:val="TableContents"/>
              <w:spacing w:before="0" w:after="0" w:line="240" w:lineRule="atLeast"/>
            </w:pPr>
            <w:r>
              <w:rPr>
                <w:rFonts w:ascii="Arial" w:hAnsi="Arial" w:cs="Arial" w:eastAsia="Arial"/>
                <w:b/>
                <w:bCs/>
                <w:color w:val="0059D1"/>
                <w:sz w:val="16"/>
                <w:szCs w:val="16"/>
              </w:rPr>
              <w:t>[INSERT: action level]</w:t>
            </w:r>
          </w:p>
        </w:tc>
        <w:tc>
          <w:tcPr>
            <w:tcW w:type="dxa" w:w="1806"/>
          </w:tcPr>
          <w:p>
            <w:pPr>
              <w:pStyle w:val="TableContents"/>
              <w:spacing w:before="0" w:after="0" w:line="240" w:lineRule="atLeast"/>
            </w:pPr>
            <w:r>
              <w:rPr>
                <w:rFonts w:ascii="Arial" w:hAnsi="Arial" w:cs="Arial" w:eastAsia="Arial"/>
                <w:b/>
                <w:bCs/>
                <w:color w:val="0059D1"/>
                <w:sz w:val="16"/>
                <w:szCs w:val="16"/>
              </w:rPr>
              <w:t>[INSERT: response]</w:t>
            </w:r>
          </w:p>
        </w:tc>
      </w:tr>
    </w:tbl>
    <w:p>
      <w:pPr>
        <w:pStyle w:val="NormalNumberedtext"/>
      </w:pPr>
    </w:p>
    <w:p>
      <w:pPr>
        <w:pStyle w:val="NormalNumberedtext"/>
      </w:pPr>
      <w:r>
        <w:t>The Radiation Safety Officer maintains dose records for all monitored workers for the period required by applicable national legislation and makes records available to workers on request. When an action level is breached, the work supervisor suspends the affected worker from radiation work and reports the event per [INSERT: Project Document Number].</w:t>
      </w:r>
    </w:p>
    <w:p>
      <w:pPr>
        <w:pStyle w:val="NormalNumberedtext"/>
      </w:pPr>
    </w:p>
    <w:p>
      <w:pPr>
        <w:pStyle w:val="Heading2Numbered"/>
        <w:numPr>
          <w:ilvl w:val="1"/>
          <w:numId w:val="1"/>
        </w:numPr>
      </w:pPr>
      <w:r>
        <w:rPr>
          <w:rFonts w:ascii="Arial" w:hAnsi="Arial" w:cs="Arial" w:eastAsia="Arial"/>
        </w:rPr>
        <w:t>Radiation Protection Programme</w:t>
      </w:r>
    </w:p>
    <w:p>
      <w:pPr>
        <w:pStyle w:val="NormalNumberedtext"/>
      </w:pPr>
      <w:r>
        <w:t>This section defines when a Radiation Protection Programme is required and the minimum content it must contain.</w:t>
      </w:r>
    </w:p>
    <w:p>
      <w:pPr>
        <w:pStyle w:val="NormalNumberedtext"/>
      </w:pPr>
      <w:r>
        <w:t>The Radiation Safety Officer prepares a documented Radiation Protection Programme where required by applicable legal regulations or where the radiation risk assessment determines that a formal programme is necessary to manage exposures to ALARA levels. The RPP is approved by the Project Director before radiation-emitting equipment is mobilised to site.</w:t>
      </w:r>
    </w:p>
    <w:p>
      <w:pPr>
        <w:pStyle w:val="NormalNumberedtext"/>
      </w:pPr>
      <w:r>
        <w:t>The Radiation Protection Programme must address, at a minimum:</w:t>
      </w:r>
    </w:p>
    <w:p>
      <w:pPr>
        <w:pStyle w:val="NumberedBulletL1"/>
      </w:pPr>
      <w:r>
        <w:t>Radiation dose limits and action levels, consistent with Table 3.</w:t>
      </w:r>
    </w:p>
    <w:p>
      <w:pPr>
        <w:pStyle w:val="NumberedBulletL1"/>
      </w:pPr>
      <w:r>
        <w:t>Exposure monitoring requirements, consistent with Table 4.</w:t>
      </w:r>
    </w:p>
    <w:p>
      <w:pPr>
        <w:pStyle w:val="NumberedBulletL1"/>
      </w:pPr>
      <w:r>
        <w:t>Personal protective equipment requirements for each source category.</w:t>
      </w:r>
    </w:p>
    <w:p>
      <w:pPr>
        <w:pStyle w:val="NumberedBulletL1"/>
      </w:pPr>
      <w:r>
        <w:t>Medical surveillance requirements for classified radiation workers, including pre-placement and periodic health assessments.</w:t>
      </w:r>
    </w:p>
    <w:p>
      <w:pPr>
        <w:pStyle w:val="NumberedBulletL1"/>
      </w:pPr>
      <w:r>
        <w:t>Radiation safety training requirements, consistent with [INSERT: Project Document Number] and documented in [INSERT: Project Document Number].</w:t>
      </w:r>
    </w:p>
    <w:p>
      <w:pPr>
        <w:pStyle w:val="NumberedBulletL1"/>
      </w:pPr>
      <w:r>
        <w:t>Emergency procedures for radiation incidents, consistent with Section 5 of this procedure.</w:t>
      </w:r>
    </w:p>
    <w:p>
      <w:pPr>
        <w:pStyle w:val="NormalNumberedtext"/>
      </w:pPr>
      <w:r>
        <w:rPr>
          <w:b/>
          <w:bCs/>
          <w:color w:val="0059D1"/>
        </w:rPr>
        <w:t>[INSERT: RPP_location]</w:t>
      </w:r>
    </w:p>
    <w:p>
      <w:pPr>
        <w:pStyle w:val="NormalNumberedtext"/>
      </w:pPr>
    </w:p>
    <w:p>
      <w:pPr>
        <w:pStyle w:val="Heading1Numbered"/>
        <w:numPr>
          <w:ilvl w:val="0"/>
          <w:numId w:val="1"/>
        </w:numPr>
      </w:pPr>
      <w:r>
        <w:rPr>
          <w:rFonts w:ascii="Arial" w:hAnsi="Arial" w:cs="Arial" w:eastAsia="Arial"/>
        </w:rPr>
        <w:t>Competency and Emergency Response</w:t>
      </w:r>
    </w:p>
    <w:p>
      <w:pPr>
        <w:pStyle w:val="NormalNumberedtext"/>
      </w:pPr>
      <w:r>
        <w:t>This section defines the competency and licence requirements for personnel operating radiation-emitting equipment and the emergency response process for radiation incidents.</w:t>
      </w:r>
    </w:p>
    <w:p>
      <w:pPr>
        <w:pStyle w:val="NormalNumberedtext"/>
      </w:pPr>
    </w:p>
    <w:p>
      <w:pPr>
        <w:pStyle w:val="Heading2Numbered"/>
        <w:numPr>
          <w:ilvl w:val="1"/>
          <w:numId w:val="1"/>
        </w:numPr>
      </w:pPr>
      <w:r>
        <w:rPr>
          <w:rFonts w:ascii="Arial" w:hAnsi="Arial" w:cs="Arial" w:eastAsia="Arial"/>
        </w:rPr>
        <w:t>Competency and Licence Requirements</w:t>
      </w:r>
    </w:p>
    <w:p>
      <w:pPr>
        <w:pStyle w:val="NormalNumberedtext"/>
      </w:pPr>
      <w:r>
        <w:t>This section defines the minimum competency and licence conditions that must be confirmed before any personnel operate radiation-emitting equipment.</w:t>
      </w:r>
    </w:p>
    <w:p>
      <w:pPr>
        <w:pStyle w:val="NormalNumberedtext"/>
      </w:pPr>
      <w:r>
        <w:t>The work supervisor confirms that all personnel operating radiation-emitting equipment hold a current competency and, where required by applicable national legislation, a valid radiation licence before work commences. No person operates radiation-emitting equipment without the work supervisor confirming this requirement is met. Licence requirements are governed by [INSERT: Project Document Number]. Radiation safety training requirements and training records are managed under [INSERT: Project Document Number] and documented in [INSERT: Project Document Number].</w:t>
      </w:r>
    </w:p>
    <w:p>
      <w:pPr>
        <w:pStyle w:val="NormalNumberedtext"/>
      </w:pPr>
      <w:r>
        <w:t>Table 5: Competency and Licence Requirements by Equipment Type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Equipment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Competency Requirement</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Licence Required (Y/N)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Issuing Authority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Verification Method</w:t>
            </w:r>
          </w:p>
        </w:tc>
      </w:tr>
      <w:tr>
        <w:tc>
          <w:tcPr>
            <w:tcW w:type="dxa" w:w="1805"/>
          </w:tcPr>
          <w:p>
            <w:pPr>
              <w:pStyle w:val="TableContents"/>
              <w:spacing w:before="0" w:after="0" w:line="240" w:lineRule="atLeast"/>
            </w:pPr>
            <w:r>
              <w:rPr>
                <w:rFonts w:ascii="Arial" w:hAnsi="Arial" w:cs="Arial" w:eastAsia="Arial"/>
                <w:sz w:val="16"/>
                <w:szCs w:val="16"/>
              </w:rPr>
              <w:t>Industrial radiography - gamma source</w:t>
            </w:r>
          </w:p>
        </w:tc>
        <w:tc>
          <w:tcPr>
            <w:tcW w:type="dxa" w:w="1805"/>
          </w:tcPr>
          <w:p>
            <w:pPr>
              <w:pStyle w:val="TableContents"/>
              <w:spacing w:before="0" w:after="0" w:line="240" w:lineRule="atLeast"/>
            </w:pPr>
            <w:r>
              <w:rPr>
                <w:rFonts w:ascii="Arial" w:hAnsi="Arial" w:cs="Arial" w:eastAsia="Arial"/>
                <w:sz w:val="16"/>
                <w:szCs w:val="16"/>
              </w:rPr>
              <w:t>Certified radiographer qualification under applicable national standard</w:t>
            </w:r>
          </w:p>
        </w:tc>
        <w:tc>
          <w:tcPr>
            <w:tcW w:type="dxa" w:w="1805"/>
          </w:tcPr>
          <w:p>
            <w:pPr>
              <w:pStyle w:val="TableContents"/>
              <w:spacing w:before="0" w:after="0" w:line="240" w:lineRule="atLeast"/>
            </w:pPr>
            <w:r>
              <w:rPr>
                <w:rFonts w:ascii="Arial" w:hAnsi="Arial" w:cs="Arial" w:eastAsia="Arial"/>
                <w:sz w:val="16"/>
                <w:szCs w:val="16"/>
              </w:rPr>
              <w:t>Y</w:t>
            </w:r>
          </w:p>
        </w:tc>
        <w:tc>
          <w:tcPr>
            <w:tcW w:type="dxa" w:w="1805"/>
          </w:tcPr>
          <w:p>
            <w:pPr>
              <w:pStyle w:val="TableContents"/>
              <w:spacing w:before="0" w:after="0" w:line="240" w:lineRule="atLeast"/>
            </w:pPr>
            <w:r>
              <w:rPr>
                <w:rFonts w:ascii="Arial" w:hAnsi="Arial" w:cs="Arial" w:eastAsia="Arial"/>
                <w:b/>
                <w:bCs/>
                <w:color w:val="0059D1"/>
                <w:sz w:val="16"/>
                <w:szCs w:val="16"/>
              </w:rPr>
              <w:t>[INSERT: national regulatory authority]</w:t>
            </w:r>
          </w:p>
        </w:tc>
        <w:tc>
          <w:tcPr>
            <w:tcW w:type="dxa" w:w="1806"/>
          </w:tcPr>
          <w:p>
            <w:pPr>
              <w:pStyle w:val="TableContents"/>
              <w:spacing w:before="0" w:after="0" w:line="240" w:lineRule="atLeast"/>
            </w:pPr>
            <w:r>
              <w:rPr>
                <w:rFonts w:ascii="Arial" w:hAnsi="Arial" w:cs="Arial" w:eastAsia="Arial"/>
                <w:sz w:val="16"/>
                <w:szCs w:val="16"/>
              </w:rPr>
              <w:t xml:space="preserve">Sight original certificate; record in training register </w:t>
            </w:r>
            <w:r>
              <w:rPr>
                <w:rFonts w:ascii="Arial" w:hAnsi="Arial" w:cs="Arial" w:eastAsia="Arial"/>
                <w:b/>
                <w:bCs/>
                <w:color w:val="0059D1"/>
                <w:sz w:val="16"/>
                <w:szCs w:val="16"/>
              </w:rPr>
              <w:t>[INSERT: Project Document Number]</w:t>
            </w:r>
          </w:p>
        </w:tc>
      </w:tr>
      <w:tr>
        <w:tc>
          <w:tcPr>
            <w:tcW w:type="dxa" w:w="1805"/>
          </w:tcPr>
          <w:p>
            <w:pPr>
              <w:pStyle w:val="TableContents"/>
              <w:spacing w:before="0" w:after="0" w:line="240" w:lineRule="atLeast"/>
            </w:pPr>
            <w:r>
              <w:rPr>
                <w:rFonts w:ascii="Arial" w:hAnsi="Arial" w:cs="Arial" w:eastAsia="Arial"/>
                <w:sz w:val="16"/>
                <w:szCs w:val="16"/>
              </w:rPr>
              <w:t>Nuclear density gauge</w:t>
            </w:r>
          </w:p>
        </w:tc>
        <w:tc>
          <w:tcPr>
            <w:tcW w:type="dxa" w:w="1805"/>
          </w:tcPr>
          <w:p>
            <w:pPr>
              <w:pStyle w:val="TableContents"/>
              <w:spacing w:before="0" w:after="0" w:line="240" w:lineRule="atLeast"/>
            </w:pPr>
            <w:r>
              <w:rPr>
                <w:rFonts w:ascii="Arial" w:hAnsi="Arial" w:cs="Arial" w:eastAsia="Arial"/>
                <w:sz w:val="16"/>
                <w:szCs w:val="16"/>
              </w:rPr>
              <w:t>Radiation safety awareness training specific to gauge operation</w:t>
            </w:r>
          </w:p>
        </w:tc>
        <w:tc>
          <w:tcPr>
            <w:tcW w:type="dxa" w:w="1805"/>
          </w:tcPr>
          <w:p>
            <w:pPr>
              <w:pStyle w:val="TableContents"/>
              <w:spacing w:before="0" w:after="0" w:line="240" w:lineRule="atLeast"/>
            </w:pPr>
            <w:r>
              <w:rPr>
                <w:rFonts w:ascii="Arial" w:hAnsi="Arial" w:cs="Arial" w:eastAsia="Arial"/>
                <w:sz w:val="16"/>
                <w:szCs w:val="16"/>
              </w:rPr>
              <w:t>Y - gauge operator licence</w:t>
            </w:r>
          </w:p>
        </w:tc>
        <w:tc>
          <w:tcPr>
            <w:tcW w:type="dxa" w:w="1805"/>
          </w:tcPr>
          <w:p>
            <w:pPr>
              <w:pStyle w:val="TableContents"/>
              <w:spacing w:before="0" w:after="0" w:line="240" w:lineRule="atLeast"/>
            </w:pPr>
            <w:r>
              <w:rPr>
                <w:rFonts w:ascii="Arial" w:hAnsi="Arial" w:cs="Arial" w:eastAsia="Arial"/>
                <w:b/>
                <w:bCs/>
                <w:color w:val="0059D1"/>
                <w:sz w:val="16"/>
                <w:szCs w:val="16"/>
              </w:rPr>
              <w:t>[INSERT: national regulatory authority]</w:t>
            </w:r>
          </w:p>
        </w:tc>
        <w:tc>
          <w:tcPr>
            <w:tcW w:type="dxa" w:w="1806"/>
          </w:tcPr>
          <w:p>
            <w:pPr>
              <w:pStyle w:val="TableContents"/>
              <w:spacing w:before="0" w:after="0" w:line="240" w:lineRule="atLeast"/>
            </w:pPr>
            <w:r>
              <w:rPr>
                <w:rFonts w:ascii="Arial" w:hAnsi="Arial" w:cs="Arial" w:eastAsia="Arial"/>
                <w:sz w:val="16"/>
                <w:szCs w:val="16"/>
              </w:rPr>
              <w:t xml:space="preserve">Sight licence card; record in training register </w:t>
            </w:r>
            <w:r>
              <w:rPr>
                <w:rFonts w:ascii="Arial" w:hAnsi="Arial" w:cs="Arial" w:eastAsia="Arial"/>
                <w:b/>
                <w:bCs/>
                <w:color w:val="0059D1"/>
                <w:sz w:val="16"/>
                <w:szCs w:val="16"/>
              </w:rPr>
              <w:t>[INSERT: Project Document Number]</w:t>
            </w:r>
          </w:p>
        </w:tc>
      </w:tr>
      <w:tr>
        <w:tc>
          <w:tcPr>
            <w:tcW w:type="dxa" w:w="1805"/>
          </w:tcPr>
          <w:p>
            <w:pPr>
              <w:pStyle w:val="TableContents"/>
              <w:spacing w:before="0" w:after="0" w:line="240" w:lineRule="atLeast"/>
            </w:pPr>
            <w:r>
              <w:rPr>
                <w:rFonts w:ascii="Arial" w:hAnsi="Arial" w:cs="Arial" w:eastAsia="Arial"/>
                <w:b/>
                <w:bCs/>
                <w:color w:val="0059D1"/>
                <w:sz w:val="16"/>
                <w:szCs w:val="16"/>
              </w:rPr>
              <w:t>[INSERT: equipment type]</w:t>
            </w:r>
          </w:p>
        </w:tc>
        <w:tc>
          <w:tcPr>
            <w:tcW w:type="dxa" w:w="1805"/>
          </w:tcPr>
          <w:p>
            <w:pPr>
              <w:pStyle w:val="TableContents"/>
              <w:spacing w:before="0" w:after="0" w:line="240" w:lineRule="atLeast"/>
            </w:pPr>
            <w:r>
              <w:rPr>
                <w:rFonts w:ascii="Arial" w:hAnsi="Arial" w:cs="Arial" w:eastAsia="Arial"/>
                <w:b/>
                <w:bCs/>
                <w:color w:val="0059D1"/>
                <w:sz w:val="16"/>
                <w:szCs w:val="16"/>
              </w:rPr>
              <w:t>[INSERT: competency requirement]</w:t>
            </w:r>
          </w:p>
        </w:tc>
        <w:tc>
          <w:tcPr>
            <w:tcW w:type="dxa" w:w="1805"/>
          </w:tcPr>
          <w:p>
            <w:pPr>
              <w:pStyle w:val="TableContents"/>
              <w:spacing w:before="0" w:after="0" w:line="240" w:lineRule="atLeast"/>
            </w:pPr>
            <w:r>
              <w:rPr>
                <w:rFonts w:ascii="Arial" w:hAnsi="Arial" w:cs="Arial" w:eastAsia="Arial"/>
                <w:b/>
                <w:bCs/>
                <w:color w:val="0059D1"/>
                <w:sz w:val="16"/>
                <w:szCs w:val="16"/>
              </w:rPr>
              <w:t>[INSERT: Y/N]</w:t>
            </w:r>
          </w:p>
        </w:tc>
        <w:tc>
          <w:tcPr>
            <w:tcW w:type="dxa" w:w="1805"/>
          </w:tcPr>
          <w:p>
            <w:pPr>
              <w:pStyle w:val="TableContents"/>
              <w:spacing w:before="0" w:after="0" w:line="240" w:lineRule="atLeast"/>
            </w:pPr>
            <w:r>
              <w:rPr>
                <w:rFonts w:ascii="Arial" w:hAnsi="Arial" w:cs="Arial" w:eastAsia="Arial"/>
                <w:b/>
                <w:bCs/>
                <w:color w:val="0059D1"/>
                <w:sz w:val="16"/>
                <w:szCs w:val="16"/>
              </w:rPr>
              <w:t>[INSERT: issuing authority]</w:t>
            </w:r>
          </w:p>
        </w:tc>
        <w:tc>
          <w:tcPr>
            <w:tcW w:type="dxa" w:w="1806"/>
          </w:tcPr>
          <w:p>
            <w:pPr>
              <w:pStyle w:val="TableContents"/>
              <w:spacing w:before="0" w:after="0" w:line="240" w:lineRule="atLeast"/>
            </w:pPr>
            <w:r>
              <w:rPr>
                <w:rFonts w:ascii="Arial" w:hAnsi="Arial" w:cs="Arial" w:eastAsia="Arial"/>
                <w:b/>
                <w:bCs/>
                <w:color w:val="0059D1"/>
                <w:sz w:val="16"/>
                <w:szCs w:val="16"/>
              </w:rPr>
              <w:t>[INSERT: verification method]</w:t>
            </w:r>
          </w:p>
        </w:tc>
      </w:tr>
    </w:tbl>
    <w:p>
      <w:pPr>
        <w:pStyle w:val="NormalNumberedtext"/>
      </w:pPr>
    </w:p>
    <w:p>
      <w:pPr>
        <w:pStyle w:val="Heading2Numbered"/>
        <w:numPr>
          <w:ilvl w:val="1"/>
          <w:numId w:val="1"/>
        </w:numPr>
      </w:pPr>
      <w:r>
        <w:rPr>
          <w:rFonts w:ascii="Arial" w:hAnsi="Arial" w:cs="Arial" w:eastAsia="Arial"/>
        </w:rPr>
        <w:t>Radiation Incident Emergency Response</w:t>
      </w:r>
    </w:p>
    <w:p>
      <w:pPr>
        <w:pStyle w:val="NormalNumberedtext"/>
      </w:pPr>
      <w:r>
        <w:t>This section defines the emergency response requirements for radiation incidents, including notification pathways to regulatory authorities.</w:t>
      </w:r>
    </w:p>
    <w:p>
      <w:pPr>
        <w:pStyle w:val="NormalNumberedtext"/>
      </w:pPr>
      <w:r>
        <w:t>The Radiation Safety Officer prepares a radiation incident emergency response process as part of the Radiation Protection Programme before any radiation-emitting equipment is mobilised to site. The emergency response process defines immediate response actions, escalation pathways, and regulatory notification requirements for each of the following incident categories:</w:t>
      </w:r>
    </w:p>
    <w:p>
      <w:pPr>
        <w:pStyle w:val="NormalNumberedtext"/>
      </w:pPr>
      <w:r>
        <w:t>Radiation incident categories requiring a defined emergency response include:</w:t>
      </w:r>
    </w:p>
    <w:p>
      <w:pPr>
        <w:pStyle w:val="NumberedBulletL1"/>
      </w:pPr>
      <w:r>
        <w:t>Radioactive spill or contamination - release of radioactive material from containment.</w:t>
      </w:r>
    </w:p>
    <w:p>
      <w:pPr>
        <w:pStyle w:val="NumberedBulletL1"/>
      </w:pPr>
      <w:r>
        <w:t>Lost or unaccounted radiation source - a licensed source cannot be located by the responsible person.</w:t>
      </w:r>
    </w:p>
    <w:p>
      <w:pPr>
        <w:pStyle w:val="NumberedBulletL1"/>
      </w:pPr>
      <w:r>
        <w:t>Suspected or confirmed overexposure - a worker's dose reading meets or exceeds the action level defined in Table 4 or a worker reports symptoms consistent with acute radiation exposure.</w:t>
      </w:r>
    </w:p>
    <w:p>
      <w:pPr>
        <w:pStyle w:val="NumberedBulletL1"/>
      </w:pPr>
      <w:r>
        <w:t>Damage to radiation-emitting equipment - physical damage to a source container, gauge housing, or X-ray unit that may compromise shielding integrity.</w:t>
      </w:r>
    </w:p>
    <w:p>
      <w:pPr>
        <w:pStyle w:val="NormalNumberedtext"/>
      </w:pPr>
      <w:r>
        <w:rPr>
          <w:b/>
          <w:bCs/>
          <w:color w:val="0059D1"/>
        </w:rPr>
        <w:t>[INSERT: additional_incident_categories]</w:t>
      </w:r>
    </w:p>
    <w:p>
      <w:pPr>
        <w:pStyle w:val="NormalNumberedtext"/>
      </w:pPr>
      <w:r>
        <w:t>When a radiation incident occurs, the work supervisor immediately suspends work in the affected area, secures the area, and notifies the Radiation Safety Officer. The Radiation Safety Officer initiates the emergency response process and confirms the notification pathway to the relevant regulatory authority is activated within the timeframe required by applicable national legislation. All incidents and near misses are reported per project requirements, refer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EMERGENCY RESPONSE: Define the project radiation incident emergency response process and the notification pathway to the relevant regulatory authority. Insert the regulatory authority contact details and the required notification timeframe into Table 6 before mobilisation.</w:t>
            </w:r>
          </w:p>
        </w:tc>
      </w:tr>
    </w:tbl>
    <w:p>
      <w:pPr>
        <w:pStyle w:val="NormalNumberedtext"/>
      </w:pPr>
    </w:p>
    <w:p>
      <w:pPr>
        <w:pStyle w:val="NormalNumberedtext"/>
      </w:pPr>
      <w:r>
        <w:t>Table 6: Radiation Incident Notification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Incident Category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Immediate Action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Internal Notification (role and timeframe)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Regulatory Authority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Regulatory Notification Timeframe</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Notification Contact</w:t>
            </w:r>
          </w:p>
        </w:tc>
      </w:tr>
      <w:tr>
        <w:tc>
          <w:tcPr>
            <w:tcW w:type="dxa" w:w="1504"/>
          </w:tcPr>
          <w:p>
            <w:pPr>
              <w:pStyle w:val="TableContents"/>
              <w:spacing w:before="0" w:after="0" w:line="240" w:lineRule="atLeast"/>
            </w:pPr>
            <w:r>
              <w:rPr>
                <w:rFonts w:ascii="Arial" w:hAnsi="Arial" w:cs="Arial" w:eastAsia="Arial"/>
                <w:sz w:val="16"/>
                <w:szCs w:val="16"/>
              </w:rPr>
              <w:t>Lost or unaccounted source</w:t>
            </w:r>
          </w:p>
        </w:tc>
        <w:tc>
          <w:tcPr>
            <w:tcW w:type="dxa" w:w="1504"/>
          </w:tcPr>
          <w:p>
            <w:pPr>
              <w:pStyle w:val="TableContents"/>
              <w:spacing w:before="0" w:after="0" w:line="240" w:lineRule="atLeast"/>
            </w:pPr>
            <w:r>
              <w:rPr>
                <w:rFonts w:ascii="Arial" w:hAnsi="Arial" w:cs="Arial" w:eastAsia="Arial"/>
                <w:sz w:val="16"/>
                <w:szCs w:val="16"/>
              </w:rPr>
              <w:t>Suspend work; secure area; do not attempt recovery without RSO direction</w:t>
            </w:r>
          </w:p>
        </w:tc>
        <w:tc>
          <w:tcPr>
            <w:tcW w:type="dxa" w:w="1504"/>
          </w:tcPr>
          <w:p>
            <w:pPr>
              <w:pStyle w:val="TableContents"/>
              <w:spacing w:before="0" w:after="0" w:line="240" w:lineRule="atLeast"/>
            </w:pPr>
            <w:r>
              <w:rPr>
                <w:rFonts w:ascii="Arial" w:hAnsi="Arial" w:cs="Arial" w:eastAsia="Arial"/>
                <w:sz w:val="16"/>
                <w:szCs w:val="16"/>
              </w:rPr>
              <w:t>RSO - immediately; Project Director - within 1 hour</w:t>
            </w:r>
          </w:p>
        </w:tc>
        <w:tc>
          <w:tcPr>
            <w:tcW w:type="dxa" w:w="1504"/>
          </w:tcPr>
          <w:p>
            <w:pPr>
              <w:pStyle w:val="TableContents"/>
              <w:spacing w:before="0" w:after="0" w:line="240" w:lineRule="atLeast"/>
            </w:pPr>
            <w:r>
              <w:rPr>
                <w:rFonts w:ascii="Arial" w:hAnsi="Arial" w:cs="Arial" w:eastAsia="Arial"/>
                <w:b/>
                <w:bCs/>
                <w:color w:val="0059D1"/>
                <w:sz w:val="16"/>
                <w:szCs w:val="16"/>
              </w:rPr>
              <w:t>[INSERT: regulatory authority name]</w:t>
            </w:r>
          </w:p>
        </w:tc>
        <w:tc>
          <w:tcPr>
            <w:tcW w:type="dxa" w:w="1504"/>
          </w:tcPr>
          <w:p>
            <w:pPr>
              <w:pStyle w:val="TableContents"/>
              <w:spacing w:before="0" w:after="0" w:line="240" w:lineRule="atLeast"/>
            </w:pPr>
            <w:r>
              <w:rPr>
                <w:rFonts w:ascii="Arial" w:hAnsi="Arial" w:cs="Arial" w:eastAsia="Arial"/>
                <w:b/>
                <w:bCs/>
                <w:color w:val="0059D1"/>
                <w:sz w:val="16"/>
                <w:szCs w:val="16"/>
              </w:rPr>
              <w:t>[INSERT: required timeframe — e.g., within 24 hours]</w:t>
            </w:r>
          </w:p>
        </w:tc>
        <w:tc>
          <w:tcPr>
            <w:tcW w:type="dxa" w:w="1506"/>
          </w:tcPr>
          <w:p>
            <w:pPr>
              <w:pStyle w:val="TableContents"/>
              <w:spacing w:before="0" w:after="0" w:line="240" w:lineRule="atLeast"/>
            </w:pPr>
            <w:r>
              <w:rPr>
                <w:rFonts w:ascii="Arial" w:hAnsi="Arial" w:cs="Arial" w:eastAsia="Arial"/>
                <w:b/>
                <w:bCs/>
                <w:color w:val="0059D1"/>
                <w:sz w:val="16"/>
                <w:szCs w:val="16"/>
              </w:rPr>
              <w:t>[INSERT: contact number and email]</w:t>
            </w:r>
          </w:p>
        </w:tc>
      </w:tr>
      <w:tr>
        <w:tc>
          <w:tcPr>
            <w:tcW w:type="dxa" w:w="1504"/>
          </w:tcPr>
          <w:p>
            <w:pPr>
              <w:pStyle w:val="TableContents"/>
              <w:spacing w:before="0" w:after="0" w:line="240" w:lineRule="atLeast"/>
            </w:pPr>
            <w:r>
              <w:rPr>
                <w:rFonts w:ascii="Arial" w:hAnsi="Arial" w:cs="Arial" w:eastAsia="Arial"/>
                <w:sz w:val="16"/>
                <w:szCs w:val="16"/>
              </w:rPr>
              <w:t>Suspected overexposure</w:t>
            </w:r>
          </w:p>
        </w:tc>
        <w:tc>
          <w:tcPr>
            <w:tcW w:type="dxa" w:w="1504"/>
          </w:tcPr>
          <w:p>
            <w:pPr>
              <w:pStyle w:val="TableContents"/>
              <w:spacing w:before="0" w:after="0" w:line="240" w:lineRule="atLeast"/>
            </w:pPr>
            <w:r>
              <w:rPr>
                <w:rFonts w:ascii="Arial" w:hAnsi="Arial" w:cs="Arial" w:eastAsia="Arial"/>
                <w:sz w:val="16"/>
                <w:szCs w:val="16"/>
              </w:rPr>
              <w:t>Remove worker from radiation area; arrange medical assessment; preserve dosimeter for reading</w:t>
            </w:r>
          </w:p>
        </w:tc>
        <w:tc>
          <w:tcPr>
            <w:tcW w:type="dxa" w:w="1504"/>
          </w:tcPr>
          <w:p>
            <w:pPr>
              <w:pStyle w:val="TableContents"/>
              <w:spacing w:before="0" w:after="0" w:line="240" w:lineRule="atLeast"/>
            </w:pPr>
            <w:r>
              <w:rPr>
                <w:rFonts w:ascii="Arial" w:hAnsi="Arial" w:cs="Arial" w:eastAsia="Arial"/>
                <w:sz w:val="16"/>
                <w:szCs w:val="16"/>
              </w:rPr>
              <w:t>RSO - immediately; HSESC Manager - within 1 hour</w:t>
            </w:r>
          </w:p>
        </w:tc>
        <w:tc>
          <w:tcPr>
            <w:tcW w:type="dxa" w:w="1504"/>
          </w:tcPr>
          <w:p>
            <w:pPr>
              <w:pStyle w:val="TableContents"/>
              <w:spacing w:before="0" w:after="0" w:line="240" w:lineRule="atLeast"/>
            </w:pPr>
            <w:r>
              <w:rPr>
                <w:rFonts w:ascii="Arial" w:hAnsi="Arial" w:cs="Arial" w:eastAsia="Arial"/>
                <w:b/>
                <w:bCs/>
                <w:color w:val="0059D1"/>
                <w:sz w:val="16"/>
                <w:szCs w:val="16"/>
              </w:rPr>
              <w:t>[INSERT: regulatory authority name]</w:t>
            </w:r>
          </w:p>
        </w:tc>
        <w:tc>
          <w:tcPr>
            <w:tcW w:type="dxa" w:w="1504"/>
          </w:tcPr>
          <w:p>
            <w:pPr>
              <w:pStyle w:val="TableContents"/>
              <w:spacing w:before="0" w:after="0" w:line="240" w:lineRule="atLeast"/>
            </w:pPr>
            <w:r>
              <w:rPr>
                <w:rFonts w:ascii="Arial" w:hAnsi="Arial" w:cs="Arial" w:eastAsia="Arial"/>
                <w:b/>
                <w:bCs/>
                <w:color w:val="0059D1"/>
                <w:sz w:val="16"/>
                <w:szCs w:val="16"/>
              </w:rPr>
              <w:t>[INSERT: required timeframe]</w:t>
            </w:r>
          </w:p>
        </w:tc>
        <w:tc>
          <w:tcPr>
            <w:tcW w:type="dxa" w:w="1506"/>
          </w:tcPr>
          <w:p>
            <w:pPr>
              <w:pStyle w:val="TableContents"/>
              <w:spacing w:before="0" w:after="0" w:line="240" w:lineRule="atLeast"/>
            </w:pPr>
            <w:r>
              <w:rPr>
                <w:rFonts w:ascii="Arial" w:hAnsi="Arial" w:cs="Arial" w:eastAsia="Arial"/>
                <w:b/>
                <w:bCs/>
                <w:color w:val="0059D1"/>
                <w:sz w:val="16"/>
                <w:szCs w:val="16"/>
              </w:rPr>
              <w:t>[INSERT: contact number and email]</w:t>
            </w:r>
          </w:p>
        </w:tc>
      </w:tr>
      <w:tr>
        <w:tc>
          <w:tcPr>
            <w:tcW w:type="dxa" w:w="1504"/>
          </w:tcPr>
          <w:p>
            <w:pPr>
              <w:pStyle w:val="TableContents"/>
              <w:spacing w:before="0" w:after="0" w:line="240" w:lineRule="atLeast"/>
            </w:pPr>
            <w:r>
              <w:rPr>
                <w:rFonts w:ascii="Arial" w:hAnsi="Arial" w:cs="Arial" w:eastAsia="Arial"/>
                <w:sz w:val="16"/>
                <w:szCs w:val="16"/>
              </w:rPr>
              <w:t>Radioactive spill</w:t>
            </w:r>
          </w:p>
        </w:tc>
        <w:tc>
          <w:tcPr>
            <w:tcW w:type="dxa" w:w="1504"/>
          </w:tcPr>
          <w:p>
            <w:pPr>
              <w:pStyle w:val="TableContents"/>
              <w:spacing w:before="0" w:after="0" w:line="240" w:lineRule="atLeast"/>
            </w:pPr>
            <w:r>
              <w:rPr>
                <w:rFonts w:ascii="Arial" w:hAnsi="Arial" w:cs="Arial" w:eastAsia="Arial"/>
                <w:sz w:val="16"/>
                <w:szCs w:val="16"/>
              </w:rPr>
              <w:t>Evacuate area; establish exclusion zone; do not attempt clean-up without RSO direction</w:t>
            </w:r>
          </w:p>
        </w:tc>
        <w:tc>
          <w:tcPr>
            <w:tcW w:type="dxa" w:w="1504"/>
          </w:tcPr>
          <w:p>
            <w:pPr>
              <w:pStyle w:val="TableContents"/>
              <w:spacing w:before="0" w:after="0" w:line="240" w:lineRule="atLeast"/>
            </w:pPr>
            <w:r>
              <w:rPr>
                <w:rFonts w:ascii="Arial" w:hAnsi="Arial" w:cs="Arial" w:eastAsia="Arial"/>
                <w:sz w:val="16"/>
                <w:szCs w:val="16"/>
              </w:rPr>
              <w:t>RSO - immediately; Project Director - within 1 hour</w:t>
            </w:r>
          </w:p>
        </w:tc>
        <w:tc>
          <w:tcPr>
            <w:tcW w:type="dxa" w:w="1504"/>
          </w:tcPr>
          <w:p>
            <w:pPr>
              <w:pStyle w:val="TableContents"/>
              <w:spacing w:before="0" w:after="0" w:line="240" w:lineRule="atLeast"/>
            </w:pPr>
            <w:r>
              <w:rPr>
                <w:rFonts w:ascii="Arial" w:hAnsi="Arial" w:cs="Arial" w:eastAsia="Arial"/>
                <w:b/>
                <w:bCs/>
                <w:color w:val="0059D1"/>
                <w:sz w:val="16"/>
                <w:szCs w:val="16"/>
              </w:rPr>
              <w:t>[INSERT: regulatory authority name]</w:t>
            </w:r>
          </w:p>
        </w:tc>
        <w:tc>
          <w:tcPr>
            <w:tcW w:type="dxa" w:w="1504"/>
          </w:tcPr>
          <w:p>
            <w:pPr>
              <w:pStyle w:val="TableContents"/>
              <w:spacing w:before="0" w:after="0" w:line="240" w:lineRule="atLeast"/>
            </w:pPr>
            <w:r>
              <w:rPr>
                <w:rFonts w:ascii="Arial" w:hAnsi="Arial" w:cs="Arial" w:eastAsia="Arial"/>
                <w:b/>
                <w:bCs/>
                <w:color w:val="0059D1"/>
                <w:sz w:val="16"/>
                <w:szCs w:val="16"/>
              </w:rPr>
              <w:t>[INSERT: required timeframe]</w:t>
            </w:r>
          </w:p>
        </w:tc>
        <w:tc>
          <w:tcPr>
            <w:tcW w:type="dxa" w:w="1506"/>
          </w:tcPr>
          <w:p>
            <w:pPr>
              <w:pStyle w:val="TableContents"/>
              <w:spacing w:before="0" w:after="0" w:line="240" w:lineRule="atLeast"/>
            </w:pPr>
            <w:r>
              <w:rPr>
                <w:rFonts w:ascii="Arial" w:hAnsi="Arial" w:cs="Arial" w:eastAsia="Arial"/>
                <w:b/>
                <w:bCs/>
                <w:color w:val="0059D1"/>
                <w:sz w:val="16"/>
                <w:szCs w:val="16"/>
              </w:rPr>
              <w:t>[INSERT: contact number and email]</w:t>
            </w:r>
          </w:p>
        </w:tc>
      </w:tr>
      <w:tr>
        <w:tc>
          <w:tcPr>
            <w:tcW w:type="dxa" w:w="1504"/>
          </w:tcPr>
          <w:p>
            <w:pPr>
              <w:pStyle w:val="TableContents"/>
              <w:spacing w:before="0" w:after="0" w:line="240" w:lineRule="atLeast"/>
            </w:pPr>
            <w:r>
              <w:rPr>
                <w:rFonts w:ascii="Arial" w:hAnsi="Arial" w:cs="Arial" w:eastAsia="Arial"/>
                <w:b/>
                <w:bCs/>
                <w:color w:val="0059D1"/>
                <w:sz w:val="16"/>
                <w:szCs w:val="16"/>
              </w:rPr>
              <w:t>[INSERT: incident category]</w:t>
            </w:r>
          </w:p>
        </w:tc>
        <w:tc>
          <w:tcPr>
            <w:tcW w:type="dxa" w:w="1504"/>
          </w:tcPr>
          <w:p>
            <w:pPr>
              <w:pStyle w:val="TableContents"/>
              <w:spacing w:before="0" w:after="0" w:line="240" w:lineRule="atLeast"/>
            </w:pPr>
            <w:r>
              <w:rPr>
                <w:rFonts w:ascii="Arial" w:hAnsi="Arial" w:cs="Arial" w:eastAsia="Arial"/>
                <w:b/>
                <w:bCs/>
                <w:color w:val="0059D1"/>
                <w:sz w:val="16"/>
                <w:szCs w:val="16"/>
              </w:rPr>
              <w:t>[INSERT: immediate action]</w:t>
            </w:r>
          </w:p>
        </w:tc>
        <w:tc>
          <w:tcPr>
            <w:tcW w:type="dxa" w:w="1504"/>
          </w:tcPr>
          <w:p>
            <w:pPr>
              <w:pStyle w:val="TableContents"/>
              <w:spacing w:before="0" w:after="0" w:line="240" w:lineRule="atLeast"/>
            </w:pPr>
            <w:r>
              <w:rPr>
                <w:rFonts w:ascii="Arial" w:hAnsi="Arial" w:cs="Arial" w:eastAsia="Arial"/>
                <w:b/>
                <w:bCs/>
                <w:color w:val="0059D1"/>
                <w:sz w:val="16"/>
                <w:szCs w:val="16"/>
              </w:rPr>
              <w:t>[INSERT: internal notification]</w:t>
            </w:r>
          </w:p>
        </w:tc>
        <w:tc>
          <w:tcPr>
            <w:tcW w:type="dxa" w:w="1504"/>
          </w:tcPr>
          <w:p>
            <w:pPr>
              <w:pStyle w:val="TableContents"/>
              <w:spacing w:before="0" w:after="0" w:line="240" w:lineRule="atLeast"/>
            </w:pPr>
            <w:r>
              <w:rPr>
                <w:rFonts w:ascii="Arial" w:hAnsi="Arial" w:cs="Arial" w:eastAsia="Arial"/>
                <w:b/>
                <w:bCs/>
                <w:color w:val="0059D1"/>
                <w:sz w:val="16"/>
                <w:szCs w:val="16"/>
              </w:rPr>
              <w:t>[INSERT: regulatory authority]</w:t>
            </w:r>
          </w:p>
        </w:tc>
        <w:tc>
          <w:tcPr>
            <w:tcW w:type="dxa" w:w="1504"/>
          </w:tcPr>
          <w:p>
            <w:pPr>
              <w:pStyle w:val="TableContents"/>
              <w:spacing w:before="0" w:after="0" w:line="240" w:lineRule="atLeast"/>
            </w:pPr>
            <w:r>
              <w:rPr>
                <w:rFonts w:ascii="Arial" w:hAnsi="Arial" w:cs="Arial" w:eastAsia="Arial"/>
                <w:b/>
                <w:bCs/>
                <w:color w:val="0059D1"/>
                <w:sz w:val="16"/>
                <w:szCs w:val="16"/>
              </w:rPr>
              <w:t>[INSERT: timeframe]</w:t>
            </w:r>
          </w:p>
        </w:tc>
        <w:tc>
          <w:tcPr>
            <w:tcW w:type="dxa" w:w="1506"/>
          </w:tcPr>
          <w:p>
            <w:pPr>
              <w:pStyle w:val="TableContents"/>
              <w:spacing w:before="0" w:after="0" w:line="240" w:lineRule="atLeast"/>
            </w:pPr>
            <w:r>
              <w:rPr>
                <w:rFonts w:ascii="Arial" w:hAnsi="Arial" w:cs="Arial" w:eastAsia="Arial"/>
                <w:b/>
                <w:bCs/>
                <w:color w:val="0059D1"/>
                <w:sz w:val="16"/>
                <w:szCs w:val="16"/>
              </w:rPr>
              <w:t>[INSERT: contact]</w:t>
            </w:r>
          </w:p>
        </w:tc>
      </w:tr>
    </w:tbl>
    <w:p>
      <w:pPr>
        <w:pStyle w:val="NormalNumberedtext"/>
      </w:pPr>
    </w:p>
    <w:p>
      <w:pPr>
        <w:pStyle w:val="NormalNumberedtext"/>
      </w:pPr>
      <w:r>
        <w:t>The Radiation Safety Officer coordinates a post-incident review for all radiation incidents within</w:t>
      </w:r>
    </w:p>
    <w:p>
      <w:pPr>
        <w:pStyle w:val="NormalNumberedtext"/>
      </w:pPr>
      <w:r>
        <w:rPr>
          <w:b/>
          <w:bCs/>
          <w:color w:val="0059D1"/>
        </w:rPr>
        <w:t>[INSERT: post_incident_review_timeframe] — Define the timeframe for completing a post-incident review following a radiation incident — e.g., 5 business days.</w:t>
      </w:r>
    </w:p>
    <w:p>
      <w:pPr>
        <w:pStyle w:val="NormalNumberedtext"/>
      </w:pPr>
      <w:r>
        <w:t>The post-incident review identifies root causes, evaluates the effectiveness of existing controls, and defines corrective actions. Corrective actions are recorded in the project incident management system under [INSERT: Project Document Number] and assigned to responsible persons with defined completion dates.</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ALARA</w:t>
            </w:r>
          </w:p>
        </w:tc>
        <w:tc>
          <w:tcPr>
            <w:tcW w:type="dxa" w:w="4889"/>
          </w:tcPr>
          <w:p>
            <w:pPr>
              <w:pStyle w:val="TableContents"/>
              <w:spacing w:before="0" w:after="0" w:line="240" w:lineRule="atLeast"/>
            </w:pPr>
            <w:r>
              <w:rPr>
                <w:rFonts w:ascii="Arial" w:hAnsi="Arial" w:cs="Arial" w:eastAsia="Arial"/>
                <w:sz w:val="16"/>
                <w:szCs w:val="16"/>
              </w:rPr>
              <w:t>As Low As Reasonably Achievable - a radiation protection principle requiring that radiation doses be kept as low as reasonably achievable, taking into account economic and social factors.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integrated management framework governing HSES and community obligations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functional discipline responsible for managing occupational health, safety and environmental performance.</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instructions within the HSESC management system specifying how an activity is to be carried out.</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controlled document used within the HSESC management system to record and track compliance data, training records or other required information.</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operating the owner-led project under whose standards and procedures this document is issued.</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project-level prefix applied to documents issued under the Rio Tinto owner-led project management system.</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written authority system that controls high-risk work activities by defining the scope, hazards, controls and approvals required before work commences.</w:t>
            </w:r>
          </w:p>
        </w:tc>
      </w:tr>
      <w:tr>
        <w:tc>
          <w:tcPr>
            <w:tcW w:type="dxa" w:w="4888"/>
          </w:tcPr>
          <w:p>
            <w:pPr>
              <w:pStyle w:val="TableContents"/>
              <w:spacing w:before="0" w:after="0" w:line="240" w:lineRule="atLeast"/>
            </w:pPr>
            <w:r>
              <w:rPr>
                <w:rFonts w:ascii="Arial" w:hAnsi="Arial" w:cs="Arial" w:eastAsia="Arial"/>
                <w:sz w:val="16"/>
                <w:szCs w:val="16"/>
              </w:rPr>
              <w:t>RPO</w:t>
            </w:r>
          </w:p>
        </w:tc>
        <w:tc>
          <w:tcPr>
            <w:tcW w:type="dxa" w:w="4889"/>
          </w:tcPr>
          <w:p>
            <w:pPr>
              <w:pStyle w:val="TableContents"/>
              <w:spacing w:before="0" w:after="0" w:line="240" w:lineRule="atLeast"/>
            </w:pPr>
            <w:r>
              <w:rPr>
                <w:rFonts w:ascii="Arial" w:hAnsi="Arial" w:cs="Arial" w:eastAsia="Arial"/>
                <w:sz w:val="16"/>
                <w:szCs w:val="16"/>
              </w:rPr>
              <w:t>Radiation Protection Officer - a suitably qualified and appointed person responsible for overseeing radiation safety management, compliance and worker dose monitoring on site.</w:t>
            </w:r>
          </w:p>
        </w:tc>
      </w:tr>
      <w:tr>
        <w:tc>
          <w:tcPr>
            <w:tcW w:type="dxa" w:w="4888"/>
          </w:tcPr>
          <w:p>
            <w:pPr>
              <w:pStyle w:val="TableContents"/>
              <w:spacing w:before="0" w:after="0" w:line="240" w:lineRule="atLeast"/>
            </w:pPr>
            <w:r>
              <w:rPr>
                <w:rFonts w:ascii="Arial" w:hAnsi="Arial" w:cs="Arial" w:eastAsia="Arial"/>
                <w:sz w:val="16"/>
                <w:szCs w:val="16"/>
              </w:rPr>
              <w:t>TLD</w:t>
            </w:r>
          </w:p>
        </w:tc>
        <w:tc>
          <w:tcPr>
            <w:tcW w:type="dxa" w:w="4889"/>
          </w:tcPr>
          <w:p>
            <w:pPr>
              <w:pStyle w:val="TableContents"/>
              <w:spacing w:before="0" w:after="0" w:line="240" w:lineRule="atLeast"/>
            </w:pPr>
            <w:r>
              <w:rPr>
                <w:rFonts w:ascii="Arial" w:hAnsi="Arial" w:cs="Arial" w:eastAsia="Arial"/>
                <w:sz w:val="16"/>
                <w:szCs w:val="16"/>
              </w:rPr>
              <w:t>Thermoluminescent Dosimeter - a passive personal radiation monitoring device worn by workers to measure and record cumulative absorbed radiation dose over a defined period.</w:t>
            </w:r>
          </w:p>
        </w:tc>
      </w:tr>
      <w:tr>
        <w:tc>
          <w:tcPr>
            <w:tcW w:type="dxa" w:w="4888"/>
          </w:tcPr>
          <w:p>
            <w:pPr>
              <w:pStyle w:val="TableContents"/>
              <w:spacing w:before="0" w:after="0" w:line="240" w:lineRule="atLeast"/>
            </w:pPr>
            <w:r>
              <w:rPr>
                <w:rFonts w:ascii="Arial" w:hAnsi="Arial" w:cs="Arial" w:eastAsia="Arial"/>
                <w:sz w:val="16"/>
                <w:szCs w:val="16"/>
              </w:rPr>
              <w:t>NORM</w:t>
            </w:r>
          </w:p>
        </w:tc>
        <w:tc>
          <w:tcPr>
            <w:tcW w:type="dxa" w:w="4889"/>
          </w:tcPr>
          <w:p>
            <w:pPr>
              <w:pStyle w:val="TableContents"/>
              <w:spacing w:before="0" w:after="0" w:line="240" w:lineRule="atLeast"/>
            </w:pPr>
            <w:r>
              <w:rPr>
                <w:rFonts w:ascii="Arial" w:hAnsi="Arial" w:cs="Arial" w:eastAsia="Arial"/>
                <w:sz w:val="16"/>
                <w:szCs w:val="16"/>
              </w:rPr>
              <w:t>Naturally Occurring Radioactive Material - radioactive material that originates from natural geological processes and may be disturbed, concentrated or redistributed through mining and processing activities.</w:t>
            </w:r>
          </w:p>
        </w:tc>
      </w:tr>
      <w:tr>
        <w:tc>
          <w:tcPr>
            <w:tcW w:type="dxa" w:w="4888"/>
          </w:tcPr>
          <w:p>
            <w:pPr>
              <w:pStyle w:val="TableContents"/>
              <w:spacing w:before="0" w:after="0" w:line="240" w:lineRule="atLeast"/>
            </w:pPr>
            <w:r>
              <w:rPr>
                <w:rFonts w:ascii="Arial" w:hAnsi="Arial" w:cs="Arial" w:eastAsia="Arial"/>
                <w:sz w:val="16"/>
                <w:szCs w:val="16"/>
              </w:rPr>
              <w:t>IRD</w:t>
            </w:r>
          </w:p>
        </w:tc>
        <w:tc>
          <w:tcPr>
            <w:tcW w:type="dxa" w:w="4889"/>
          </w:tcPr>
          <w:p>
            <w:pPr>
              <w:pStyle w:val="TableContents"/>
              <w:spacing w:before="0" w:after="0" w:line="240" w:lineRule="atLeast"/>
            </w:pPr>
            <w:r>
              <w:rPr>
                <w:rFonts w:ascii="Arial" w:hAnsi="Arial" w:cs="Arial" w:eastAsia="Arial"/>
                <w:sz w:val="16"/>
                <w:szCs w:val="16"/>
              </w:rPr>
              <w:t>Ionising Radiation Device - any sealed or unsealed source, X-ray apparatus or other device that emits ionising radiation and is subject to regulatory licensing and control.</w:t>
            </w:r>
          </w:p>
        </w:tc>
      </w:tr>
      <w:tr>
        <w:tc>
          <w:tcPr>
            <w:tcW w:type="dxa" w:w="4888"/>
          </w:tcPr>
          <w:p>
            <w:pPr>
              <w:pStyle w:val="TableContents"/>
              <w:spacing w:before="0" w:after="0" w:line="240" w:lineRule="atLeast"/>
            </w:pPr>
            <w:r>
              <w:rPr>
                <w:rFonts w:ascii="Arial" w:hAnsi="Arial" w:cs="Arial" w:eastAsia="Arial"/>
                <w:sz w:val="16"/>
                <w:szCs w:val="16"/>
              </w:rPr>
              <w:t>mSv</w:t>
            </w:r>
          </w:p>
        </w:tc>
        <w:tc>
          <w:tcPr>
            <w:tcW w:type="dxa" w:w="4889"/>
          </w:tcPr>
          <w:p>
            <w:pPr>
              <w:pStyle w:val="TableContents"/>
              <w:spacing w:before="0" w:after="0" w:line="240" w:lineRule="atLeast"/>
            </w:pPr>
            <w:r>
              <w:rPr>
                <w:rFonts w:ascii="Arial" w:hAnsi="Arial" w:cs="Arial" w:eastAsia="Arial"/>
                <w:sz w:val="16"/>
                <w:szCs w:val="16"/>
              </w:rPr>
              <w:t>Millisievert - the SI unit of effective radiation dose used to quantify the biological risk of ionising radiation exposure, equal to one-thousandth of a sievert.</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clothing and equipment worn or used by workers to minimise exposure to hazards, including respiratory protection and protective clothing used in radiation work.</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technique used to identify, assess and control hazards associated with specific work tasks before work commences.</w:t>
            </w:r>
          </w:p>
        </w:tc>
      </w:tr>
      <w:tr>
        <w:tc>
          <w:tcPr>
            <w:tcW w:type="dxa" w:w="4888"/>
          </w:tcPr>
          <w:p>
            <w:pPr>
              <w:pStyle w:val="TableContents"/>
              <w:spacing w:before="0" w:after="0" w:line="240" w:lineRule="atLeast"/>
            </w:pPr>
            <w:r>
              <w:rPr>
                <w:rFonts w:ascii="Arial" w:hAnsi="Arial" w:cs="Arial" w:eastAsia="Arial"/>
                <w:sz w:val="16"/>
                <w:szCs w:val="16"/>
              </w:rPr>
              <w:t>JSEA</w:t>
            </w:r>
          </w:p>
        </w:tc>
        <w:tc>
          <w:tcPr>
            <w:tcW w:type="dxa" w:w="4889"/>
          </w:tcPr>
          <w:p>
            <w:pPr>
              <w:pStyle w:val="TableContents"/>
              <w:spacing w:before="0" w:after="0" w:line="240" w:lineRule="atLeast"/>
            </w:pPr>
            <w:r>
              <w:rPr>
                <w:rFonts w:ascii="Arial" w:hAnsi="Arial" w:cs="Arial" w:eastAsia="Arial"/>
                <w:sz w:val="16"/>
                <w:szCs w:val="16"/>
              </w:rPr>
              <w:t>Job Safety and Environment Analysis - a pre-task risk assessment tool used to identify hazards and apply controls for a specific job or task on site.</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detailed written instruction specifying how a routine task or operation is to be performed safely and consistently.</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defining roles, responsibilities, actions and resources required to respond effectively to an emergency event, including a radiation incident.</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health, safety and welfare of workers and others in the workplace.</w:t>
            </w:r>
          </w:p>
        </w:tc>
      </w:tr>
      <w:tr>
        <w:tc>
          <w:tcPr>
            <w:tcW w:type="dxa" w:w="4888"/>
          </w:tcPr>
          <w:p>
            <w:pPr>
              <w:pStyle w:val="TableContents"/>
              <w:spacing w:before="0" w:after="0" w:line="240" w:lineRule="atLeast"/>
            </w:pPr>
            <w:r>
              <w:rPr>
                <w:rFonts w:ascii="Arial" w:hAnsi="Arial" w:cs="Arial" w:eastAsia="Arial"/>
                <w:sz w:val="16"/>
                <w:szCs w:val="16"/>
              </w:rPr>
              <w:t>ARPANSA</w:t>
            </w:r>
          </w:p>
        </w:tc>
        <w:tc>
          <w:tcPr>
            <w:tcW w:type="dxa" w:w="4889"/>
          </w:tcPr>
          <w:p>
            <w:pPr>
              <w:pStyle w:val="TableContents"/>
              <w:spacing w:before="0" w:after="0" w:line="240" w:lineRule="atLeast"/>
            </w:pPr>
            <w:r>
              <w:rPr>
                <w:rFonts w:ascii="Arial" w:hAnsi="Arial" w:cs="Arial" w:eastAsia="Arial"/>
                <w:sz w:val="16"/>
                <w:szCs w:val="16"/>
              </w:rPr>
              <w:t>Australian Radiation Protection and Nuclear Safety Agency - the Commonwealth government body responsible for regulating radiation sources and protecting the health and safety of people and the environment from the effects of ionising and non-ionising radiation in Australia.</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Radiation Safety Training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RT-RISK-STD-001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Hazard and Risk Assessment Requirements</w:t>
            </w:r>
          </w:p>
        </w:tc>
        <w:tc>
          <w:tcPr>
            <w:tcW w:type="dxa" w:w="3259"/>
          </w:tcPr>
          <w:p>
            <w:pPr>
              <w:pStyle w:val="TableContents"/>
              <w:spacing w:before="0" w:after="0" w:line="240" w:lineRule="atLeast"/>
            </w:pPr>
            <w:r>
              <w:rPr>
                <w:rFonts w:ascii="Arial" w:hAnsi="Arial" w:cs="Arial" w:eastAsia="Arial"/>
                <w:sz w:val="16"/>
                <w:szCs w:val="16"/>
              </w:rPr>
              <w:t>RT-RISK-STD-001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Environment and Community Way</w:t>
            </w:r>
          </w:p>
        </w:tc>
        <w:tc>
          <w:tcPr>
            <w:tcW w:type="dxa" w:w="3259"/>
          </w:tcPr>
          <w:p>
            <w:pPr>
              <w:pStyle w:val="TableContents"/>
              <w:spacing w:before="0" w:after="0" w:line="240" w:lineRule="atLeast"/>
            </w:pPr>
            <w:r>
              <w:rPr>
                <w:rFonts w:ascii="Arial" w:hAnsi="Arial" w:cs="Arial" w:eastAsia="Arial"/>
                <w:sz w:val="16"/>
                <w:szCs w:val="16"/>
              </w:rPr>
              <w:t>RT-HSEC-WAY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Australian Radiation Protection and Nuclear Safety Act</w:t>
            </w:r>
          </w:p>
        </w:tc>
        <w:tc>
          <w:tcPr>
            <w:tcW w:type="dxa" w:w="3259"/>
          </w:tcPr>
          <w:p>
            <w:pPr>
              <w:pStyle w:val="TableContents"/>
              <w:spacing w:before="0" w:after="0" w:line="240" w:lineRule="atLeast"/>
            </w:pPr>
            <w:r>
              <w:rPr>
                <w:rFonts w:ascii="Arial" w:hAnsi="Arial" w:cs="Arial" w:eastAsia="Arial"/>
                <w:sz w:val="16"/>
                <w:szCs w:val="16"/>
              </w:rPr>
              <w:t>ARPANSA Act 1998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Radiation Protection and Nuclear Safety Regulations</w:t>
            </w:r>
          </w:p>
        </w:tc>
        <w:tc>
          <w:tcPr>
            <w:tcW w:type="dxa" w:w="3259"/>
          </w:tcPr>
          <w:p>
            <w:pPr>
              <w:pStyle w:val="TableContents"/>
              <w:spacing w:before="0" w:after="0" w:line="240" w:lineRule="atLeast"/>
            </w:pPr>
            <w:r>
              <w:rPr>
                <w:rFonts w:ascii="Arial" w:hAnsi="Arial" w:cs="Arial" w:eastAsia="Arial"/>
                <w:sz w:val="16"/>
                <w:szCs w:val="16"/>
              </w:rPr>
              <w:t>ARPANSA Regulations 2018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Radiation Protection Series - Fundamentals for Protection Against Ionising Radiation</w:t>
            </w:r>
          </w:p>
        </w:tc>
        <w:tc>
          <w:tcPr>
            <w:tcW w:type="dxa" w:w="3259"/>
          </w:tcPr>
          <w:p>
            <w:pPr>
              <w:pStyle w:val="TableContents"/>
              <w:spacing w:before="0" w:after="0" w:line="240" w:lineRule="atLeast"/>
            </w:pPr>
            <w:r>
              <w:rPr>
                <w:rFonts w:ascii="Arial" w:hAnsi="Arial" w:cs="Arial" w:eastAsia="Arial"/>
                <w:sz w:val="16"/>
                <w:szCs w:val="16"/>
              </w:rPr>
              <w:t>ARPANSA RPS F-1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Radiation Protection Series - Occupational Exposure to Ionising Radiation</w:t>
            </w:r>
          </w:p>
        </w:tc>
        <w:tc>
          <w:tcPr>
            <w:tcW w:type="dxa" w:w="3259"/>
          </w:tcPr>
          <w:p>
            <w:pPr>
              <w:pStyle w:val="TableContents"/>
              <w:spacing w:before="0" w:after="0" w:line="240" w:lineRule="atLeast"/>
            </w:pPr>
            <w:r>
              <w:rPr>
                <w:rFonts w:ascii="Arial" w:hAnsi="Arial" w:cs="Arial" w:eastAsia="Arial"/>
                <w:sz w:val="16"/>
                <w:szCs w:val="16"/>
              </w:rPr>
              <w:t>ARPANSA RPS G-1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International Basic Safety Standards for Protection Against Ionising Radiation and for the Safety of Radiation Sources</w:t>
            </w:r>
          </w:p>
        </w:tc>
        <w:tc>
          <w:tcPr>
            <w:tcW w:type="dxa" w:w="3259"/>
          </w:tcPr>
          <w:p>
            <w:pPr>
              <w:pStyle w:val="TableContents"/>
              <w:spacing w:before="0" w:after="0" w:line="240" w:lineRule="atLeast"/>
            </w:pPr>
            <w:r>
              <w:rPr>
                <w:rFonts w:ascii="Arial" w:hAnsi="Arial" w:cs="Arial" w:eastAsia="Arial"/>
                <w:sz w:val="16"/>
                <w:szCs w:val="16"/>
              </w:rPr>
              <w:t>IAEA GSR Part 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w:t>
            </w:r>
          </w:p>
        </w:tc>
        <w:tc>
          <w:tcPr>
            <w:tcW w:type="dxa" w:w="3259"/>
          </w:tcPr>
          <w:p>
            <w:pPr>
              <w:pStyle w:val="TableContents"/>
              <w:spacing w:before="0" w:after="0" w:line="240" w:lineRule="atLeast"/>
            </w:pPr>
            <w:r>
              <w:rPr>
                <w:rFonts w:ascii="Arial" w:hAnsi="Arial" w:cs="Arial" w:eastAsia="Arial"/>
                <w:sz w:val="16"/>
                <w:szCs w:val="16"/>
              </w:rPr>
              <w:t>WHS Act 2011 (applicable jurisdiction)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w:t>
            </w:r>
          </w:p>
        </w:tc>
        <w:tc>
          <w:tcPr>
            <w:tcW w:type="dxa" w:w="3259"/>
          </w:tcPr>
          <w:p>
            <w:pPr>
              <w:pStyle w:val="TableContents"/>
              <w:spacing w:before="0" w:after="0" w:line="240" w:lineRule="atLeast"/>
            </w:pPr>
            <w:r>
              <w:rPr>
                <w:rFonts w:ascii="Arial" w:hAnsi="Arial" w:cs="Arial" w:eastAsia="Arial"/>
                <w:sz w:val="16"/>
                <w:szCs w:val="16"/>
              </w:rPr>
              <w:t>WHS Regulations 2017 (applicable jurisdiction)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§71</w:t>
            </w:r>
          </w:p>
        </w:tc>
        <w:tc>
          <w:tcPr>
            <w:tcW w:type="dxa" w:w="2256"/>
          </w:tcPr>
          <w:p>
            <w:pPr>
              <w:pStyle w:val="TableContents"/>
              <w:spacing w:before="0" w:after="0" w:line="240" w:lineRule="atLeast"/>
            </w:pPr>
            <w:r>
              <w:rPr>
                <w:rFonts w:ascii="Arial" w:hAnsi="Arial" w:cs="Arial" w:eastAsia="Arial"/>
                <w:sz w:val="16"/>
                <w:szCs w:val="16"/>
              </w:rPr>
              <w:t>Requires identification and registration of all radiation sources on site including X-ray equipment, nuclear density gauges, gamma sources, UV equipment, lasers, and RF/microwave emitting plant.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§71.2</w:t>
            </w:r>
          </w:p>
        </w:tc>
        <w:tc>
          <w:tcPr>
            <w:tcW w:type="dxa" w:w="2256"/>
          </w:tcPr>
          <w:p>
            <w:pPr>
              <w:pStyle w:val="TableContents"/>
              <w:spacing w:before="0" w:after="0" w:line="240" w:lineRule="atLeast"/>
            </w:pPr>
            <w:r>
              <w:rPr>
                <w:rFonts w:ascii="Arial" w:hAnsi="Arial" w:cs="Arial" w:eastAsia="Arial"/>
                <w:sz w:val="16"/>
                <w:szCs w:val="16"/>
              </w:rPr>
              <w:t>Requires risk assessment, measurement, and control of all workplace radiation hazards conducted by a competent person, identifying all ionising and non-ionising radiation sources.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§71.3</w:t>
            </w:r>
          </w:p>
        </w:tc>
        <w:tc>
          <w:tcPr>
            <w:tcW w:type="dxa" w:w="2256"/>
          </w:tcPr>
          <w:p>
            <w:pPr>
              <w:pStyle w:val="TableContents"/>
              <w:spacing w:before="0" w:after="0" w:line="240" w:lineRule="atLeast"/>
            </w:pPr>
            <w:r>
              <w:rPr>
                <w:rFonts w:ascii="Arial" w:hAnsi="Arial" w:cs="Arial" w:eastAsia="Arial"/>
                <w:sz w:val="16"/>
                <w:szCs w:val="16"/>
              </w:rPr>
              <w:t>Requires a register documenting all radiation sources including source type, radiation emitted, dose rates, location, controls, and responsible person.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§71.4</w:t>
            </w:r>
          </w:p>
        </w:tc>
        <w:tc>
          <w:tcPr>
            <w:tcW w:type="dxa" w:w="2256"/>
          </w:tcPr>
          <w:p>
            <w:pPr>
              <w:pStyle w:val="TableContents"/>
              <w:spacing w:before="0" w:after="0" w:line="240" w:lineRule="atLeast"/>
            </w:pPr>
            <w:r>
              <w:rPr>
                <w:rFonts w:ascii="Arial" w:hAnsi="Arial" w:cs="Arial" w:eastAsia="Arial"/>
                <w:sz w:val="16"/>
                <w:szCs w:val="16"/>
              </w:rPr>
              <w:t>Requires establishment of physical restricted or controlled access areas where ionising radiation annual doses exceed 5 milli-Sieverts.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§71.6</w:t>
            </w:r>
          </w:p>
        </w:tc>
        <w:tc>
          <w:tcPr>
            <w:tcW w:type="dxa" w:w="2256"/>
          </w:tcPr>
          <w:p>
            <w:pPr>
              <w:pStyle w:val="TableContents"/>
              <w:spacing w:before="0" w:after="0" w:line="240" w:lineRule="atLeast"/>
            </w:pPr>
            <w:r>
              <w:rPr>
                <w:rFonts w:ascii="Arial" w:hAnsi="Arial" w:cs="Arial" w:eastAsia="Arial"/>
                <w:sz w:val="16"/>
                <w:szCs w:val="16"/>
              </w:rPr>
              <w:t>Requires development of a documented Radiation Protection Programme where required by legal regulations or risk assessment, covering exposure monitoring, dose limits, protective equipment, medical surveillance, and emergency procedures.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§2.6</w:t>
            </w:r>
          </w:p>
        </w:tc>
        <w:tc>
          <w:tcPr>
            <w:tcW w:type="dxa" w:w="2256"/>
          </w:tcPr>
          <w:p>
            <w:pPr>
              <w:pStyle w:val="TableContents"/>
              <w:spacing w:before="0" w:after="0" w:line="240" w:lineRule="atLeast"/>
            </w:pPr>
            <w:r>
              <w:rPr>
                <w:rFonts w:ascii="Arial" w:hAnsi="Arial" w:cs="Arial" w:eastAsia="Arial"/>
                <w:sz w:val="16"/>
                <w:szCs w:val="16"/>
              </w:rPr>
              <w:t>Requires assessment of occupational radiation exposures against applicable dose limits and action levels, and application of the ALARA principle and the three fundamental radiation protection principles of time, distance, and shielding.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29 CFR 1910.97 / 1926.54</w:t>
            </w:r>
          </w:p>
        </w:tc>
        <w:tc>
          <w:tcPr>
            <w:tcW w:type="dxa" w:w="2256"/>
          </w:tcPr>
          <w:p>
            <w:pPr>
              <w:pStyle w:val="TableContents"/>
              <w:spacing w:before="0" w:after="0" w:line="240" w:lineRule="atLeast"/>
            </w:pPr>
            <w:r>
              <w:rPr>
                <w:rFonts w:ascii="Arial" w:hAnsi="Arial" w:cs="Arial" w:eastAsia="Arial"/>
                <w:sz w:val="16"/>
                <w:szCs w:val="16"/>
              </w:rPr>
              <w:t>Requires definition of restricted zones for radiation-emitting equipment, access controls, and warning signage consistent with applicable regulatory requirements.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