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HSESC Risk Management</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HSESC Risk Management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the project's integrated approach to identifying hazards, assessing risks across all HSESC domains, applying the hierarchy of controls, and maintaining a live risk register. As project owner, RT sets the risk management framework that all project participants work within — this procedure is the primary tool through which that framework is applied at the project level.</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hsesc risk management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states the purpose of this procedure, the risk management framework it operationalises, and the lifecycle phases and domains within scope.</w:t>
      </w:r>
    </w:p>
    <w:p>
      <w:pPr>
        <w:pStyle w:val="Heading2Numbered"/>
      </w:pPr>
      <w:r>
        <w:t>3.1  Purpose of This Document</w:t>
      </w:r>
    </w:p>
    <w:p>
      <w:pPr>
        <w:pStyle w:val="NormalNumberedtext"/>
      </w:pPr>
      <w:r>
        <w:t>This section states the purpose of this procedure and the requirements it establishes from project Execution through to Handover.</w:t>
      </w:r>
    </w:p>
    <w:p>
      <w:pPr>
        <w:pStyle w:val="NormalNumberedtext"/>
      </w:pPr>
      <w:r>
        <w:t>This procedure meets the following purpose requirements:</w:t>
      </w:r>
    </w:p>
    <w:p>
      <w:pPr>
        <w:pStyle w:val="NormalNumberedtext"/>
      </w:pPr>
      <w:r>
        <w:t>This procedure applies to the following:</w:t>
      </w:r>
    </w:p>
    <w:p>
      <w:pPr>
        <w:pStyle w:val="NumberedBulletL1"/>
      </w:pPr>
      <w:r>
        <w:t>This procedure operationalises Rio Tinto Group risk management guidance into a documented, project-specific process for identifying hazards, assessing risk, applying controls, and maintaining the project Hazard and Risk Register.</w:t>
      </w:r>
    </w:p>
    <w:p>
      <w:pPr>
        <w:pStyle w:val="NumberedBulletL1"/>
      </w:pPr>
      <w:r>
        <w:t>This procedure defines risk management requirements across the full project lifecycle from Execution through Commissioning to Handover, addressing health, safety, environment, security, and community risk in one integrated process rather than as separate standalone assessments.</w:t>
      </w:r>
    </w:p>
    <w:p>
      <w:pPr>
        <w:pStyle w:val="NumberedBulletL1"/>
      </w:pPr>
      <w:r>
        <w:t>This procedure applies the RT 5×5 Risk Matrix as the mandatory project risk assessment tool and defines the risk tolerability thresholds and required actions for each risk band.</w:t>
      </w:r>
    </w:p>
    <w:p>
      <w:pPr>
        <w:pStyle w:val="NumberedBulletL1"/>
      </w:pPr>
      <w:r>
        <w:t>Regulatory context for risk assessments conducted under this procedure is addressed in RTPR-HSE-PRO-0001.</w:t>
      </w:r>
    </w:p>
    <w:p>
      <w:pPr>
        <w:pStyle w:val="Heading2Numbered"/>
      </w:pPr>
      <w:r>
        <w:t>3.2  Scope of This Document</w:t>
      </w:r>
    </w:p>
    <w:p>
      <w:pPr>
        <w:pStyle w:val="NormalNumberedtext"/>
      </w:pPr>
      <w:r>
        <w:t>This section defines which risk management activities, lifecycle phases, and HSESC domains are governed by this procedure.</w:t>
      </w:r>
    </w:p>
    <w:p>
      <w:pPr>
        <w:pStyle w:val="NormalNumberedtext"/>
      </w:pPr>
      <w:r>
        <w:t>This procedure applies the following scope requirements:</w:t>
      </w:r>
    </w:p>
    <w:p>
      <w:pPr>
        <w:pStyle w:val="NormalNumberedtext"/>
      </w:pPr>
      <w:r>
        <w:t>The scope of this procedure covers the following:</w:t>
      </w:r>
    </w:p>
    <w:p>
      <w:pPr>
        <w:pStyle w:val="NumberedBulletL1"/>
      </w:pPr>
      <w:r>
        <w:t>This procedure governs the Level 1, Level 2, and Level 3 risk processes applied during execution, commissioning, and handover phases.</w:t>
      </w:r>
    </w:p>
    <w:p>
      <w:pPr>
        <w:pStyle w:val="NumberedBulletL1"/>
      </w:pPr>
      <w:r>
        <w:t>Risk management activities completed before the execution phase are recorded as project documents and are reviewed when a design change, scope change, management of change outcome, incident, or regulatory change occurs.</w:t>
      </w:r>
    </w:p>
    <w:p>
      <w:pPr>
        <w:pStyle w:val="NumberedBulletL1"/>
      </w:pPr>
      <w:r>
        <w:t>The risk management process applies across the full project lifecycle and addresses environmental, social, health, safety, and security risks in an integrated manner.</w:t>
      </w:r>
    </w:p>
    <w:p>
      <w:pPr>
        <w:pStyle w:val="NumberedBulletL1"/>
      </w:pPr>
      <w:r>
        <w:t>The scope of this procedure starts when the project enters execution and finishes at project handover or closure.</w:t>
      </w:r>
    </w:p>
    <w:p>
      <w:pPr>
        <w:pStyle w:val="Heading1Numbered"/>
      </w:pPr>
      <w:r>
        <w:t>4  Risk Framework</w:t>
      </w:r>
    </w:p>
    <w:p>
      <w:pPr>
        <w:pStyle w:val="NormalNumberedtext"/>
      </w:pPr>
      <w:r>
        <w:t>This section defines the RT 5×5 Risk Matrix, risk tolerability thresholds, hierarchy of controls, and the integrated approach to risk management across all HSESC domains.</w:t>
      </w:r>
    </w:p>
    <w:p>
      <w:pPr>
        <w:pStyle w:val="Heading2Numbered"/>
      </w:pPr>
      <w:r>
        <w:t>4.1  RT 5×5 Risk Matrix</w:t>
      </w:r>
    </w:p>
    <w:p>
      <w:pPr>
        <w:pStyle w:val="NormalNumberedtext"/>
      </w:pPr>
      <w:r>
        <w:t>This section defines the mandatory risk assessment tool for the project, including consequence and likelihood descriptors.</w:t>
      </w:r>
    </w:p>
    <w:tbl>
      <w:tblPr>
        <w:tblStyle w:val="TableOption1"/>
        <w:tblW w:type="pct" w:w="5000"/>
      </w:tblPr>
      <w:tr>
        <w:tc>
          <w:tcPr>
            <w:shd w:val="clear" w:color="auto" w:fill="FFF2CC"/>
          </w:tcPr>
          <w:p>
            <w:pPr>
              <w:pStyle w:val="Instructions"/>
            </w:pPr>
            <w:r>
              <w:rPr>
                <w:b/>
                <w:bCs/>
                <w:color w:val="C55A11"/>
              </w:rPr>
              <w:t>CRITICAL — The 5×5 Risk Matrix must be inserted as a formatted table in this section before this procedure is issued. Obtain the current RT project risk matrix template and insert it below. All other procedures and assessments on this project reference this section — it must be complete before any other procedure referencing risk ratings can be issued.</w:t>
            </w:r>
          </w:p>
        </w:tc>
      </w:tr>
    </w:tbl>
    <w:p>
      <w:pPr>
        <w:pStyle w:val="Default"/>
      </w:pPr>
    </w:p>
    <w:p>
      <w:pPr>
        <w:pStyle w:val="NormalNumberedtext"/>
      </w:pPr>
      <w:r>
        <w:t>The RT 5×5 Risk Matrix is the mandatory risk assessment tool for all risk assessments conducted on this project. No alternative risk matrix may be used without written approval from the Project Director. All JHAs, HAZID workshops, constructability reviews, health risk assessments, environmental risk assessments, and social risk assessments apply this matrix.</w:t>
      </w:r>
    </w:p>
    <w:p>
      <w:pPr>
        <w:pStyle w:val="NormalNumberedtext"/>
      </w:pPr>
      <w:r>
        <w:t>Risk management on this project is based on sound science and accounts for stakeholder perceptions of risk, consistent with recognised international standards. Community and stakeholder risk perception is an input to risk assessments where the activity has the potential to affect communities or result in reputational impact.</w:t>
      </w:r>
    </w:p>
    <w:p>
      <w:pPr>
        <w:pStyle w:val="NormalNumberedtext"/>
      </w:pPr>
      <w:r>
        <w:rPr>
          <w:b/>
          <w:bCs/>
          <w:color w:val="0059D1"/>
        </w:rPr>
        <w:t>[INSERT: RT 5x5 Risk Matrix Table] — Insert the current RT project 5x5 Risk Matrix as a formatted table showing consequence categories across the top row and likelihood categories down the left column, with risk rating cells populated. Obtain the current approved template from the RT project risk management standard before inserting.</w:t>
      </w:r>
    </w:p>
    <w:p>
      <w:pPr>
        <w:pStyle w:val="NormalNumberedtext"/>
      </w:pPr>
      <w:r>
        <w:t>Table 1: Consequence Descriptors</w:t>
      </w:r>
    </w:p>
    <w:tbl>
      <w:tblPr>
        <w:tblStyle w:val="TableOption2"/>
        <w:tblW w:type="pct" w:w="5000"/>
      </w:tblPr>
      <w:tr>
        <w:trPr>
          <w:tblHeader/>
        </w:trPr>
        <w:tc>
          <w:tcPr>
            <w:shd w:val="clear" w:color="auto" w:fill="1F3864"/>
          </w:tcPr>
          <w:p>
            <w:pPr>
              <w:pStyle w:val="TableContents"/>
            </w:pPr>
            <w:r>
              <w:rPr>
                <w:b/>
                <w:bCs/>
                <w:color w:val="FFFFFF"/>
              </w:rPr>
              <w:t>Consequence Level</w:t>
            </w:r>
          </w:p>
        </w:tc>
        <w:tc>
          <w:tcPr>
            <w:shd w:val="clear" w:color="auto" w:fill="1F3864"/>
          </w:tcPr>
          <w:p>
            <w:pPr>
              <w:pStyle w:val="TableContents"/>
            </w:pPr>
            <w:r>
              <w:rPr>
                <w:b/>
                <w:bCs/>
                <w:color w:val="FFFFFF"/>
              </w:rPr>
              <w:t>People</w:t>
            </w:r>
          </w:p>
        </w:tc>
        <w:tc>
          <w:tcPr>
            <w:shd w:val="clear" w:color="auto" w:fill="1F3864"/>
          </w:tcPr>
          <w:p>
            <w:pPr>
              <w:pStyle w:val="TableContents"/>
            </w:pPr>
            <w:r>
              <w:rPr>
                <w:b/>
                <w:bCs/>
                <w:color w:val="FFFFFF"/>
              </w:rPr>
              <w:t>Environment</w:t>
            </w:r>
          </w:p>
        </w:tc>
        <w:tc>
          <w:tcPr>
            <w:shd w:val="clear" w:color="auto" w:fill="1F3864"/>
          </w:tcPr>
          <w:p>
            <w:pPr>
              <w:pStyle w:val="TableContents"/>
            </w:pPr>
            <w:r>
              <w:rPr>
                <w:b/>
                <w:bCs/>
                <w:color w:val="FFFFFF"/>
              </w:rPr>
              <w:t>Community / Reputation</w:t>
            </w:r>
          </w:p>
        </w:tc>
        <w:tc>
          <w:tcPr>
            <w:shd w:val="clear" w:color="auto" w:fill="1F3864"/>
          </w:tcPr>
          <w:p>
            <w:pPr>
              <w:pStyle w:val="TableContents"/>
            </w:pPr>
            <w:r>
              <w:rPr>
                <w:b/>
                <w:bCs/>
                <w:color w:val="FFFFFF"/>
              </w:rPr>
              <w:t>Financial</w:t>
            </w:r>
          </w:p>
        </w:tc>
      </w:tr>
      <w:tr>
        <w:tc>
          <w:tcPr/>
          <w:p>
            <w:pPr>
              <w:pStyle w:val="TableContents"/>
            </w:pPr>
            <w:r>
              <w:t>5 – Catastrophic</w:t>
            </w:r>
          </w:p>
        </w:tc>
        <w:tc>
          <w:tcPr/>
          <w:p>
            <w:pPr>
              <w:pStyle w:val="TableContents"/>
            </w:pPr>
            <w:r>
              <w:t>Fatality or multiple fatalities</w:t>
            </w:r>
          </w:p>
        </w:tc>
        <w:tc>
          <w:tcPr/>
          <w:p>
            <w:pPr>
              <w:pStyle w:val="TableContents"/>
            </w:pPr>
            <w:r>
              <w:t>Irreversible regional environmental impact</w:t>
            </w:r>
          </w:p>
        </w:tc>
        <w:tc>
          <w:tcPr/>
          <w:p>
            <w:pPr>
              <w:pStyle w:val="TableContents"/>
            </w:pPr>
            <w:r>
              <w:t>National or international attention; long-term reputational damage</w:t>
            </w:r>
          </w:p>
        </w:tc>
        <w:tc>
          <w:tcPr/>
          <w:p>
            <w:pPr>
              <w:pStyle w:val="TableContents"/>
            </w:pPr>
            <w:r>
              <w:rPr>
                <w:b/>
                <w:bCs/>
                <w:color w:val="0059D1"/>
              </w:rPr>
              <w:t>[INSERT: financial threshold]</w:t>
            </w:r>
          </w:p>
        </w:tc>
      </w:tr>
      <w:tr>
        <w:tc>
          <w:tcPr/>
          <w:p>
            <w:pPr>
              <w:pStyle w:val="TableContents"/>
            </w:pPr>
            <w:r>
              <w:t>4 – Major</w:t>
            </w:r>
          </w:p>
        </w:tc>
        <w:tc>
          <w:tcPr/>
          <w:p>
            <w:pPr>
              <w:pStyle w:val="TableContents"/>
            </w:pPr>
            <w:r>
              <w:t>Permanent disability or serious injury</w:t>
            </w:r>
          </w:p>
        </w:tc>
        <w:tc>
          <w:tcPr/>
          <w:p>
            <w:pPr>
              <w:pStyle w:val="TableContents"/>
            </w:pPr>
            <w:r>
              <w:t>Significant environmental impact requiring long-term remediation</w:t>
            </w:r>
          </w:p>
        </w:tc>
        <w:tc>
          <w:tcPr/>
          <w:p>
            <w:pPr>
              <w:pStyle w:val="TableContents"/>
            </w:pPr>
            <w:r>
              <w:t>Sustained negative media; regulatory investigation</w:t>
            </w:r>
          </w:p>
        </w:tc>
        <w:tc>
          <w:tcPr/>
          <w:p>
            <w:pPr>
              <w:pStyle w:val="TableContents"/>
            </w:pPr>
            <w:r>
              <w:rPr>
                <w:b/>
                <w:bCs/>
                <w:color w:val="0059D1"/>
              </w:rPr>
              <w:t>[INSERT: financial threshold]</w:t>
            </w:r>
          </w:p>
        </w:tc>
      </w:tr>
      <w:tr>
        <w:tc>
          <w:tcPr/>
          <w:p>
            <w:pPr>
              <w:pStyle w:val="TableContents"/>
            </w:pPr>
            <w:r>
              <w:t>3 – Moderate</w:t>
            </w:r>
          </w:p>
        </w:tc>
        <w:tc>
          <w:tcPr/>
          <w:p>
            <w:pPr>
              <w:pStyle w:val="TableContents"/>
            </w:pPr>
            <w:r>
              <w:t>Lost time injury or occupational illness</w:t>
            </w:r>
          </w:p>
        </w:tc>
        <w:tc>
          <w:tcPr/>
          <w:p>
            <w:pPr>
              <w:pStyle w:val="TableContents"/>
            </w:pPr>
            <w:r>
              <w:t>Moderate environmental impact with remediation achievable</w:t>
            </w:r>
          </w:p>
        </w:tc>
        <w:tc>
          <w:tcPr/>
          <w:p>
            <w:pPr>
              <w:pStyle w:val="TableContents"/>
            </w:pPr>
            <w:r>
              <w:t>Local community concern; regulatory notification</w:t>
            </w:r>
          </w:p>
        </w:tc>
        <w:tc>
          <w:tcPr/>
          <w:p>
            <w:pPr>
              <w:pStyle w:val="TableContents"/>
            </w:pPr>
            <w:r>
              <w:rPr>
                <w:b/>
                <w:bCs/>
                <w:color w:val="0059D1"/>
              </w:rPr>
              <w:t>[INSERT: financial threshold]</w:t>
            </w:r>
          </w:p>
        </w:tc>
      </w:tr>
      <w:tr>
        <w:tc>
          <w:tcPr/>
          <w:p>
            <w:pPr>
              <w:pStyle w:val="TableContents"/>
            </w:pPr>
            <w:r>
              <w:t>2 – Minor</w:t>
            </w:r>
          </w:p>
        </w:tc>
        <w:tc>
          <w:tcPr/>
          <w:p>
            <w:pPr>
              <w:pStyle w:val="TableContents"/>
            </w:pPr>
            <w:r>
              <w:t>Medical treatment injury</w:t>
            </w:r>
          </w:p>
        </w:tc>
        <w:tc>
          <w:tcPr/>
          <w:p>
            <w:pPr>
              <w:pStyle w:val="TableContents"/>
            </w:pPr>
            <w:r>
              <w:t>Minor environmental impact; short-term remediation</w:t>
            </w:r>
          </w:p>
        </w:tc>
        <w:tc>
          <w:tcPr/>
          <w:p>
            <w:pPr>
              <w:pStyle w:val="TableContents"/>
            </w:pPr>
            <w:r>
              <w:t>Limited community complaint; manageable</w:t>
            </w:r>
          </w:p>
        </w:tc>
        <w:tc>
          <w:tcPr/>
          <w:p>
            <w:pPr>
              <w:pStyle w:val="TableContents"/>
            </w:pPr>
            <w:r>
              <w:rPr>
                <w:b/>
                <w:bCs/>
                <w:color w:val="0059D1"/>
              </w:rPr>
              <w:t>[INSERT: financial threshold]</w:t>
            </w:r>
          </w:p>
        </w:tc>
      </w:tr>
      <w:tr>
        <w:tc>
          <w:tcPr/>
          <w:p>
            <w:pPr>
              <w:pStyle w:val="TableContents"/>
            </w:pPr>
            <w:r>
              <w:t>1 – Insignificant</w:t>
            </w:r>
          </w:p>
        </w:tc>
        <w:tc>
          <w:tcPr/>
          <w:p>
            <w:pPr>
              <w:pStyle w:val="TableContents"/>
            </w:pPr>
            <w:r>
              <w:t>First aid injury or near miss</w:t>
            </w:r>
          </w:p>
        </w:tc>
        <w:tc>
          <w:tcPr/>
          <w:p>
            <w:pPr>
              <w:pStyle w:val="TableContents"/>
            </w:pPr>
            <w:r>
              <w:t>Negligible environmental impact</w:t>
            </w:r>
          </w:p>
        </w:tc>
        <w:tc>
          <w:tcPr/>
          <w:p>
            <w:pPr>
              <w:pStyle w:val="TableContents"/>
            </w:pPr>
            <w:r>
              <w:t>No community impact</w:t>
            </w:r>
          </w:p>
        </w:tc>
        <w:tc>
          <w:tcPr/>
          <w:p>
            <w:pPr>
              <w:pStyle w:val="TableContents"/>
            </w:pPr>
            <w:r>
              <w:rPr>
                <w:b/>
                <w:bCs/>
                <w:color w:val="0059D1"/>
              </w:rPr>
              <w:t>[INSERT: financial threshold]</w:t>
            </w:r>
          </w:p>
        </w:tc>
      </w:tr>
    </w:tbl>
    <w:p>
      <w:pPr>
        <w:pStyle w:val="Default"/>
      </w:pPr>
    </w:p>
    <w:p>
      <w:pPr>
        <w:pStyle w:val="NormalNumberedtext"/>
      </w:pPr>
      <w:r>
        <w:t>Table 2: Likelihood Descriptors</w:t>
      </w:r>
    </w:p>
    <w:tbl>
      <w:tblPr>
        <w:tblStyle w:val="TableOption2"/>
        <w:tblW w:type="pct" w:w="5000"/>
      </w:tblPr>
      <w:tr>
        <w:trPr>
          <w:tblHeader/>
        </w:trPr>
        <w:tc>
          <w:tcPr>
            <w:shd w:val="clear" w:color="auto" w:fill="1F3864"/>
          </w:tcPr>
          <w:p>
            <w:pPr>
              <w:pStyle w:val="TableContents"/>
            </w:pPr>
            <w:r>
              <w:rPr>
                <w:b/>
                <w:bCs/>
                <w:color w:val="FFFFFF"/>
              </w:rPr>
              <w:t>Likelihood Level</w:t>
            </w:r>
          </w:p>
        </w:tc>
        <w:tc>
          <w:tcPr>
            <w:shd w:val="clear" w:color="auto" w:fill="1F3864"/>
          </w:tcPr>
          <w:p>
            <w:pPr>
              <w:pStyle w:val="TableContents"/>
            </w:pPr>
            <w:r>
              <w:rPr>
                <w:b/>
                <w:bCs/>
                <w:color w:val="FFFFFF"/>
              </w:rPr>
              <w:t>Description</w:t>
            </w:r>
          </w:p>
        </w:tc>
        <w:tc>
          <w:tcPr>
            <w:shd w:val="clear" w:color="auto" w:fill="1F3864"/>
          </w:tcPr>
          <w:p>
            <w:pPr>
              <w:pStyle w:val="TableContents"/>
            </w:pPr>
            <w:r>
              <w:rPr>
                <w:b/>
                <w:bCs/>
                <w:color w:val="FFFFFF"/>
              </w:rPr>
              <w:t>Frequency Indicator</w:t>
            </w:r>
          </w:p>
        </w:tc>
      </w:tr>
      <w:tr>
        <w:tc>
          <w:tcPr/>
          <w:p>
            <w:pPr>
              <w:pStyle w:val="TableContents"/>
            </w:pPr>
            <w:r>
              <w:t>5 – Almost Certain</w:t>
            </w:r>
          </w:p>
        </w:tc>
        <w:tc>
          <w:tcPr/>
          <w:p>
            <w:pPr>
              <w:pStyle w:val="TableContents"/>
            </w:pPr>
            <w:r>
              <w:t>Expected to occur in most circumstances</w:t>
            </w:r>
          </w:p>
        </w:tc>
        <w:tc>
          <w:tcPr/>
          <w:p>
            <w:pPr>
              <w:pStyle w:val="TableContents"/>
            </w:pPr>
            <w:r>
              <w:t>More than once per year on this project</w:t>
            </w:r>
          </w:p>
        </w:tc>
      </w:tr>
      <w:tr>
        <w:tc>
          <w:tcPr/>
          <w:p>
            <w:pPr>
              <w:pStyle w:val="TableContents"/>
            </w:pPr>
            <w:r>
              <w:t>4 – Likely</w:t>
            </w:r>
          </w:p>
        </w:tc>
        <w:tc>
          <w:tcPr/>
          <w:p>
            <w:pPr>
              <w:pStyle w:val="TableContents"/>
            </w:pPr>
            <w:r>
              <w:t>Will probably occur in most circumstances</w:t>
            </w:r>
          </w:p>
        </w:tc>
        <w:tc>
          <w:tcPr/>
          <w:p>
            <w:pPr>
              <w:pStyle w:val="TableContents"/>
            </w:pPr>
            <w:r>
              <w:t>Once per year on this project</w:t>
            </w:r>
          </w:p>
        </w:tc>
      </w:tr>
      <w:tr>
        <w:tc>
          <w:tcPr/>
          <w:p>
            <w:pPr>
              <w:pStyle w:val="TableContents"/>
            </w:pPr>
            <w:r>
              <w:t>3 – Possible</w:t>
            </w:r>
          </w:p>
        </w:tc>
        <w:tc>
          <w:tcPr/>
          <w:p>
            <w:pPr>
              <w:pStyle w:val="TableContents"/>
            </w:pPr>
            <w:r>
              <w:t>Might occur at some time</w:t>
            </w:r>
          </w:p>
        </w:tc>
        <w:tc>
          <w:tcPr/>
          <w:p>
            <w:pPr>
              <w:pStyle w:val="TableContents"/>
            </w:pPr>
            <w:r>
              <w:t>Once every 1–10 years across similar projects</w:t>
            </w:r>
          </w:p>
        </w:tc>
      </w:tr>
      <w:tr>
        <w:tc>
          <w:tcPr/>
          <w:p>
            <w:pPr>
              <w:pStyle w:val="TableContents"/>
            </w:pPr>
            <w:r>
              <w:t>2 – Unlikely</w:t>
            </w:r>
          </w:p>
        </w:tc>
        <w:tc>
          <w:tcPr/>
          <w:p>
            <w:pPr>
              <w:pStyle w:val="TableContents"/>
            </w:pPr>
            <w:r>
              <w:t>Could occur at some time</w:t>
            </w:r>
          </w:p>
        </w:tc>
        <w:tc>
          <w:tcPr/>
          <w:p>
            <w:pPr>
              <w:pStyle w:val="TableContents"/>
            </w:pPr>
            <w:r>
              <w:t>Once every 10–100 years across similar projects</w:t>
            </w:r>
          </w:p>
        </w:tc>
      </w:tr>
      <w:tr>
        <w:tc>
          <w:tcPr/>
          <w:p>
            <w:pPr>
              <w:pStyle w:val="TableContents"/>
            </w:pPr>
            <w:r>
              <w:t>1 – Rare</w:t>
            </w:r>
          </w:p>
        </w:tc>
        <w:tc>
          <w:tcPr/>
          <w:p>
            <w:pPr>
              <w:pStyle w:val="TableContents"/>
            </w:pPr>
            <w:r>
              <w:t>May occur only in exceptional circumstances</w:t>
            </w:r>
          </w:p>
        </w:tc>
        <w:tc>
          <w:tcPr/>
          <w:p>
            <w:pPr>
              <w:pStyle w:val="TableContents"/>
            </w:pPr>
            <w:r>
              <w:t>Less than once every 100 years across similar projects</w:t>
            </w:r>
          </w:p>
        </w:tc>
      </w:tr>
    </w:tbl>
    <w:p>
      <w:pPr>
        <w:pStyle w:val="Default"/>
      </w:pPr>
    </w:p>
    <w:p>
      <w:pPr>
        <w:pStyle w:val="Heading2Numbered"/>
      </w:pPr>
      <w:r>
        <w:t>4.2  Risk Tolerability Thresholds and Required Actions</w:t>
      </w:r>
    </w:p>
    <w:p>
      <w:pPr>
        <w:pStyle w:val="NormalNumberedtext"/>
      </w:pPr>
      <w:r>
        <w:t>This section defines the three risk tolerability bands and the required actions for each band based on residual risk rating.</w:t>
      </w:r>
    </w:p>
    <w:tbl>
      <w:tblPr>
        <w:tblStyle w:val="TableOption1"/>
        <w:tblW w:type="pct" w:w="5000"/>
      </w:tblPr>
      <w:tr>
        <w:tc>
          <w:tcPr>
            <w:shd w:val="clear" w:color="auto" w:fill="FFF2CC"/>
          </w:tcPr>
          <w:p>
            <w:pPr>
              <w:pStyle w:val="Instructions"/>
            </w:pPr>
            <w:r>
              <w:rPr>
                <w:b/>
                <w:bCs/>
                <w:color w:val="C55A11"/>
              </w:rPr>
              <w:t>Define the project risk tolerability thresholds in the table below before this procedure is issued. Confirm what residual risk rating requires escalation to the project owner, what rating requires stop-work, and what rating is acceptable to proceed with existing controls. These thresholds govern all risk assessment decisions on the project.</w:t>
            </w:r>
          </w:p>
        </w:tc>
      </w:tr>
    </w:tbl>
    <w:p>
      <w:pPr>
        <w:pStyle w:val="Default"/>
      </w:pPr>
    </w:p>
    <w:p>
      <w:pPr>
        <w:pStyle w:val="NormalNumberedtext"/>
      </w:pPr>
      <w:r>
        <w:t>The project applies three risk tolerability bands to all residual risk ratings generated using the RT 5×5 Risk Matrix. The required action for each band is mandatory and must be completed before work proceeds or continues.</w:t>
      </w:r>
    </w:p>
    <w:p>
      <w:pPr>
        <w:pStyle w:val="NormalNumberedtext"/>
      </w:pPr>
      <w:r>
        <w:t>Table 3: Risk Tolerability Thresholds and Required Actions</w:t>
      </w:r>
    </w:p>
    <w:tbl>
      <w:tblPr>
        <w:tblStyle w:val="TableOption2"/>
        <w:tblW w:type="pct" w:w="5000"/>
      </w:tblPr>
      <w:tr>
        <w:trPr>
          <w:tblHeader/>
        </w:trPr>
        <w:tc>
          <w:tcPr>
            <w:shd w:val="clear" w:color="auto" w:fill="1F3864"/>
          </w:tcPr>
          <w:p>
            <w:pPr>
              <w:pStyle w:val="TableContents"/>
            </w:pPr>
            <w:r>
              <w:rPr>
                <w:b/>
                <w:bCs/>
                <w:color w:val="FFFFFF"/>
              </w:rPr>
              <w:t>Risk Band</w:t>
            </w:r>
          </w:p>
        </w:tc>
        <w:tc>
          <w:tcPr>
            <w:shd w:val="clear" w:color="auto" w:fill="1F3864"/>
          </w:tcPr>
          <w:p>
            <w:pPr>
              <w:pStyle w:val="TableContents"/>
            </w:pPr>
            <w:r>
              <w:rPr>
                <w:b/>
                <w:bCs/>
                <w:color w:val="FFFFFF"/>
              </w:rPr>
              <w:t>Risk Rating (Residual)</w:t>
            </w:r>
          </w:p>
        </w:tc>
        <w:tc>
          <w:tcPr>
            <w:shd w:val="clear" w:color="auto" w:fill="1F3864"/>
          </w:tcPr>
          <w:p>
            <w:pPr>
              <w:pStyle w:val="TableContents"/>
            </w:pPr>
            <w:r>
              <w:rPr>
                <w:b/>
                <w:bCs/>
                <w:color w:val="FFFFFF"/>
              </w:rPr>
              <w:t>Tolerability</w:t>
            </w:r>
          </w:p>
        </w:tc>
        <w:tc>
          <w:tcPr>
            <w:shd w:val="clear" w:color="auto" w:fill="1F3864"/>
          </w:tcPr>
          <w:p>
            <w:pPr>
              <w:pStyle w:val="TableContents"/>
            </w:pPr>
            <w:r>
              <w:rPr>
                <w:b/>
                <w:bCs/>
                <w:color w:val="FFFFFF"/>
              </w:rPr>
              <w:t>Required Action</w:t>
            </w:r>
          </w:p>
        </w:tc>
        <w:tc>
          <w:tcPr>
            <w:shd w:val="clear" w:color="auto" w:fill="1F3864"/>
          </w:tcPr>
          <w:p>
            <w:pPr>
              <w:pStyle w:val="TableContents"/>
            </w:pPr>
            <w:r>
              <w:rPr>
                <w:b/>
                <w:bCs/>
                <w:color w:val="FFFFFF"/>
              </w:rPr>
              <w:t>Escalation Requirement</w:t>
            </w:r>
          </w:p>
        </w:tc>
      </w:tr>
      <w:tr>
        <w:tc>
          <w:tcPr/>
          <w:p>
            <w:pPr>
              <w:pStyle w:val="TableContents"/>
            </w:pPr>
            <w:r>
              <w:t>Red</w:t>
            </w:r>
          </w:p>
        </w:tc>
        <w:tc>
          <w:tcPr/>
          <w:p>
            <w:pPr>
              <w:pStyle w:val="TableContents"/>
            </w:pPr>
            <w:r>
              <w:rPr>
                <w:b/>
                <w:bCs/>
                <w:color w:val="0059D1"/>
              </w:rPr>
              <w:t>[INSERT: rating range, e.g. 15–25]</w:t>
            </w:r>
          </w:p>
        </w:tc>
        <w:tc>
          <w:tcPr/>
          <w:p>
            <w:pPr>
              <w:pStyle w:val="TableContents"/>
            </w:pPr>
            <w:r>
              <w:t>Unacceptable</w:t>
            </w:r>
          </w:p>
        </w:tc>
        <w:tc>
          <w:tcPr/>
          <w:p>
            <w:pPr>
              <w:pStyle w:val="TableContents"/>
            </w:pPr>
            <w:r>
              <w:t>Work must not commence or must stop immediately. Controls must be redesigned before work resumes.</w:t>
            </w:r>
          </w:p>
        </w:tc>
        <w:tc>
          <w:tcPr/>
          <w:p>
            <w:pPr>
              <w:pStyle w:val="TableContents"/>
            </w:pPr>
            <w:r>
              <w:t>Escalate to Project Director immediately. Notify Company HSESC lead.</w:t>
            </w:r>
          </w:p>
        </w:tc>
      </w:tr>
      <w:tr>
        <w:tc>
          <w:tcPr/>
          <w:p>
            <w:pPr>
              <w:pStyle w:val="TableContents"/>
            </w:pPr>
            <w:r>
              <w:t>Orange / Yellow</w:t>
            </w:r>
          </w:p>
        </w:tc>
        <w:tc>
          <w:tcPr/>
          <w:p>
            <w:pPr>
              <w:pStyle w:val="TableContents"/>
            </w:pPr>
            <w:r>
              <w:rPr>
                <w:b/>
                <w:bCs/>
                <w:color w:val="0059D1"/>
              </w:rPr>
              <w:t>[INSERT: rating range, e.g. 6–14]</w:t>
            </w:r>
          </w:p>
        </w:tc>
        <w:tc>
          <w:tcPr/>
          <w:p>
            <w:pPr>
              <w:pStyle w:val="TableContents"/>
            </w:pPr>
            <w:r>
              <w:t>ALARP — further reduction required</w:t>
            </w:r>
          </w:p>
        </w:tc>
        <w:tc>
          <w:tcPr/>
          <w:p>
            <w:pPr>
              <w:pStyle w:val="TableContents"/>
            </w:pPr>
            <w:r>
              <w:t>Work may proceed only with documented justification that risk has been reduced as low as reasonably practicable and residual risk is tolerable.</w:t>
            </w:r>
          </w:p>
        </w:tc>
        <w:tc>
          <w:tcPr/>
          <w:p>
            <w:pPr>
              <w:pStyle w:val="TableContents"/>
            </w:pPr>
            <w:r>
              <w:t>Escalate to HSESC Manager. Document ALARP justification in the risk register.</w:t>
            </w:r>
          </w:p>
        </w:tc>
      </w:tr>
      <w:tr>
        <w:tc>
          <w:tcPr/>
          <w:p>
            <w:pPr>
              <w:pStyle w:val="TableContents"/>
            </w:pPr>
            <w:r>
              <w:t>Green</w:t>
            </w:r>
          </w:p>
        </w:tc>
        <w:tc>
          <w:tcPr/>
          <w:p>
            <w:pPr>
              <w:pStyle w:val="TableContents"/>
            </w:pPr>
            <w:r>
              <w:rPr>
                <w:b/>
                <w:bCs/>
                <w:color w:val="0059D1"/>
              </w:rPr>
              <w:t>[INSERT: rating range, e.g. 1–5]</w:t>
            </w:r>
          </w:p>
        </w:tc>
        <w:tc>
          <w:tcPr/>
          <w:p>
            <w:pPr>
              <w:pStyle w:val="TableContents"/>
            </w:pPr>
            <w:r>
              <w:t>Acceptable</w:t>
            </w:r>
          </w:p>
        </w:tc>
        <w:tc>
          <w:tcPr/>
          <w:p>
            <w:pPr>
              <w:pStyle w:val="TableContents"/>
            </w:pPr>
            <w:r>
              <w:t>Work may proceed with existing controls in place and verified.</w:t>
            </w:r>
          </w:p>
        </w:tc>
        <w:tc>
          <w:tcPr/>
          <w:p>
            <w:pPr>
              <w:pStyle w:val="TableContents"/>
            </w:pPr>
            <w:r>
              <w:t>No escalation required. Record in risk register and review at next scheduled review date.</w:t>
            </w:r>
          </w:p>
        </w:tc>
      </w:tr>
    </w:tbl>
    <w:p>
      <w:pPr>
        <w:pStyle w:val="Default"/>
      </w:pPr>
    </w:p>
    <w:p>
      <w:pPr>
        <w:pStyle w:val="Heading2Numbered"/>
      </w:pPr>
      <w:r>
        <w:t>4.3  Hierarchy of Controls</w:t>
      </w:r>
    </w:p>
    <w:p>
      <w:pPr>
        <w:pStyle w:val="NormalNumberedtext"/>
      </w:pPr>
      <w:r>
        <w:t>This section defines the mandatory hierarchy of controls and the documentation requirements when higher-order controls are not selected.</w:t>
      </w:r>
    </w:p>
    <w:p>
      <w:pPr>
        <w:pStyle w:val="NormalNumberedtext"/>
      </w:pPr>
      <w:r>
        <w:t>The hierarchy of controls applies to all risk assessments conducted on this project. Controls are selected in the order defined below. When a higher-order control is not selected, the risk assessment record must document the rationale for that decision before a lower-order control is accepted.</w:t>
      </w:r>
    </w:p>
    <w:p>
      <w:pPr>
        <w:pStyle w:val="NormalNumberedtext"/>
      </w:pPr>
      <w:r>
        <w:t>Table 4: Hierarchy of Controls</w:t>
      </w:r>
    </w:p>
    <w:tbl>
      <w:tblPr>
        <w:tblStyle w:val="TableOption2"/>
        <w:tblW w:type="pct" w:w="5000"/>
      </w:tblPr>
      <w:tr>
        <w:trPr>
          <w:tblHeader/>
        </w:trPr>
        <w:tc>
          <w:tcPr>
            <w:shd w:val="clear" w:color="auto" w:fill="1F3864"/>
          </w:tcPr>
          <w:p>
            <w:pPr>
              <w:pStyle w:val="TableContents"/>
            </w:pPr>
            <w:r>
              <w:rPr>
                <w:b/>
                <w:bCs/>
                <w:color w:val="FFFFFF"/>
              </w:rPr>
              <w:t>Level</w:t>
            </w:r>
          </w:p>
        </w:tc>
        <w:tc>
          <w:tcPr>
            <w:shd w:val="clear" w:color="auto" w:fill="1F3864"/>
          </w:tcPr>
          <w:p>
            <w:pPr>
              <w:pStyle w:val="TableContents"/>
            </w:pPr>
            <w:r>
              <w:rPr>
                <w:b/>
                <w:bCs/>
                <w:color w:val="FFFFFF"/>
              </w:rPr>
              <w:t>Control Type</w:t>
            </w:r>
          </w:p>
        </w:tc>
        <w:tc>
          <w:tcPr>
            <w:shd w:val="clear" w:color="auto" w:fill="1F3864"/>
          </w:tcPr>
          <w:p>
            <w:pPr>
              <w:pStyle w:val="TableContents"/>
            </w:pPr>
            <w:r>
              <w:rPr>
                <w:b/>
                <w:bCs/>
                <w:color w:val="FFFFFF"/>
              </w:rPr>
              <w:t>Description</w:t>
            </w:r>
          </w:p>
        </w:tc>
        <w:tc>
          <w:tcPr>
            <w:shd w:val="clear" w:color="auto" w:fill="1F3864"/>
          </w:tcPr>
          <w:p>
            <w:pPr>
              <w:pStyle w:val="TableContents"/>
            </w:pPr>
            <w:r>
              <w:rPr>
                <w:b/>
                <w:bCs/>
                <w:color w:val="FFFFFF"/>
              </w:rPr>
              <w:t>Example</w:t>
            </w:r>
          </w:p>
        </w:tc>
      </w:tr>
      <w:tr>
        <w:tc>
          <w:tcPr/>
          <w:p>
            <w:pPr>
              <w:pStyle w:val="TableContents"/>
            </w:pPr>
            <w:r>
              <w:t>1</w:t>
            </w:r>
          </w:p>
        </w:tc>
        <w:tc>
          <w:tcPr/>
          <w:p>
            <w:pPr>
              <w:pStyle w:val="TableContents"/>
            </w:pPr>
            <w:r>
              <w:t>Elimination</w:t>
            </w:r>
          </w:p>
        </w:tc>
        <w:tc>
          <w:tcPr/>
          <w:p>
            <w:pPr>
              <w:pStyle w:val="TableContents"/>
            </w:pPr>
            <w:r>
              <w:t>Remove the hazard entirely from the workplace or work process</w:t>
            </w:r>
          </w:p>
        </w:tc>
        <w:tc>
          <w:tcPr/>
          <w:p>
            <w:pPr>
              <w:pStyle w:val="TableContents"/>
            </w:pPr>
            <w:r>
              <w:t>Redesign the task so the hazardous activity is no longer required</w:t>
            </w:r>
          </w:p>
        </w:tc>
      </w:tr>
      <w:tr>
        <w:tc>
          <w:tcPr/>
          <w:p>
            <w:pPr>
              <w:pStyle w:val="TableContents"/>
            </w:pPr>
            <w:r>
              <w:t>2</w:t>
            </w:r>
          </w:p>
        </w:tc>
        <w:tc>
          <w:tcPr/>
          <w:p>
            <w:pPr>
              <w:pStyle w:val="TableContents"/>
            </w:pPr>
            <w:r>
              <w:t>Substitution</w:t>
            </w:r>
          </w:p>
        </w:tc>
        <w:tc>
          <w:tcPr/>
          <w:p>
            <w:pPr>
              <w:pStyle w:val="TableContents"/>
            </w:pPr>
            <w:r>
              <w:t>Replace the hazard with one presenting lower risk</w:t>
            </w:r>
          </w:p>
        </w:tc>
        <w:tc>
          <w:tcPr/>
          <w:p>
            <w:pPr>
              <w:pStyle w:val="TableContents"/>
            </w:pPr>
            <w:r>
              <w:t>Replace a hazardous chemical with a less hazardous equivalent</w:t>
            </w:r>
          </w:p>
        </w:tc>
      </w:tr>
      <w:tr>
        <w:tc>
          <w:tcPr/>
          <w:p>
            <w:pPr>
              <w:pStyle w:val="TableContents"/>
            </w:pPr>
            <w:r>
              <w:t>3</w:t>
            </w:r>
          </w:p>
        </w:tc>
        <w:tc>
          <w:tcPr/>
          <w:p>
            <w:pPr>
              <w:pStyle w:val="TableContents"/>
            </w:pPr>
            <w:r>
              <w:t>Engineering Controls</w:t>
            </w:r>
          </w:p>
        </w:tc>
        <w:tc>
          <w:tcPr/>
          <w:p>
            <w:pPr>
              <w:pStyle w:val="TableContents"/>
            </w:pPr>
            <w:r>
              <w:t>Physically isolate people from the hazard</w:t>
            </w:r>
          </w:p>
        </w:tc>
        <w:tc>
          <w:tcPr/>
          <w:p>
            <w:pPr>
              <w:pStyle w:val="TableContents"/>
            </w:pPr>
            <w:r>
              <w:t>Guarding, interlocks, barriers, ventilation systems</w:t>
            </w:r>
          </w:p>
        </w:tc>
      </w:tr>
      <w:tr>
        <w:tc>
          <w:tcPr/>
          <w:p>
            <w:pPr>
              <w:pStyle w:val="TableContents"/>
            </w:pPr>
            <w:r>
              <w:t>4</w:t>
            </w:r>
          </w:p>
        </w:tc>
        <w:tc>
          <w:tcPr/>
          <w:p>
            <w:pPr>
              <w:pStyle w:val="TableContents"/>
            </w:pPr>
            <w:r>
              <w:t>Administrative Controls</w:t>
            </w:r>
          </w:p>
        </w:tc>
        <w:tc>
          <w:tcPr/>
          <w:p>
            <w:pPr>
              <w:pStyle w:val="TableContents"/>
            </w:pPr>
            <w:r>
              <w:t>Change the way people work to reduce exposure</w:t>
            </w:r>
          </w:p>
        </w:tc>
        <w:tc>
          <w:tcPr/>
          <w:p>
            <w:pPr>
              <w:pStyle w:val="TableContents"/>
            </w:pPr>
            <w:r>
              <w:t>Permits to work, JHAs, signage, safe work procedures, supervision</w:t>
            </w:r>
          </w:p>
        </w:tc>
      </w:tr>
      <w:tr>
        <w:tc>
          <w:tcPr/>
          <w:p>
            <w:pPr>
              <w:pStyle w:val="TableContents"/>
            </w:pPr>
            <w:r>
              <w:t>5</w:t>
            </w:r>
          </w:p>
        </w:tc>
        <w:tc>
          <w:tcPr/>
          <w:p>
            <w:pPr>
              <w:pStyle w:val="TableContents"/>
            </w:pPr>
            <w:r>
              <w:t>Personal Protective Equipment</w:t>
            </w:r>
          </w:p>
        </w:tc>
        <w:tc>
          <w:tcPr/>
          <w:p>
            <w:pPr>
              <w:pStyle w:val="TableContents"/>
            </w:pPr>
            <w:r>
              <w:t>Protect the individual from residual exposure</w:t>
            </w:r>
          </w:p>
        </w:tc>
        <w:tc>
          <w:tcPr/>
          <w:p>
            <w:pPr>
              <w:pStyle w:val="TableContents"/>
            </w:pPr>
            <w:r>
              <w:t>Hard hat, safety harness, hearing protection, respiratory protection</w:t>
            </w:r>
          </w:p>
        </w:tc>
      </w:tr>
    </w:tbl>
    <w:p>
      <w:pPr>
        <w:pStyle w:val="Default"/>
      </w:pPr>
    </w:p>
    <w:p>
      <w:pPr>
        <w:pStyle w:val="NormalNumberedtext"/>
      </w:pPr>
      <w:r>
        <w:t>The work supervisor or assessment facilitator confirms that controls at the highest practicable level of the hierarchy are selected for each identified hazard and that the rationale for not applying higher-order controls is documented in the relevant JHA, HAZID output, or risk register record.</w:t>
      </w:r>
    </w:p>
    <w:p>
      <w:pPr>
        <w:pStyle w:val="Heading1Numbered"/>
      </w:pPr>
      <w:r>
        <w:t>5  Hazard and Risk Register</w:t>
      </w:r>
    </w:p>
    <w:p>
      <w:pPr>
        <w:pStyle w:val="NormalNumberedtext"/>
      </w:pPr>
      <w:r>
        <w:t>This section defines the format, mandatory content, maintenance obligations, and input sources for the project Hazard and Risk Register.</w:t>
      </w:r>
    </w:p>
    <w:p>
      <w:pPr>
        <w:pStyle w:val="Heading2Numbered"/>
      </w:pPr>
      <w:r>
        <w:t>5.1  Register Format and Mandatory Content</w:t>
      </w:r>
    </w:p>
    <w:p>
      <w:pPr>
        <w:pStyle w:val="NormalNumberedtext"/>
      </w:pPr>
      <w:r>
        <w:t>This section defines the mandatory fields and structure of the project Hazard and Risk Register.</w:t>
      </w:r>
    </w:p>
    <w:p>
      <w:pPr>
        <w:pStyle w:val="NormalNumberedtext"/>
      </w:pPr>
      <w:r>
        <w:t>The project Hazard and Risk Register is maintained as the single integrated repository for all project-level risk information. The HSESC Manager is the register owner and is accountable for its completeness and currency. The register format and maintenance requirements are defined in RTPR-HSE-REG-0004.</w:t>
      </w:r>
    </w:p>
    <w:p>
      <w:pPr>
        <w:pStyle w:val="NormalNumberedtext"/>
      </w:pPr>
      <w:r>
        <w:t>The register is maintained as a living document under the requirements of RTPR-HSE-PRO-0010. Each register record must contain the following mandatory fields:</w:t>
      </w:r>
    </w:p>
    <w:p>
      <w:pPr>
        <w:pStyle w:val="NormalNumberedtext"/>
      </w:pPr>
      <w:r>
        <w:t>Table 5: Hazard and Risk Register — Mandatory Fields</w:t>
      </w:r>
    </w:p>
    <w:tbl>
      <w:tblPr>
        <w:tblStyle w:val="TableOption2"/>
        <w:tblW w:type="pct" w:w="5000"/>
      </w:tblPr>
      <w:tr>
        <w:trPr>
          <w:tblHeader/>
        </w:trPr>
        <w:tc>
          <w:tcPr>
            <w:shd w:val="clear" w:color="auto" w:fill="1F3864"/>
          </w:tcPr>
          <w:p>
            <w:pPr>
              <w:pStyle w:val="TableContents"/>
            </w:pPr>
            <w:r>
              <w:rPr>
                <w:b/>
                <w:bCs/>
                <w:color w:val="FFFFFF"/>
              </w:rPr>
              <w:t>Field</w:t>
            </w:r>
          </w:p>
        </w:tc>
        <w:tc>
          <w:tcPr>
            <w:shd w:val="clear" w:color="auto" w:fill="1F3864"/>
          </w:tcPr>
          <w:p>
            <w:pPr>
              <w:pStyle w:val="TableContents"/>
            </w:pPr>
            <w:r>
              <w:rPr>
                <w:b/>
                <w:bCs/>
                <w:color w:val="FFFFFF"/>
              </w:rPr>
              <w:t>Description</w:t>
            </w:r>
          </w:p>
        </w:tc>
        <w:tc>
          <w:tcPr>
            <w:shd w:val="clear" w:color="auto" w:fill="1F3864"/>
          </w:tcPr>
          <w:p>
            <w:pPr>
              <w:pStyle w:val="TableContents"/>
            </w:pPr>
            <w:r>
              <w:rPr>
                <w:b/>
                <w:bCs/>
                <w:color w:val="FFFFFF"/>
              </w:rPr>
              <w:t>Responsible Party</w:t>
            </w:r>
          </w:p>
        </w:tc>
      </w:tr>
      <w:tr>
        <w:tc>
          <w:tcPr/>
          <w:p>
            <w:pPr>
              <w:pStyle w:val="TableContents"/>
            </w:pPr>
            <w:r>
              <w:t>Hazard Description</w:t>
            </w:r>
          </w:p>
        </w:tc>
        <w:tc>
          <w:tcPr/>
          <w:p>
            <w:pPr>
              <w:pStyle w:val="TableContents"/>
            </w:pPr>
            <w:r>
              <w:t>Clear description of the source of harm</w:t>
            </w:r>
          </w:p>
        </w:tc>
        <w:tc>
          <w:tcPr/>
          <w:p>
            <w:pPr>
              <w:pStyle w:val="TableContents"/>
            </w:pPr>
            <w:r>
              <w:t>Assessment facilitator</w:t>
            </w:r>
          </w:p>
        </w:tc>
      </w:tr>
      <w:tr>
        <w:tc>
          <w:tcPr/>
          <w:p>
            <w:pPr>
              <w:pStyle w:val="TableContents"/>
            </w:pPr>
            <w:r>
              <w:t>Associated Risk</w:t>
            </w:r>
          </w:p>
        </w:tc>
        <w:tc>
          <w:tcPr/>
          <w:p>
            <w:pPr>
              <w:pStyle w:val="TableContents"/>
            </w:pPr>
            <w:r>
              <w:t>The event or consequence that could result from the hazard</w:t>
            </w:r>
          </w:p>
        </w:tc>
        <w:tc>
          <w:tcPr/>
          <w:p>
            <w:pPr>
              <w:pStyle w:val="TableContents"/>
            </w:pPr>
            <w:r>
              <w:t>Assessment facilitator</w:t>
            </w:r>
          </w:p>
        </w:tc>
      </w:tr>
      <w:tr>
        <w:tc>
          <w:tcPr/>
          <w:p>
            <w:pPr>
              <w:pStyle w:val="TableContents"/>
            </w:pPr>
            <w:r>
              <w:t>Current Controls</w:t>
            </w:r>
          </w:p>
        </w:tc>
        <w:tc>
          <w:tcPr/>
          <w:p>
            <w:pPr>
              <w:pStyle w:val="TableContents"/>
            </w:pPr>
            <w:r>
              <w:t>Controls in place at the time of assessment</w:t>
            </w:r>
          </w:p>
        </w:tc>
        <w:tc>
          <w:tcPr/>
          <w:p>
            <w:pPr>
              <w:pStyle w:val="TableContents"/>
            </w:pPr>
            <w:r>
              <w:t>Assessment facilitator</w:t>
            </w:r>
          </w:p>
        </w:tc>
      </w:tr>
      <w:tr>
        <w:tc>
          <w:tcPr/>
          <w:p>
            <w:pPr>
              <w:pStyle w:val="TableContents"/>
            </w:pPr>
            <w:r>
              <w:t>Residual Risk Rating</w:t>
            </w:r>
          </w:p>
        </w:tc>
        <w:tc>
          <w:tcPr/>
          <w:p>
            <w:pPr>
              <w:pStyle w:val="TableContents"/>
            </w:pPr>
            <w:r>
              <w:t>Risk rating using the RT 5×5 Risk Matrix after current controls are applied</w:t>
            </w:r>
          </w:p>
        </w:tc>
        <w:tc>
          <w:tcPr/>
          <w:p>
            <w:pPr>
              <w:pStyle w:val="TableContents"/>
            </w:pPr>
            <w:r>
              <w:t>Assessment facilitator</w:t>
            </w:r>
          </w:p>
        </w:tc>
      </w:tr>
      <w:tr>
        <w:tc>
          <w:tcPr/>
          <w:p>
            <w:pPr>
              <w:pStyle w:val="TableContents"/>
            </w:pPr>
            <w:r>
              <w:t>Control Owner</w:t>
            </w:r>
          </w:p>
        </w:tc>
        <w:tc>
          <w:tcPr/>
          <w:p>
            <w:pPr>
              <w:pStyle w:val="TableContents"/>
            </w:pPr>
            <w:r>
              <w:t>The role accountable for ensuring the control remains in place and effective</w:t>
            </w:r>
          </w:p>
        </w:tc>
        <w:tc>
          <w:tcPr/>
          <w:p>
            <w:pPr>
              <w:pStyle w:val="TableContents"/>
            </w:pPr>
            <w:r>
              <w:t>HSESC Manager</w:t>
            </w:r>
          </w:p>
        </w:tc>
      </w:tr>
      <w:tr>
        <w:tc>
          <w:tcPr/>
          <w:p>
            <w:pPr>
              <w:pStyle w:val="TableContents"/>
            </w:pPr>
            <w:r>
              <w:t>Verification Method</w:t>
            </w:r>
          </w:p>
        </w:tc>
        <w:tc>
          <w:tcPr/>
          <w:p>
            <w:pPr>
              <w:pStyle w:val="TableContents"/>
            </w:pPr>
            <w:r>
              <w:t>How and how often the control effectiveness is verified</w:t>
            </w:r>
          </w:p>
        </w:tc>
        <w:tc>
          <w:tcPr/>
          <w:p>
            <w:pPr>
              <w:pStyle w:val="TableContents"/>
            </w:pPr>
            <w:r>
              <w:t>Control Owner</w:t>
            </w:r>
          </w:p>
        </w:tc>
      </w:tr>
      <w:tr>
        <w:tc>
          <w:tcPr/>
          <w:p>
            <w:pPr>
              <w:pStyle w:val="TableContents"/>
            </w:pPr>
            <w:r>
              <w:t>Review Date</w:t>
            </w:r>
          </w:p>
        </w:tc>
        <w:tc>
          <w:tcPr/>
          <w:p>
            <w:pPr>
              <w:pStyle w:val="TableContents"/>
            </w:pPr>
            <w:r>
              <w:t>The date by which the risk record must next be reviewed</w:t>
            </w:r>
          </w:p>
        </w:tc>
        <w:tc>
          <w:tcPr/>
          <w:p>
            <w:pPr>
              <w:pStyle w:val="TableContents"/>
            </w:pPr>
            <w:r>
              <w:t>HSESC Manager</w:t>
            </w:r>
          </w:p>
        </w:tc>
      </w:tr>
    </w:tbl>
    <w:p>
      <w:pPr>
        <w:pStyle w:val="Default"/>
      </w:pPr>
    </w:p>
    <w:p>
      <w:pPr>
        <w:pStyle w:val="Heading2Numbered"/>
      </w:pPr>
      <w:r>
        <w:t>5.2  Register Inputs and Consolidation</w:t>
      </w:r>
    </w:p>
    <w:p>
      <w:pPr>
        <w:pStyle w:val="NormalNumberedtext"/>
      </w:pPr>
      <w:r>
        <w:t>This section defines the sources that feed the register and the consolidation requirement across all assessment types.</w:t>
      </w:r>
    </w:p>
    <w:p>
      <w:pPr>
        <w:pStyle w:val="NormalNumberedtext"/>
      </w:pPr>
      <w:r>
        <w:t>All hazards identified through HAZID workshops, constructability reviews, health risk assessments, environmental risk assessments, and social risk assessments are consolidated into the single project-level Hazard and Risk Register. Maintaining separate registers for individual assessment types does not satisfy this requirement.</w:t>
      </w:r>
    </w:p>
    <w:p>
      <w:pPr>
        <w:pStyle w:val="NormalNumberedtext"/>
      </w:pPr>
      <w:r>
        <w:t>Systematic workplace inspections and monitoring data are continuous inputs to the register alongside workshop and formal assessment outputs. The HSESC Manager confirms that inspection findings and monitoring data captured under RTPR-HSE-PRO-0042 are reviewed against the register and used to update control effectiveness ratings at each scheduled review.</w:t>
      </w:r>
    </w:p>
    <w:p>
      <w:pPr>
        <w:pStyle w:val="NormalNumberedtext"/>
      </w:pPr>
      <w:r>
        <w:t>Incidents and near misses are inputs to the risk register. When an incident investigation identifies a hazard not currently captured in the register or a control that has failed, the HSESC Manager updates the register within the timeframe defined in RTPR-HSE-PRO-0009.</w:t>
      </w:r>
    </w:p>
    <w:p>
      <w:pPr>
        <w:pStyle w:val="Heading2Numbered"/>
      </w:pPr>
      <w:r>
        <w:t>5.3  Register Maintenance and Review Triggers</w:t>
      </w:r>
    </w:p>
    <w:p>
      <w:pPr>
        <w:pStyle w:val="NormalNumberedtext"/>
      </w:pPr>
      <w:r>
        <w:t>This section defines when the register must be updated and the conditions that trigger a review outside the scheduled cycle.</w:t>
      </w:r>
    </w:p>
    <w:p>
      <w:pPr>
        <w:pStyle w:val="NormalNumberedtext"/>
      </w:pPr>
      <w:r>
        <w:t>The Hazard and Risk Register is updated when new hazards are identified, when controls change, or when the project scope or context changes materially. Scheduled reviews occur at the frequency defined in the register itself against each record's review date.</w:t>
      </w:r>
    </w:p>
    <w:p>
      <w:pPr>
        <w:pStyle w:val="NormalNumberedtext"/>
      </w:pPr>
      <w:r>
        <w:t>The following conditions trigger an immediate out-of-cycle review of affected register records:</w:t>
      </w:r>
    </w:p>
    <w:p>
      <w:pPr>
        <w:pStyle w:val="NormalNumberedtext"/>
      </w:pPr>
      <w:r>
        <w:t>Out-of-cycle review triggers include:</w:t>
      </w:r>
    </w:p>
    <w:p>
      <w:pPr>
        <w:pStyle w:val="NumberedBulletL1"/>
      </w:pPr>
      <w:r>
        <w:t>A Management of Change outcome that introduces a new hazard or removes an existing control — refer RTPR-HSE-PRO-0040.</w:t>
      </w:r>
    </w:p>
    <w:p>
      <w:pPr>
        <w:pStyle w:val="NumberedBulletL1"/>
      </w:pPr>
      <w:r>
        <w:t>An incident or near miss that reveals a gap in the register — report all incidents and near misses per project requirements, refer RTPR-HSE-PRO-0009.</w:t>
      </w:r>
    </w:p>
    <w:p>
      <w:pPr>
        <w:pStyle w:val="NumberedBulletL1"/>
      </w:pPr>
      <w:r>
        <w:t>A regulatory change that alters the risk profile of a recorded hazard — refer RTPR-HSE-PRO-0001.</w:t>
      </w:r>
    </w:p>
    <w:p>
      <w:pPr>
        <w:pStyle w:val="NumberedBulletL1"/>
      </w:pPr>
      <w:r>
        <w:t>A significant change in project scope, design, or physical conditions.</w:t>
      </w:r>
    </w:p>
    <w:p>
      <w:pPr>
        <w:pStyle w:val="NumberedBulletL1"/>
      </w:pPr>
      <w:r>
        <w:t>A monitoring result that indicates a control is not performing as assessed — refer RTPR-HSE-PRO-0042.</w:t>
      </w:r>
    </w:p>
    <w:p>
      <w:pPr>
        <w:pStyle w:val="Heading1Numbered"/>
      </w:pPr>
      <w:r>
        <w:t>6  HAZID and Level 2 Risk Assessment Workshops</w:t>
      </w:r>
    </w:p>
    <w:p>
      <w:pPr>
        <w:pStyle w:val="NormalNumberedtext"/>
      </w:pPr>
      <w:r>
        <w:t>This section defines the HAZID workshop process, Terms of Reference requirements, participation obligations, human-energy interaction requirements, and reporting timelines.</w:t>
      </w:r>
    </w:p>
    <w:p>
      <w:pPr>
        <w:pStyle w:val="Heading2Numbered"/>
      </w:pPr>
      <w:r>
        <w:t>6.1  Workshop Requirements</w:t>
      </w:r>
    </w:p>
    <w:p>
      <w:pPr>
        <w:pStyle w:val="NormalNumberedtext"/>
      </w:pPr>
      <w:r>
        <w:t>This section defines when HAZID workshops are conducted, who participates, and the methodology requirements that apply.</w:t>
      </w:r>
    </w:p>
    <w:p>
      <w:pPr>
        <w:pStyle w:val="NormalNumberedtext"/>
      </w:pPr>
      <w:r>
        <w:t>HAZID workshops and Level 2 Risk and Opportunity Assessment Workshops are conducted before Work at site commences and at each project phase gate. Participation includes both owner team and contractor personnel with subject matter expertise appropriate to the workshop scope. All risk assessments conducted within HAZID workshops apply the RT 5×5 Risk Matrix defined in Section 2.</w:t>
      </w:r>
    </w:p>
    <w:p>
      <w:pPr>
        <w:pStyle w:val="NormalNumberedtext"/>
      </w:pPr>
      <w:r>
        <w:t>The assessment methodology applied in all HAZID workshops is consistent with Good International Industry Practice. Where the workshop scope includes activities requiring specialist technical knowledge or local contextual knowledge not held within the project team, the HSESC Manager engages appropriately qualified specialists before the workshop commences.</w:t>
      </w:r>
    </w:p>
    <w:p>
      <w:pPr>
        <w:pStyle w:val="Heading2Numbered"/>
      </w:pPr>
      <w:r>
        <w:t>6.2  Terms of Reference and Workshop Reports</w:t>
      </w:r>
    </w:p>
    <w:p>
      <w:pPr>
        <w:pStyle w:val="NormalNumberedtext"/>
      </w:pPr>
      <w:r>
        <w:t>This section defines the Terms of Reference requirements and the reporting obligations following each workshop.</w:t>
      </w:r>
    </w:p>
    <w:p>
      <w:pPr>
        <w:pStyle w:val="NormalNumberedtext"/>
      </w:pPr>
      <w:r>
        <w:t>The HSESC Manager confirms a Terms of Reference defining scope, methodology, and node structure is approved before each HAZID workshop commences.</w:t>
      </w:r>
    </w:p>
    <w:p>
      <w:pPr>
        <w:pStyle w:val="NormalNumberedtext"/>
      </w:pPr>
      <w:r>
        <w:rPr>
          <w:b/>
          <w:bCs/>
          <w:color w:val="0059D1"/>
        </w:rPr>
        <w:t>[INSERT: HAZID Terms of Reference Template Reference] — Insert the document number for the project HAZID Terms of Reference template, e.g. RTPR-HSE-XXX-XXXX HAZID Terms of Reference Template.</w:t>
      </w:r>
    </w:p>
    <w:p>
      <w:pPr>
        <w:pStyle w:val="NormalNumberedtext"/>
      </w:pPr>
      <w:r>
        <w:t>The HSESC Manager issues the workshop report to all relevant project parties within 30 days of workshop completion and stores it in the project document management system in accordance with RTPR-HSE-PRO-0010.</w:t>
      </w:r>
    </w:p>
    <w:p>
      <w:pPr>
        <w:pStyle w:val="NormalNumberedtext"/>
      </w:pPr>
      <w:r>
        <w:t>The HSESC Manager confirms HAZID outputs are captured in the project Hazard and Risk Register, RTPR-HSE-REG-0004, within</w:t>
      </w:r>
    </w:p>
    <w:p>
      <w:pPr>
        <w:pStyle w:val="NormalNumberedtext"/>
      </w:pPr>
      <w:r>
        <w:rPr>
          <w:b/>
          <w:bCs/>
          <w:color w:val="0059D1"/>
        </w:rPr>
        <w:t>[INSERT: HAZID output capture timeframe] — Insert the number of days after the workshop report is issued within which outputs must be entered into the risk register, e.g. 10 business days.</w:t>
      </w:r>
    </w:p>
    <w:p>
      <w:pPr>
        <w:pStyle w:val="NormalNumberedtext"/>
      </w:pPr>
      <w:r>
        <w:t>of the workshop report being issued.</w:t>
      </w:r>
    </w:p>
    <w:p>
      <w:pPr>
        <w:pStyle w:val="Heading2Numbered"/>
      </w:pPr>
      <w:r>
        <w:t>6.3  Human-Energy Interaction Node</w:t>
      </w:r>
    </w:p>
    <w:p>
      <w:pPr>
        <w:pStyle w:val="NormalNumberedtext"/>
      </w:pPr>
      <w:r>
        <w:t>This section requires a dedicated HAZID node addressing human-energy interactions as the primary source of construction fatalities.</w:t>
      </w:r>
    </w:p>
    <w:p>
      <w:pPr>
        <w:pStyle w:val="NormalNumberedtext"/>
      </w:pPr>
      <w:r>
        <w:t>The HSESC Manager ensures a dedicated node addressing human-energy interactions is included in every HAZID workshop conducted on this project. Human-energy interactions represent the single largest source of construction fatalities and must be assessed systematically within the HAZID process rather than subsumed into general activity nodes.</w:t>
      </w:r>
    </w:p>
    <w:p>
      <w:pPr>
        <w:pStyle w:val="NormalNumberedtext"/>
      </w:pPr>
      <w:r>
        <w:t>The human-energy interaction node addresses, at minimum, the following energy types present on the project:</w:t>
      </w:r>
    </w:p>
    <w:p>
      <w:pPr>
        <w:pStyle w:val="NormalNumberedtext"/>
      </w:pPr>
      <w:r>
        <w:t>Energy types to be addressed in the human-energy interaction node include:</w:t>
      </w:r>
    </w:p>
    <w:p>
      <w:pPr>
        <w:pStyle w:val="NumberedBulletL1"/>
      </w:pPr>
      <w:r>
        <w:rPr>
          <w:color w:val="C55A11"/>
        </w:rPr>
        <w:t>Gravitational energy — working at height, dropped objects, slope instability</w:t>
      </w:r>
    </w:p>
    <w:p>
      <w:pPr>
        <w:pStyle w:val="NumberedBulletL1"/>
      </w:pPr>
      <w:r>
        <w:rPr>
          <w:color w:val="C55A11"/>
        </w:rPr>
        <w:t>Kinetic energy — mobile plant and vehicle interactions with pedestrians</w:t>
      </w:r>
    </w:p>
    <w:p>
      <w:pPr>
        <w:pStyle w:val="NumberedBulletL1"/>
      </w:pPr>
      <w:r>
        <w:rPr>
          <w:color w:val="C55A11"/>
        </w:rPr>
        <w:t>Electrical energy — high voltage, stored electrical energy, live work activities</w:t>
      </w:r>
    </w:p>
    <w:p>
      <w:pPr>
        <w:pStyle w:val="NumberedBulletL1"/>
      </w:pPr>
      <w:r>
        <w:rPr>
          <w:color w:val="C55A11"/>
        </w:rPr>
        <w:t>Pressure energy — pressurised systems, hydraulic lines, pneumatic tools</w:t>
      </w:r>
    </w:p>
    <w:p>
      <w:pPr>
        <w:pStyle w:val="NumberedBulletL1"/>
      </w:pPr>
      <w:r>
        <w:rPr>
          <w:color w:val="C55A11"/>
        </w:rPr>
        <w:t>Thermal energy — hot work, hot surfaces, extreme ambient temperatures</w:t>
      </w:r>
    </w:p>
    <w:p>
      <w:pPr>
        <w:pStyle w:val="NumberedBulletL1"/>
      </w:pPr>
      <w:r>
        <w:rPr>
          <w:b/>
          <w:bCs/>
          <w:color w:val="0059D1"/>
        </w:rPr>
        <w:t>[INSERT: Additional project-specific energy types]</w:t>
      </w:r>
    </w:p>
    <w:p>
      <w:pPr>
        <w:pStyle w:val="Heading2Numbered"/>
      </w:pPr>
      <w:r>
        <w:t>6.4  HAZID Workshop Schedule</w:t>
      </w:r>
    </w:p>
    <w:p>
      <w:pPr>
        <w:pStyle w:val="NormalNumberedtext"/>
      </w:pPr>
      <w:r>
        <w:t>This section records the confirmed HAZID workshop schedule for this project across all lifecycle phases.</w:t>
      </w:r>
    </w:p>
    <w:tbl>
      <w:tblPr>
        <w:tblStyle w:val="TableOption1"/>
        <w:tblW w:type="pct" w:w="5000"/>
      </w:tblPr>
      <w:tr>
        <w:tc>
          <w:tcPr>
            <w:shd w:val="clear" w:color="auto" w:fill="FFF2CC"/>
          </w:tcPr>
          <w:p>
            <w:pPr>
              <w:pStyle w:val="Instructions"/>
            </w:pPr>
            <w:r>
              <w:rPr>
                <w:b/>
                <w:bCs/>
                <w:color w:val="C55A11"/>
              </w:rPr>
              <w:t>Confirm the HAZID workshop schedule for this project and insert into the table below before this procedure is issued. The dates confirmed here become the project HAZID programme. Include at minimum a pre-construction HAZID, construction phase review workshops at each major phase gate, and a commissioning HAZID. These dates must be communicated to all contractor organisations before mobilisation.</w:t>
            </w:r>
          </w:p>
        </w:tc>
      </w:tr>
    </w:tbl>
    <w:p>
      <w:pPr>
        <w:pStyle w:val="Default"/>
      </w:pPr>
    </w:p>
    <w:p>
      <w:pPr>
        <w:pStyle w:val="NormalNumberedtext"/>
      </w:pPr>
      <w:r>
        <w:t>Table 6: Project HAZID Workshop Schedule</w:t>
      </w:r>
    </w:p>
    <w:tbl>
      <w:tblPr>
        <w:tblStyle w:val="TableOption2"/>
        <w:tblW w:type="pct" w:w="5000"/>
      </w:tblPr>
      <w:tr>
        <w:trPr>
          <w:tblHeader/>
        </w:trPr>
        <w:tc>
          <w:tcPr>
            <w:shd w:val="clear" w:color="auto" w:fill="1F3864"/>
          </w:tcPr>
          <w:p>
            <w:pPr>
              <w:pStyle w:val="TableContents"/>
            </w:pPr>
            <w:r>
              <w:rPr>
                <w:b/>
                <w:bCs/>
                <w:color w:val="FFFFFF"/>
              </w:rPr>
              <w:t>Workshop</w:t>
            </w:r>
          </w:p>
        </w:tc>
        <w:tc>
          <w:tcPr>
            <w:shd w:val="clear" w:color="auto" w:fill="1F3864"/>
          </w:tcPr>
          <w:p>
            <w:pPr>
              <w:pStyle w:val="TableContents"/>
            </w:pPr>
            <w:r>
              <w:rPr>
                <w:b/>
                <w:bCs/>
                <w:color w:val="FFFFFF"/>
              </w:rPr>
              <w:t>Lifecycle Phase</w:t>
            </w:r>
          </w:p>
        </w:tc>
        <w:tc>
          <w:tcPr>
            <w:shd w:val="clear" w:color="auto" w:fill="1F3864"/>
          </w:tcPr>
          <w:p>
            <w:pPr>
              <w:pStyle w:val="TableContents"/>
            </w:pPr>
            <w:r>
              <w:rPr>
                <w:b/>
                <w:bCs/>
                <w:color w:val="FFFFFF"/>
              </w:rPr>
              <w:t>Planned Date</w:t>
            </w:r>
          </w:p>
        </w:tc>
        <w:tc>
          <w:tcPr>
            <w:shd w:val="clear" w:color="auto" w:fill="1F3864"/>
          </w:tcPr>
          <w:p>
            <w:pPr>
              <w:pStyle w:val="TableContents"/>
            </w:pPr>
            <w:r>
              <w:rPr>
                <w:b/>
                <w:bCs/>
                <w:color w:val="FFFFFF"/>
              </w:rPr>
              <w:t>Scope Summary</w:t>
            </w:r>
          </w:p>
        </w:tc>
        <w:tc>
          <w:tcPr>
            <w:shd w:val="clear" w:color="auto" w:fill="1F3864"/>
          </w:tcPr>
          <w:p>
            <w:pPr>
              <w:pStyle w:val="TableContents"/>
            </w:pPr>
            <w:r>
              <w:rPr>
                <w:b/>
                <w:bCs/>
                <w:color w:val="FFFFFF"/>
              </w:rPr>
              <w:t>Facilitator</w:t>
            </w:r>
          </w:p>
        </w:tc>
      </w:tr>
      <w:tr>
        <w:tc>
          <w:tcPr/>
          <w:p>
            <w:pPr>
              <w:pStyle w:val="TableContents"/>
            </w:pPr>
            <w:r>
              <w:t>Pre-Construction HAZID</w:t>
            </w:r>
          </w:p>
        </w:tc>
        <w:tc>
          <w:tcPr/>
          <w:p>
            <w:pPr>
              <w:pStyle w:val="TableContents"/>
            </w:pPr>
            <w:r>
              <w:t>Pre-Execution</w:t>
            </w:r>
          </w:p>
        </w:tc>
        <w:tc>
          <w:tcPr/>
          <w:p>
            <w:pPr>
              <w:pStyle w:val="TableContents"/>
            </w:pPr>
            <w:r>
              <w:rPr>
                <w:b/>
                <w:bCs/>
                <w:color w:val="0059D1"/>
              </w:rPr>
              <w:t>[INSERT: planned date]</w:t>
            </w:r>
          </w:p>
        </w:tc>
        <w:tc>
          <w:tcPr/>
          <w:p>
            <w:pPr>
              <w:pStyle w:val="TableContents"/>
            </w:pPr>
            <w:r>
              <w:rPr>
                <w:b/>
                <w:bCs/>
                <w:color w:val="0059D1"/>
              </w:rPr>
              <w:t>[INSERT: scope summary]</w:t>
            </w:r>
          </w:p>
        </w:tc>
        <w:tc>
          <w:tcPr/>
          <w:p>
            <w:pPr>
              <w:pStyle w:val="TableContents"/>
            </w:pPr>
            <w:r>
              <w:t>HSESC Manager</w:t>
            </w:r>
          </w:p>
        </w:tc>
      </w:tr>
      <w:tr>
        <w:tc>
          <w:tcPr/>
          <w:p>
            <w:pPr>
              <w:pStyle w:val="TableContents"/>
            </w:pPr>
            <w:r>
              <w:t>Construction Phase 1 HAZID Review</w:t>
            </w:r>
          </w:p>
        </w:tc>
        <w:tc>
          <w:tcPr/>
          <w:p>
            <w:pPr>
              <w:pStyle w:val="TableContents"/>
            </w:pPr>
            <w:r>
              <w:t>Execution</w:t>
            </w:r>
          </w:p>
        </w:tc>
        <w:tc>
          <w:tcPr/>
          <w:p>
            <w:pPr>
              <w:pStyle w:val="TableContents"/>
            </w:pPr>
            <w:r>
              <w:rPr>
                <w:b/>
                <w:bCs/>
                <w:color w:val="0059D1"/>
              </w:rPr>
              <w:t>[INSERT: planned date]</w:t>
            </w:r>
          </w:p>
        </w:tc>
        <w:tc>
          <w:tcPr/>
          <w:p>
            <w:pPr>
              <w:pStyle w:val="TableContents"/>
            </w:pPr>
            <w:r>
              <w:rPr>
                <w:b/>
                <w:bCs/>
                <w:color w:val="0059D1"/>
              </w:rPr>
              <w:t>[INSERT: scope summary]</w:t>
            </w:r>
          </w:p>
        </w:tc>
        <w:tc>
          <w:tcPr/>
          <w:p>
            <w:pPr>
              <w:pStyle w:val="TableContents"/>
            </w:pPr>
            <w:r>
              <w:t>HSESC Manager</w:t>
            </w:r>
          </w:p>
        </w:tc>
      </w:tr>
      <w:tr>
        <w:tc>
          <w:tcPr/>
          <w:p>
            <w:pPr>
              <w:pStyle w:val="TableContents"/>
            </w:pPr>
            <w:r>
              <w:t>Construction Phase 2 HAZID Review</w:t>
            </w:r>
          </w:p>
        </w:tc>
        <w:tc>
          <w:tcPr/>
          <w:p>
            <w:pPr>
              <w:pStyle w:val="TableContents"/>
            </w:pPr>
            <w:r>
              <w:t>Execution</w:t>
            </w:r>
          </w:p>
        </w:tc>
        <w:tc>
          <w:tcPr/>
          <w:p>
            <w:pPr>
              <w:pStyle w:val="TableContents"/>
            </w:pPr>
            <w:r>
              <w:rPr>
                <w:b/>
                <w:bCs/>
                <w:color w:val="0059D1"/>
              </w:rPr>
              <w:t>[INSERT: planned date]</w:t>
            </w:r>
          </w:p>
        </w:tc>
        <w:tc>
          <w:tcPr/>
          <w:p>
            <w:pPr>
              <w:pStyle w:val="TableContents"/>
            </w:pPr>
            <w:r>
              <w:rPr>
                <w:b/>
                <w:bCs/>
                <w:color w:val="0059D1"/>
              </w:rPr>
              <w:t>[INSERT: scope summary]</w:t>
            </w:r>
          </w:p>
        </w:tc>
        <w:tc>
          <w:tcPr/>
          <w:p>
            <w:pPr>
              <w:pStyle w:val="TableContents"/>
            </w:pPr>
            <w:r>
              <w:t>HSESC Manager</w:t>
            </w:r>
          </w:p>
        </w:tc>
      </w:tr>
      <w:tr>
        <w:tc>
          <w:tcPr/>
          <w:p>
            <w:pPr>
              <w:pStyle w:val="TableContents"/>
            </w:pPr>
            <w:r>
              <w:t>Commissioning HAZID</w:t>
            </w:r>
          </w:p>
        </w:tc>
        <w:tc>
          <w:tcPr/>
          <w:p>
            <w:pPr>
              <w:pStyle w:val="TableContents"/>
            </w:pPr>
            <w:r>
              <w:t>Commissioning</w:t>
            </w:r>
          </w:p>
        </w:tc>
        <w:tc>
          <w:tcPr/>
          <w:p>
            <w:pPr>
              <w:pStyle w:val="TableContents"/>
            </w:pPr>
            <w:r>
              <w:rPr>
                <w:b/>
                <w:bCs/>
                <w:color w:val="0059D1"/>
              </w:rPr>
              <w:t>[INSERT: planned date]</w:t>
            </w:r>
          </w:p>
        </w:tc>
        <w:tc>
          <w:tcPr/>
          <w:p>
            <w:pPr>
              <w:pStyle w:val="TableContents"/>
            </w:pPr>
            <w:r>
              <w:rPr>
                <w:b/>
                <w:bCs/>
                <w:color w:val="0059D1"/>
              </w:rPr>
              <w:t>[INSERT: scope summary]</w:t>
            </w:r>
          </w:p>
        </w:tc>
        <w:tc>
          <w:tcPr/>
          <w:p>
            <w:pPr>
              <w:pStyle w:val="TableContents"/>
            </w:pPr>
            <w:r>
              <w:t>HSESC Manager</w:t>
            </w:r>
          </w:p>
        </w:tc>
      </w:tr>
      <w:tr>
        <w:tc>
          <w:tcPr/>
          <w:p>
            <w:pPr>
              <w:pStyle w:val="TableContents"/>
            </w:pPr>
            <w:r>
              <w:rPr>
                <w:b/>
                <w:bCs/>
                <w:color w:val="0059D1"/>
              </w:rPr>
              <w:t>[INSERT: additional workshop]</w:t>
            </w:r>
          </w:p>
        </w:tc>
        <w:tc>
          <w:tcPr/>
          <w:p>
            <w:pPr>
              <w:pStyle w:val="TableContents"/>
            </w:pPr>
            <w:r>
              <w:rPr>
                <w:b/>
                <w:bCs/>
                <w:color w:val="0059D1"/>
              </w:rPr>
              <w:t>[INSERT: phase]</w:t>
            </w:r>
          </w:p>
        </w:tc>
        <w:tc>
          <w:tcPr/>
          <w:p>
            <w:pPr>
              <w:pStyle w:val="TableContents"/>
            </w:pPr>
            <w:r>
              <w:rPr>
                <w:b/>
                <w:bCs/>
                <w:color w:val="0059D1"/>
              </w:rPr>
              <w:t>[INSERT: planned date]</w:t>
            </w:r>
          </w:p>
        </w:tc>
        <w:tc>
          <w:tcPr/>
          <w:p>
            <w:pPr>
              <w:pStyle w:val="TableContents"/>
            </w:pPr>
            <w:r>
              <w:rPr>
                <w:b/>
                <w:bCs/>
                <w:color w:val="0059D1"/>
              </w:rPr>
              <w:t>[INSERT: scope summary]</w:t>
            </w:r>
          </w:p>
        </w:tc>
        <w:tc>
          <w:tcPr/>
          <w:p>
            <w:pPr>
              <w:pStyle w:val="TableContents"/>
            </w:pPr>
            <w:r>
              <w:rPr>
                <w:b/>
                <w:bCs/>
                <w:color w:val="0059D1"/>
              </w:rPr>
              <w:t>[INSERT: facilitator]</w:t>
            </w:r>
          </w:p>
        </w:tc>
      </w:tr>
    </w:tbl>
    <w:p>
      <w:pPr>
        <w:pStyle w:val="Default"/>
      </w:pPr>
    </w:p>
    <w:p>
      <w:pPr>
        <w:pStyle w:val="Heading1Numbered"/>
      </w:pPr>
      <w:r>
        <w:t>7  Job Hazard Analysis (JHA)</w:t>
      </w:r>
    </w:p>
    <w:p>
      <w:pPr>
        <w:pStyle w:val="NormalNumberedtext"/>
      </w:pPr>
      <w:r>
        <w:t>This section defines the JHA process, mandatory fields, trigger conditions, pre-start requirements, and the obligation to review JHAs when conditions change.</w:t>
      </w:r>
    </w:p>
    <w:p>
      <w:pPr>
        <w:pStyle w:val="Heading2Numbered"/>
      </w:pPr>
      <w:r>
        <w:t>7.1  JHA Process and Required Content</w:t>
      </w:r>
    </w:p>
    <w:p>
      <w:pPr>
        <w:pStyle w:val="NormalNumberedtext"/>
      </w:pPr>
      <w:r>
        <w:t>This section defines how JHAs are conducted, the minimum required fields, and the risk matrix that applies.</w:t>
      </w:r>
    </w:p>
    <w:p>
      <w:pPr>
        <w:pStyle w:val="NormalNumberedtext"/>
      </w:pPr>
      <w:r>
        <w:t>The work supervisor ensures a JHA is completed by the work group before any task commences, applying the RT 5×5 Risk Matrix defined in Section 2.</w:t>
      </w:r>
    </w:p>
    <w:p>
      <w:pPr>
        <w:pStyle w:val="NormalNumberedtext"/>
      </w:pPr>
      <w:r>
        <w:rPr>
          <w:b/>
          <w:bCs/>
          <w:color w:val="0059D1"/>
        </w:rPr>
        <w:t>[INSERT: JHA Template Reference] — Insert the document number for the project JHA template, e.g. RTPR-HSE-XXX-XXXX Job Hazard Analysis Template.</w:t>
      </w:r>
    </w:p>
    <w:p>
      <w:pPr>
        <w:pStyle w:val="NormalNumberedtext"/>
      </w:pPr>
      <w:r>
        <w:t>The JHA addresses all task steps, associated hazards, and selected controls across all disciplines, interfaces, and simultaneous activities relevant to the task, to ensure no exposure pathway is missed. The work group identifies root causes rather than surface hazards and selects controls at the highest practicable level of the hierarchy of controls to address each root cause.</w:t>
      </w:r>
    </w:p>
    <w:p>
      <w:pPr>
        <w:pStyle w:val="NormalNumberedtext"/>
      </w:pPr>
      <w:r>
        <w:t>Table 7: JHA Minimum Required Fields</w:t>
      </w:r>
    </w:p>
    <w:tbl>
      <w:tblPr>
        <w:tblStyle w:val="TableOption2"/>
        <w:tblW w:type="pct" w:w="5000"/>
      </w:tblPr>
      <w:tr>
        <w:trPr>
          <w:tblHeader/>
        </w:trPr>
        <w:tc>
          <w:tcPr>
            <w:shd w:val="clear" w:color="auto" w:fill="1F3864"/>
          </w:tcPr>
          <w:p>
            <w:pPr>
              <w:pStyle w:val="TableContents"/>
            </w:pPr>
            <w:r>
              <w:rPr>
                <w:b/>
                <w:bCs/>
                <w:color w:val="FFFFFF"/>
              </w:rPr>
              <w:t>Field</w:t>
            </w:r>
          </w:p>
        </w:tc>
        <w:tc>
          <w:tcPr>
            <w:shd w:val="clear" w:color="auto" w:fill="1F3864"/>
          </w:tcPr>
          <w:p>
            <w:pPr>
              <w:pStyle w:val="TableContents"/>
            </w:pPr>
            <w:r>
              <w:rPr>
                <w:b/>
                <w:bCs/>
                <w:color w:val="FFFFFF"/>
              </w:rPr>
              <w:t>Description</w:t>
            </w:r>
          </w:p>
        </w:tc>
      </w:tr>
      <w:tr>
        <w:tc>
          <w:tcPr/>
          <w:p>
            <w:pPr>
              <w:pStyle w:val="TableContents"/>
            </w:pPr>
            <w:r>
              <w:t>Task Description</w:t>
            </w:r>
          </w:p>
        </w:tc>
        <w:tc>
          <w:tcPr/>
          <w:p>
            <w:pPr>
              <w:pStyle w:val="TableContents"/>
            </w:pPr>
            <w:r>
              <w:t>Clear description of the work activity being assessed</w:t>
            </w:r>
          </w:p>
        </w:tc>
      </w:tr>
      <w:tr>
        <w:tc>
          <w:tcPr/>
          <w:p>
            <w:pPr>
              <w:pStyle w:val="TableContents"/>
            </w:pPr>
            <w:r>
              <w:t>Work Location</w:t>
            </w:r>
          </w:p>
        </w:tc>
        <w:tc>
          <w:tcPr/>
          <w:p>
            <w:pPr>
              <w:pStyle w:val="TableContents"/>
            </w:pPr>
            <w:r>
              <w:t>Specific site location where the task will be performed</w:t>
            </w:r>
          </w:p>
        </w:tc>
      </w:tr>
      <w:tr>
        <w:tc>
          <w:tcPr/>
          <w:p>
            <w:pPr>
              <w:pStyle w:val="TableContents"/>
            </w:pPr>
            <w:r>
              <w:t>Task Steps</w:t>
            </w:r>
          </w:p>
        </w:tc>
        <w:tc>
          <w:tcPr/>
          <w:p>
            <w:pPr>
              <w:pStyle w:val="TableContents"/>
            </w:pPr>
            <w:r>
              <w:t>Sequential breakdown of each discrete step in the task</w:t>
            </w:r>
          </w:p>
        </w:tc>
      </w:tr>
      <w:tr>
        <w:tc>
          <w:tcPr/>
          <w:p>
            <w:pPr>
              <w:pStyle w:val="TableContents"/>
            </w:pPr>
            <w:r>
              <w:t>Hazard</w:t>
            </w:r>
          </w:p>
        </w:tc>
        <w:tc>
          <w:tcPr/>
          <w:p>
            <w:pPr>
              <w:pStyle w:val="TableContents"/>
            </w:pPr>
            <w:r>
              <w:t>The source of potential harm associated with each task step</w:t>
            </w:r>
          </w:p>
        </w:tc>
      </w:tr>
      <w:tr>
        <w:tc>
          <w:tcPr/>
          <w:p>
            <w:pPr>
              <w:pStyle w:val="TableContents"/>
            </w:pPr>
            <w:r>
              <w:t>Root Cause</w:t>
            </w:r>
          </w:p>
        </w:tc>
        <w:tc>
          <w:tcPr/>
          <w:p>
            <w:pPr>
              <w:pStyle w:val="TableContents"/>
            </w:pPr>
            <w:r>
              <w:t>The underlying cause of the hazard, not the surface symptom</w:t>
            </w:r>
          </w:p>
        </w:tc>
      </w:tr>
      <w:tr>
        <w:tc>
          <w:tcPr/>
          <w:p>
            <w:pPr>
              <w:pStyle w:val="TableContents"/>
            </w:pPr>
            <w:r>
              <w:t>Inherent Risk Rating</w:t>
            </w:r>
          </w:p>
        </w:tc>
        <w:tc>
          <w:tcPr/>
          <w:p>
            <w:pPr>
              <w:pStyle w:val="TableContents"/>
            </w:pPr>
            <w:r>
              <w:t>Risk rating before controls are applied using the RT 5×5 Risk Matrix</w:t>
            </w:r>
          </w:p>
        </w:tc>
      </w:tr>
      <w:tr>
        <w:tc>
          <w:tcPr/>
          <w:p>
            <w:pPr>
              <w:pStyle w:val="TableContents"/>
            </w:pPr>
            <w:r>
              <w:t>Controls</w:t>
            </w:r>
          </w:p>
        </w:tc>
        <w:tc>
          <w:tcPr/>
          <w:p>
            <w:pPr>
              <w:pStyle w:val="TableContents"/>
            </w:pPr>
            <w:r>
              <w:t>The controls selected for each hazard, listed in hierarchy order</w:t>
            </w:r>
          </w:p>
        </w:tc>
      </w:tr>
      <w:tr>
        <w:tc>
          <w:tcPr/>
          <w:p>
            <w:pPr>
              <w:pStyle w:val="TableContents"/>
            </w:pPr>
            <w:r>
              <w:t>Residual Risk Rating</w:t>
            </w:r>
          </w:p>
        </w:tc>
        <w:tc>
          <w:tcPr/>
          <w:p>
            <w:pPr>
              <w:pStyle w:val="TableContents"/>
            </w:pPr>
            <w:r>
              <w:t>Risk rating after controls are applied using the RT 5×5 Risk Matrix</w:t>
            </w:r>
          </w:p>
        </w:tc>
      </w:tr>
      <w:tr>
        <w:tc>
          <w:tcPr/>
          <w:p>
            <w:pPr>
              <w:pStyle w:val="TableContents"/>
            </w:pPr>
            <w:r>
              <w:t>Control Owner</w:t>
            </w:r>
          </w:p>
        </w:tc>
        <w:tc>
          <w:tcPr/>
          <w:p>
            <w:pPr>
              <w:pStyle w:val="TableContents"/>
            </w:pPr>
            <w:r>
              <w:t>The role responsible for ensuring the control is in place</w:t>
            </w:r>
          </w:p>
        </w:tc>
      </w:tr>
      <w:tr>
        <w:tc>
          <w:tcPr/>
          <w:p>
            <w:pPr>
              <w:pStyle w:val="TableContents"/>
            </w:pPr>
            <w:r>
              <w:t>Permit Reference</w:t>
            </w:r>
          </w:p>
        </w:tc>
        <w:tc>
          <w:tcPr/>
          <w:p>
            <w:pPr>
              <w:pStyle w:val="TableContents"/>
            </w:pPr>
            <w:r>
              <w:t>Reference to the permit to work required for this task, refer RTPR-HSE-PRO-0021</w:t>
            </w:r>
          </w:p>
        </w:tc>
      </w:tr>
      <w:tr>
        <w:tc>
          <w:tcPr/>
          <w:p>
            <w:pPr>
              <w:pStyle w:val="TableContents"/>
            </w:pPr>
            <w:r>
              <w:t>Personnel Sign-On</w:t>
            </w:r>
          </w:p>
        </w:tc>
        <w:tc>
          <w:tcPr/>
          <w:p>
            <w:pPr>
              <w:pStyle w:val="TableContents"/>
            </w:pPr>
            <w:r>
              <w:t>Record of all personnel who attended the pre-start briefing and confirmed understanding</w:t>
            </w:r>
          </w:p>
        </w:tc>
      </w:tr>
    </w:tbl>
    <w:p>
      <w:pPr>
        <w:pStyle w:val="Default"/>
      </w:pPr>
    </w:p>
    <w:p>
      <w:pPr>
        <w:pStyle w:val="Heading2Numbered"/>
      </w:pPr>
      <w:r>
        <w:t>7.2  Pre-Start Requirements and Change Management</w:t>
      </w:r>
    </w:p>
    <w:p>
      <w:pPr>
        <w:pStyle w:val="NormalNumberedtext"/>
      </w:pPr>
      <w:r>
        <w:t>This section defines the pre-start meeting obligations and the requirement to review and revise the JHA when conditions change.</w:t>
      </w:r>
    </w:p>
    <w:p>
      <w:pPr>
        <w:pStyle w:val="NormalNumberedtext"/>
      </w:pPr>
      <w:r>
        <w:t>No task commences without a pre-start meeting referencing the relevant JHA and permit. At the pre-start meeting, all involved personnel confirm they understand and will apply the controls before work begins. The work supervisor raises a permit via the site PTW system before commencing work, refer RTPR-HSE-PRO-0021.</w:t>
      </w:r>
    </w:p>
    <w:p>
      <w:pPr>
        <w:pStyle w:val="NormalNumberedtext"/>
      </w:pPr>
      <w:r>
        <w:t>The work supervisor initiates a JHA review and revision whenever task conditions change, and confirms the revised JHA is communicated to all personnel before work resumes. Changes that require a JHA revision include a change in the work method, a change in the personnel performing the task, a change in environmental conditions, or the identification of a new hazard not captured in the original assessment.</w:t>
      </w:r>
    </w:p>
    <w:p>
      <w:pPr>
        <w:pStyle w:val="Heading2Numbered"/>
      </w:pPr>
      <w:r>
        <w:t>7.3  JHA Trigger List</w:t>
      </w:r>
    </w:p>
    <w:p>
      <w:pPr>
        <w:pStyle w:val="NormalNumberedtext"/>
      </w:pPr>
      <w:r>
        <w:t>This section defines the task categories and conditions that require a formal JHA before commencement.</w:t>
      </w:r>
    </w:p>
    <w:tbl>
      <w:tblPr>
        <w:tblStyle w:val="TableOption1"/>
        <w:tblW w:type="pct" w:w="5000"/>
      </w:tblPr>
      <w:tr>
        <w:tc>
          <w:tcPr>
            <w:shd w:val="clear" w:color="auto" w:fill="FFF2CC"/>
          </w:tcPr>
          <w:p>
            <w:pPr>
              <w:pStyle w:val="Instructions"/>
            </w:pPr>
            <w:r>
              <w:rPr>
                <w:b/>
                <w:bCs/>
                <w:color w:val="C55A11"/>
              </w:rPr>
              <w:t>Define the JHA trigger list for this project before this procedure is issued. The specific task categories and conditions that require a formal JHA versus those managed by standard operating procedures is a project-specific decision. Populate the table below based on the project scope, work methods, and risk profile.</w:t>
            </w:r>
          </w:p>
        </w:tc>
      </w:tr>
    </w:tbl>
    <w:p>
      <w:pPr>
        <w:pStyle w:val="Default"/>
      </w:pPr>
    </w:p>
    <w:p>
      <w:pPr>
        <w:pStyle w:val="NormalNumberedtext"/>
      </w:pPr>
      <w:r>
        <w:t>The JHA trigger list defines the task categories and conditions that require a formal JHA on this project. All tasks meeting one or more trigger criteria require a JHA completed by the work group before work commences.</w:t>
      </w:r>
    </w:p>
    <w:p>
      <w:pPr>
        <w:pStyle w:val="NormalNumberedtext"/>
      </w:pPr>
      <w:r>
        <w:t>Table 8: Project JHA Trigger List</w:t>
      </w:r>
    </w:p>
    <w:tbl>
      <w:tblPr>
        <w:tblStyle w:val="TableOption2"/>
        <w:tblW w:type="pct" w:w="5000"/>
      </w:tblPr>
      <w:tr>
        <w:trPr>
          <w:tblHeader/>
        </w:trPr>
        <w:tc>
          <w:tcPr>
            <w:shd w:val="clear" w:color="auto" w:fill="1F3864"/>
          </w:tcPr>
          <w:p>
            <w:pPr>
              <w:pStyle w:val="TableContents"/>
            </w:pPr>
            <w:r>
              <w:rPr>
                <w:b/>
                <w:bCs/>
                <w:color w:val="FFFFFF"/>
              </w:rPr>
              <w:t>Trigger Category</w:t>
            </w:r>
          </w:p>
        </w:tc>
        <w:tc>
          <w:tcPr>
            <w:shd w:val="clear" w:color="auto" w:fill="1F3864"/>
          </w:tcPr>
          <w:p>
            <w:pPr>
              <w:pStyle w:val="TableContents"/>
            </w:pPr>
            <w:r>
              <w:rPr>
                <w:b/>
                <w:bCs/>
                <w:color w:val="FFFFFF"/>
              </w:rPr>
              <w:t>Description</w:t>
            </w:r>
          </w:p>
        </w:tc>
        <w:tc>
          <w:tcPr>
            <w:shd w:val="clear" w:color="auto" w:fill="1F3864"/>
          </w:tcPr>
          <w:p>
            <w:pPr>
              <w:pStyle w:val="TableContents"/>
            </w:pPr>
            <w:r>
              <w:rPr>
                <w:b/>
                <w:bCs/>
                <w:color w:val="FFFFFF"/>
              </w:rPr>
              <w:t>Applicable Work Types</w:t>
            </w:r>
          </w:p>
        </w:tc>
      </w:tr>
      <w:tr>
        <w:tc>
          <w:tcPr/>
          <w:p>
            <w:pPr>
              <w:pStyle w:val="TableContents"/>
            </w:pPr>
            <w:r>
              <w:t>suggested</w:t>
            </w:r>
          </w:p>
        </w:tc>
        <w:tc>
          <w:tcPr/>
          <w:p>
            <w:pPr>
              <w:pStyle w:val="TableContents"/>
            </w:pPr>
            <w:r>
              <w:t>cells</w:t>
            </w:r>
          </w:p>
        </w:tc>
      </w:tr>
      <w:tr>
        <w:tc>
          <w:tcPr/>
          <w:p>
            <w:pPr>
              <w:pStyle w:val="TableContents"/>
            </w:pPr>
            <w:r>
              <w:t>suggested</w:t>
            </w:r>
          </w:p>
        </w:tc>
        <w:tc>
          <w:tcPr/>
          <w:p>
            <w:pPr>
              <w:pStyle w:val="TableContents"/>
            </w:pPr>
            <w:r>
              <w:t>cells</w:t>
            </w:r>
          </w:p>
        </w:tc>
      </w:tr>
      <w:tr>
        <w:tc>
          <w:tcPr/>
          <w:p>
            <w:pPr>
              <w:pStyle w:val="TableContents"/>
            </w:pPr>
            <w:r>
              <w:t>suggested</w:t>
            </w:r>
          </w:p>
        </w:tc>
        <w:tc>
          <w:tcPr/>
          <w:p>
            <w:pPr>
              <w:pStyle w:val="TableContents"/>
            </w:pPr>
            <w:r>
              <w:t>cells</w:t>
            </w:r>
          </w:p>
        </w:tc>
      </w:tr>
      <w:tr>
        <w:tc>
          <w:tcPr/>
          <w:p>
            <w:pPr>
              <w:pStyle w:val="TableContents"/>
            </w:pPr>
            <w:r>
              <w:t>suggested</w:t>
            </w:r>
          </w:p>
        </w:tc>
        <w:tc>
          <w:tcPr/>
          <w:p>
            <w:pPr>
              <w:pStyle w:val="TableContents"/>
            </w:pPr>
            <w:r>
              <w:t>cells</w:t>
            </w:r>
          </w:p>
        </w:tc>
      </w:tr>
      <w:tr>
        <w:tc>
          <w:tcPr/>
          <w:p>
            <w:pPr>
              <w:pStyle w:val="TableContents"/>
            </w:pPr>
            <w:r>
              <w:t>suggested</w:t>
            </w:r>
          </w:p>
        </w:tc>
        <w:tc>
          <w:tcPr/>
          <w:p>
            <w:pPr>
              <w:pStyle w:val="TableContents"/>
            </w:pPr>
            <w:r>
              <w:t>cells</w:t>
            </w:r>
          </w:p>
        </w:tc>
      </w:tr>
      <w:tr>
        <w:tc>
          <w:tcPr/>
          <w:p>
            <w:pPr>
              <w:pStyle w:val="TableContents"/>
            </w:pPr>
            <w:r>
              <w:t>suggested</w:t>
            </w:r>
          </w:p>
        </w:tc>
        <w:tc>
          <w:tcPr/>
          <w:p>
            <w:pPr>
              <w:pStyle w:val="TableContents"/>
            </w:pPr>
            <w:r>
              <w:t>cells</w:t>
            </w:r>
          </w:p>
        </w:tc>
      </w:tr>
      <w:tr>
        <w:tc>
          <w:tcPr/>
          <w:p>
            <w:pPr>
              <w:pStyle w:val="TableContents"/>
            </w:pPr>
            <w:r>
              <w:t>suggested</w:t>
            </w:r>
          </w:p>
        </w:tc>
        <w:tc>
          <w:tcPr/>
          <w:p>
            <w:pPr>
              <w:pStyle w:val="TableContents"/>
            </w:pPr>
            <w:r>
              <w:t>cells</w:t>
            </w:r>
          </w:p>
        </w:tc>
      </w:tr>
      <w:tr>
        <w:tc>
          <w:tcPr/>
          <w:p>
            <w:pPr>
              <w:pStyle w:val="TableContents"/>
            </w:pPr>
            <w:r>
              <w:t>insert</w:t>
            </w:r>
          </w:p>
        </w:tc>
        <w:tc>
          <w:tcPr/>
          <w:p>
            <w:pPr>
              <w:pStyle w:val="TableContents"/>
            </w:pPr>
            <w:r>
              <w:t>field</w:t>
            </w:r>
          </w:p>
        </w:tc>
        <w:tc>
          <w:tcPr/>
          <w:p>
            <w:pPr>
              <w:pStyle w:val="TableContents"/>
            </w:pPr>
            <w:r>
              <w:t>hint</w:t>
            </w:r>
          </w:p>
        </w:tc>
      </w:tr>
    </w:tbl>
    <w:p>
      <w:pPr>
        <w:pStyle w:val="Default"/>
      </w:pPr>
    </w:p>
    <w:p>
      <w:pPr>
        <w:pStyle w:val="Heading1Numbered"/>
      </w:pPr>
      <w:r>
        <w:t>8  Constructability Reviews</w:t>
      </w:r>
    </w:p>
    <w:p>
      <w:pPr>
        <w:pStyle w:val="NormalNumberedtext"/>
      </w:pPr>
      <w:r>
        <w:t>This section defines the constructability review process, team composition requirements, hazard documentation obligations, and the link to Safe Work Methodology Statements.</w:t>
      </w:r>
    </w:p>
    <w:p>
      <w:pPr>
        <w:pStyle w:val="Heading2Numbered"/>
      </w:pPr>
      <w:r>
        <w:t>8.1  Constructability Review Process</w:t>
      </w:r>
    </w:p>
    <w:p>
      <w:pPr>
        <w:pStyle w:val="NormalNumberedtext"/>
      </w:pPr>
      <w:r>
        <w:t>This section defines when constructability reviews commence, who participates, and the hazard register preparation requirement.</w:t>
      </w:r>
    </w:p>
    <w:p>
      <w:pPr>
        <w:pStyle w:val="NormalNumberedtext"/>
      </w:pPr>
      <w:r>
        <w:t>A hazard and risk assessment register is prepared when constructability reviews commence, with hazards identified and addressed during the pre-construction phase. The register is maintained in RTPR-HSE-REG-0004 from the point of constructability review commencement.</w:t>
      </w:r>
    </w:p>
    <w:p>
      <w:pPr>
        <w:pStyle w:val="NormalNumberedtext"/>
      </w:pPr>
      <w:r>
        <w:t>Constructability Review Teams include both owner and contractor personnel with appropriate subject matter experts across all relevant disciplines. No constructability review is conducted without representation from engineering, construction, and HSESC disciplines at minimum.</w:t>
      </w:r>
    </w:p>
    <w:p>
      <w:pPr>
        <w:pStyle w:val="Heading2Numbered"/>
      </w:pPr>
      <w:r>
        <w:t>8.2  Hazard Documentation and Safe Work Methodology Statements</w:t>
      </w:r>
    </w:p>
    <w:p>
      <w:pPr>
        <w:pStyle w:val="NormalNumberedtext"/>
      </w:pPr>
      <w:r>
        <w:t>This section defines the output requirements from constructability reviews and the link to Safe Work Methodology Statements.</w:t>
      </w:r>
    </w:p>
    <w:p>
      <w:pPr>
        <w:pStyle w:val="NormalNumberedtext"/>
      </w:pPr>
      <w:r>
        <w:t>Hazards identified during constructability reviews are documented to identify the control or management approach for each hazard. Each documented hazard record identifies the responsible party, the selected control, and the control verification method.</w:t>
      </w:r>
    </w:p>
    <w:p>
      <w:pPr>
        <w:pStyle w:val="NormalNumberedtext"/>
      </w:pPr>
      <w:r>
        <w:t>The output from constructability reviews forms the basis for Safe Work Methodology Statements for all high-risk activities by construction contractors. Safe Work Methodology Statements are prepared by the relevant contractor before the high-risk activity commences and are reviewed against constructability review findings before approval.</w:t>
      </w:r>
    </w:p>
    <w:p>
      <w:pPr>
        <w:pStyle w:val="Heading1Numbered"/>
      </w:pPr>
      <w:r>
        <w:t>9  Hazard Observation Programme</w:t>
      </w:r>
    </w:p>
    <w:p>
      <w:pPr>
        <w:pStyle w:val="NormalNumberedtext"/>
      </w:pPr>
      <w:r>
        <w:t>This section defines the structure of the project Hazard Observation Programme, observation targets, action management, and the use of observation data as a leading indicator.</w:t>
      </w:r>
    </w:p>
    <w:p>
      <w:pPr>
        <w:pStyle w:val="Heading2Numbered"/>
      </w:pPr>
      <w:r>
        <w:t>9.1  Programme Structure and Submission Process</w:t>
      </w:r>
    </w:p>
    <w:p>
      <w:pPr>
        <w:pStyle w:val="NormalNumberedtext"/>
      </w:pPr>
      <w:r>
        <w:t>This section defines the process for all project personnel to identify, document, and submit hazard observations.</w:t>
      </w:r>
    </w:p>
    <w:p>
      <w:pPr>
        <w:pStyle w:val="NormalNumberedtext"/>
      </w:pPr>
      <w:r>
        <w:t>All project personnel participate in the Hazard Observation Programme. The programme provides a structured process for every person on the project to identify, document, and submit hazard observations from any work area or activity at any time.</w:t>
      </w:r>
    </w:p>
    <w:p>
      <w:pPr>
        <w:pStyle w:val="NormalNumberedtext"/>
      </w:pPr>
      <w:r>
        <w:t>Workers are actively encouraged to report hazards and face no disciplinary measures or negative consequences for doing so. The HSESC Manager confirms this principle is communicated at project induction and reinforced at pre-start meetings and toolbox talks throughout the project.</w:t>
      </w:r>
    </w:p>
    <w:p>
      <w:pPr>
        <w:pStyle w:val="NormalNumberedtext"/>
      </w:pPr>
      <w:r>
        <w:rPr>
          <w:b/>
          <w:bCs/>
          <w:color w:val="0059D1"/>
        </w:rPr>
        <w:t>[INSERT: Hazard Observation Submission Method] — Insert the method by which hazard observations are submitted on this project, e.g. paper-based observation card, digital platform, mobile application. Include the form reference number or system name.</w:t>
      </w:r>
    </w:p>
    <w:p>
      <w:pPr>
        <w:pStyle w:val="Heading2Numbered"/>
      </w:pPr>
      <w:r>
        <w:t>9.2  Action Assignment, Tracking, and Closeout</w:t>
      </w:r>
    </w:p>
    <w:p>
      <w:pPr>
        <w:pStyle w:val="NormalNumberedtext"/>
      </w:pPr>
      <w:r>
        <w:t>This section defines how observations are assigned, tracked, and closed out.</w:t>
      </w:r>
    </w:p>
    <w:p>
      <w:pPr>
        <w:pStyle w:val="NormalNumberedtext"/>
      </w:pPr>
      <w:r>
        <w:t>Each submitted observation is assigned an action owner and a due date by the HSESC team within</w:t>
      </w:r>
    </w:p>
    <w:p>
      <w:pPr>
        <w:pStyle w:val="NormalNumberedtext"/>
      </w:pPr>
      <w:r>
        <w:rPr>
          <w:b/>
          <w:bCs/>
          <w:color w:val="0059D1"/>
        </w:rPr>
        <w:t>[INSERT: Observation action assignment timeframe] — Insert the timeframe within which an action owner and due date must be assigned to each observation, e.g. 24 hours of submission.</w:t>
      </w:r>
    </w:p>
    <w:p>
      <w:pPr>
        <w:pStyle w:val="NormalNumberedtext"/>
      </w:pPr>
      <w:r>
        <w:t>of submission. The action owner is responsible for completing the corrective action by the due date and recording the closeout in the observation tracking system.</w:t>
      </w:r>
    </w:p>
    <w:p>
      <w:pPr>
        <w:pStyle w:val="NormalNumberedtext"/>
      </w:pPr>
      <w:r>
        <w:t>The HSESC Manager reviews open observations at each project HSESC performance meeting and escalates observations that are overdue or that indicate a systemic hazard requiring a register update.</w:t>
      </w:r>
    </w:p>
    <w:p>
      <w:pPr>
        <w:pStyle w:val="Heading2Numbered"/>
      </w:pPr>
      <w:r>
        <w:t>9.3  Observation Targets and Performance Reporting</w:t>
      </w:r>
    </w:p>
    <w:p>
      <w:pPr>
        <w:pStyle w:val="NormalNumberedtext"/>
      </w:pPr>
      <w:r>
        <w:t>This section defines the minimum observation targets and how observation data is reported as a leading indicator.</w:t>
      </w:r>
    </w:p>
    <w:tbl>
      <w:tblPr>
        <w:tblStyle w:val="TableOption1"/>
        <w:tblW w:type="pct" w:w="5000"/>
      </w:tblPr>
      <w:tr>
        <w:tc>
          <w:tcPr>
            <w:shd w:val="clear" w:color="auto" w:fill="FFF2CC"/>
          </w:tcPr>
          <w:p>
            <w:pPr>
              <w:pStyle w:val="Instructions"/>
            </w:pPr>
            <w:r>
              <w:rPr>
                <w:b/>
                <w:bCs/>
                <w:color w:val="C55A11"/>
              </w:rPr>
              <w:t>Define minimum hazard observation targets for this project before this procedure is issued. Insert the minimum observations required per supervisor per week and any total project targets into the table below. These targets are project-specific decisions informed by workforce size, project phase, and safety culture maturity objectives.</w:t>
            </w:r>
          </w:p>
        </w:tc>
      </w:tr>
    </w:tbl>
    <w:p>
      <w:pPr>
        <w:pStyle w:val="Default"/>
      </w:pPr>
    </w:p>
    <w:p>
      <w:pPr>
        <w:pStyle w:val="NormalNumberedtext"/>
      </w:pPr>
      <w:r>
        <w:t>Table 9: Project Hazard Observation Targets</w:t>
      </w:r>
    </w:p>
    <w:tbl>
      <w:tblPr>
        <w:tblStyle w:val="TableOption2"/>
        <w:tblW w:type="pct" w:w="5000"/>
      </w:tblPr>
      <w:tr>
        <w:trPr>
          <w:tblHeader/>
        </w:trPr>
        <w:tc>
          <w:tcPr>
            <w:shd w:val="clear" w:color="auto" w:fill="1F3864"/>
          </w:tcPr>
          <w:p>
            <w:pPr>
              <w:pStyle w:val="TableContents"/>
            </w:pPr>
            <w:r>
              <w:rPr>
                <w:b/>
                <w:bCs/>
                <w:color w:val="FFFFFF"/>
              </w:rPr>
              <w:t>Personnel Category</w:t>
            </w:r>
          </w:p>
        </w:tc>
        <w:tc>
          <w:tcPr>
            <w:shd w:val="clear" w:color="auto" w:fill="1F3864"/>
          </w:tcPr>
          <w:p>
            <w:pPr>
              <w:pStyle w:val="TableContents"/>
            </w:pPr>
            <w:r>
              <w:rPr>
                <w:b/>
                <w:bCs/>
                <w:color w:val="FFFFFF"/>
              </w:rPr>
              <w:t>Minimum Observations</w:t>
            </w:r>
          </w:p>
        </w:tc>
        <w:tc>
          <w:tcPr>
            <w:shd w:val="clear" w:color="auto" w:fill="1F3864"/>
          </w:tcPr>
          <w:p>
            <w:pPr>
              <w:pStyle w:val="TableContents"/>
            </w:pPr>
            <w:r>
              <w:rPr>
                <w:b/>
                <w:bCs/>
                <w:color w:val="FFFFFF"/>
              </w:rPr>
              <w:t>Frequency</w:t>
            </w:r>
          </w:p>
        </w:tc>
        <w:tc>
          <w:tcPr>
            <w:shd w:val="clear" w:color="auto" w:fill="1F3864"/>
          </w:tcPr>
          <w:p>
            <w:pPr>
              <w:pStyle w:val="TableContents"/>
            </w:pPr>
            <w:r>
              <w:rPr>
                <w:b/>
                <w:bCs/>
                <w:color w:val="FFFFFF"/>
              </w:rPr>
              <w:t>Reporting Period</w:t>
            </w:r>
          </w:p>
        </w:tc>
      </w:tr>
      <w:tr>
        <w:tc>
          <w:tcPr/>
          <w:p>
            <w:pPr>
              <w:pStyle w:val="TableContents"/>
            </w:pPr>
            <w:r>
              <w:rPr>
                <w:b/>
                <w:bCs/>
                <w:color w:val="0059D1"/>
              </w:rPr>
              <w:t>[INSERT: Supervisor]</w:t>
            </w:r>
          </w:p>
        </w:tc>
        <w:tc>
          <w:tcPr/>
          <w:p>
            <w:pPr>
              <w:pStyle w:val="TableContents"/>
            </w:pPr>
            <w:r>
              <w:rPr>
                <w:b/>
                <w:bCs/>
                <w:color w:val="0059D1"/>
              </w:rPr>
              <w:t>[INSERT: target, e.g. 2]</w:t>
            </w:r>
          </w:p>
        </w:tc>
        <w:tc>
          <w:tcPr/>
          <w:p>
            <w:pPr>
              <w:pStyle w:val="TableContents"/>
            </w:pPr>
            <w:r>
              <w:t>Per week</w:t>
            </w:r>
          </w:p>
        </w:tc>
        <w:tc>
          <w:tcPr/>
          <w:p>
            <w:pPr>
              <w:pStyle w:val="TableContents"/>
            </w:pPr>
            <w:r>
              <w:t>Monthly</w:t>
            </w:r>
          </w:p>
        </w:tc>
      </w:tr>
      <w:tr>
        <w:tc>
          <w:tcPr/>
          <w:p>
            <w:pPr>
              <w:pStyle w:val="TableContents"/>
            </w:pPr>
            <w:r>
              <w:rPr>
                <w:b/>
                <w:bCs/>
                <w:color w:val="0059D1"/>
              </w:rPr>
              <w:t>[INSERT: HSESC personnel]</w:t>
            </w:r>
          </w:p>
        </w:tc>
        <w:tc>
          <w:tcPr/>
          <w:p>
            <w:pPr>
              <w:pStyle w:val="TableContents"/>
            </w:pPr>
            <w:r>
              <w:rPr>
                <w:b/>
                <w:bCs/>
                <w:color w:val="0059D1"/>
              </w:rPr>
              <w:t>[INSERT: target, e.g. 5]</w:t>
            </w:r>
          </w:p>
        </w:tc>
        <w:tc>
          <w:tcPr/>
          <w:p>
            <w:pPr>
              <w:pStyle w:val="TableContents"/>
            </w:pPr>
            <w:r>
              <w:t>Per week</w:t>
            </w:r>
          </w:p>
        </w:tc>
        <w:tc>
          <w:tcPr/>
          <w:p>
            <w:pPr>
              <w:pStyle w:val="TableContents"/>
            </w:pPr>
            <w:r>
              <w:t>Monthly</w:t>
            </w:r>
          </w:p>
        </w:tc>
      </w:tr>
      <w:tr>
        <w:tc>
          <w:tcPr/>
          <w:p>
            <w:pPr>
              <w:pStyle w:val="TableContents"/>
            </w:pPr>
            <w:r>
              <w:rPr>
                <w:b/>
                <w:bCs/>
                <w:color w:val="0059D1"/>
              </w:rPr>
              <w:t>[INSERT: All project personnel]</w:t>
            </w:r>
          </w:p>
        </w:tc>
        <w:tc>
          <w:tcPr/>
          <w:p>
            <w:pPr>
              <w:pStyle w:val="TableContents"/>
            </w:pPr>
            <w:r>
              <w:rPr>
                <w:b/>
                <w:bCs/>
                <w:color w:val="0059D1"/>
              </w:rPr>
              <w:t>[INSERT: total project target]</w:t>
            </w:r>
          </w:p>
        </w:tc>
        <w:tc>
          <w:tcPr/>
          <w:p>
            <w:pPr>
              <w:pStyle w:val="TableContents"/>
            </w:pPr>
            <w:r>
              <w:t>Per month</w:t>
            </w:r>
          </w:p>
        </w:tc>
        <w:tc>
          <w:tcPr/>
          <w:p>
            <w:pPr>
              <w:pStyle w:val="TableContents"/>
            </w:pPr>
            <w:r>
              <w:t>Monthly</w:t>
            </w:r>
          </w:p>
        </w:tc>
      </w:tr>
      <w:tr>
        <w:tc>
          <w:tcPr/>
          <w:p>
            <w:pPr>
              <w:pStyle w:val="TableContents"/>
            </w:pPr>
            <w:r>
              <w:t>insert</w:t>
            </w:r>
          </w:p>
        </w:tc>
        <w:tc>
          <w:tcPr/>
          <w:p>
            <w:pPr>
              <w:pStyle w:val="TableContents"/>
            </w:pPr>
            <w:r>
              <w:t>cells</w:t>
            </w:r>
          </w:p>
        </w:tc>
      </w:tr>
    </w:tbl>
    <w:p>
      <w:pPr>
        <w:pStyle w:val="Default"/>
      </w:pPr>
    </w:p>
    <w:p>
      <w:pPr>
        <w:pStyle w:val="NormalNumberedtext"/>
      </w:pPr>
      <w:r>
        <w:t>Hazard observation data is used as a leading indicator of safety culture maturity. The HSESC Manager analyses observation trends and reports observation volumes, action closeout rates, and trend analysis against targets in the monthly HSESC performance report.</w:t>
      </w:r>
    </w:p>
    <w:p>
      <w:pPr>
        <w:pStyle w:val="Heading1Numbered"/>
      </w:pPr>
      <w:r>
        <w:t>10  Security Risk Assessment</w:t>
      </w:r>
    </w:p>
    <w:p>
      <w:pPr>
        <w:pStyle w:val="NormalNumberedtext"/>
      </w:pPr>
      <w:r>
        <w:t>This section defines the requirements for the project security risk assessment, including scope, participation, human rights considerations, and documentation in the project risk register.</w:t>
      </w:r>
    </w:p>
    <w:p>
      <w:pPr>
        <w:pStyle w:val="Heading2Numbered"/>
      </w:pPr>
      <w:r>
        <w:t>10.1  Security Risk Assessment Requirements</w:t>
      </w:r>
    </w:p>
    <w:p>
      <w:pPr>
        <w:pStyle w:val="NormalNumberedtext"/>
      </w:pPr>
      <w:r>
        <w:t>This section defines the scope and participation requirements for the security risk assessment.</w:t>
      </w:r>
    </w:p>
    <w:p>
      <w:pPr>
        <w:pStyle w:val="NormalNumberedtext"/>
      </w:pPr>
      <w:r>
        <w:t>A comprehensive security risk assessment is conducted covering all key work locations, transport routes, and supply chain nodes before project mobilisation. The assessment involves multi-disciplinary participation including the Corporate Security and Project function, and outputs are documented in the project Hazard and Risk Register, RTPR-HSE-REG-0004.</w:t>
      </w:r>
    </w:p>
    <w:p>
      <w:pPr>
        <w:pStyle w:val="NormalNumberedtext"/>
      </w:pPr>
      <w:r>
        <w:t>The security risk assessment addresses potential human rights risks associated with the use of security personnel and includes reference to the Voluntary Principles on Security and Human Rights. Where security personnel are engaged, the assessment identifies the applicable human rights obligations and documents controls to ensure those obligations are met.</w:t>
      </w:r>
    </w:p>
    <w:p>
      <w:pPr>
        <w:pStyle w:val="NormalNumberedtext"/>
      </w:pPr>
      <w:r>
        <w:t>The security risk assessment is reviewed when a material change to the project scope, location, or operational context occurs. Changes that introduce new security risks or alter existing controls are processed through the Management of Change process — refer RTPR-HSE-PRO-0040.</w:t>
      </w:r>
    </w:p>
    <w:p>
      <w:pPr>
        <w:pStyle w:val="Heading1Numbered"/>
      </w:pPr>
      <w:r>
        <w:t>11  Management of Change Interface</w:t>
      </w:r>
    </w:p>
    <w:p>
      <w:pPr>
        <w:pStyle w:val="NormalNumberedtext"/>
      </w:pPr>
      <w:r>
        <w:t>This section defines the requirement to assess HSESC risks through the Management of Change process and to communicate all changes to affected personnel before implementation.</w:t>
      </w:r>
    </w:p>
    <w:p>
      <w:pPr>
        <w:pStyle w:val="Heading2Numbered"/>
      </w:pPr>
      <w:r>
        <w:t>11.1  MoC Trigger and Risk Assessment Requirement</w:t>
      </w:r>
    </w:p>
    <w:p>
      <w:pPr>
        <w:pStyle w:val="NormalNumberedtext"/>
      </w:pPr>
      <w:r>
        <w:t>This section defines when the MoC process applies and the risk assessment obligations it generates.</w:t>
      </w:r>
    </w:p>
    <w:p>
      <w:pPr>
        <w:pStyle w:val="NormalNumberedtext"/>
      </w:pPr>
      <w:r>
        <w:t>Changes to the project organisation, activities, processes, or documentation are assessed for HSESC risks through the Management of Change process before implementation. All changes in conditions or scope that introduce new hazards or remove existing controls are assessed before work continues — refer RTPR-HSE-PRO-0040.</w:t>
      </w:r>
    </w:p>
    <w:p>
      <w:pPr>
        <w:pStyle w:val="NormalNumberedtext"/>
      </w:pPr>
      <w:r>
        <w:t>The HSESC Manager confirms that risk assessments conducted as part of a MoC outcome are captured in the project Hazard and Risk Register, RTPR-HSE-REG-0004, within the timeframe defined in the MoC outcome record.</w:t>
      </w:r>
    </w:p>
    <w:p>
      <w:pPr>
        <w:pStyle w:val="Heading2Numbered"/>
      </w:pPr>
      <w:r>
        <w:t>11.2  Communication of Changes</w:t>
      </w:r>
    </w:p>
    <w:p>
      <w:pPr>
        <w:pStyle w:val="NormalNumberedtext"/>
      </w:pPr>
      <w:r>
        <w:t>This section defines the obligation to communicate all MoC-identified changes before implementation.</w:t>
      </w:r>
    </w:p>
    <w:p>
      <w:pPr>
        <w:pStyle w:val="NormalNumberedtext"/>
      </w:pPr>
      <w:r>
        <w:t>All changes identified through the MoC process are communicated to the Company and to all affected project personnel before implementation. The HSESC Manager confirms the communication method and the record of communication are documented in the MoC record.</w:t>
      </w:r>
    </w:p>
    <w:p>
      <w:pPr>
        <w:pStyle w:val="Heading1Numbered"/>
      </w:pPr>
      <w:r>
        <w:t>12  Critical Risk Management Programme</w:t>
      </w:r>
    </w:p>
    <w:p>
      <w:pPr>
        <w:pStyle w:val="NormalNumberedtext"/>
      </w:pPr>
      <w:r>
        <w:t>This section defines the CRM programme requirements, including deployment, training, verification standards, pre-start integration, and monthly reporting obligations.</w:t>
      </w:r>
    </w:p>
    <w:p>
      <w:pPr>
        <w:pStyle w:val="Heading2Numbered"/>
      </w:pPr>
      <w:r>
        <w:t>12.1  CRM Programme Requirements</w:t>
      </w:r>
    </w:p>
    <w:p>
      <w:pPr>
        <w:pStyle w:val="NormalNumberedtext"/>
      </w:pPr>
      <w:r>
        <w:t>This section defines the CRM programme framework, roles, and critical control verification obligations.</w:t>
      </w:r>
    </w:p>
    <w:p>
      <w:pPr>
        <w:pStyle w:val="NormalNumberedtext"/>
      </w:pPr>
      <w:r>
        <w:t>The project participates in the CRM programme defined for the project, following the framework developed by the Company. The CRM programme defines critical risk exposures, provides training in the correct application of CRM tools, establishes a CRM deployment team, and defines roles and responsibilities for critical control verification.</w:t>
      </w:r>
    </w:p>
    <w:p>
      <w:pPr>
        <w:pStyle w:val="NormalNumberedtext"/>
      </w:pPr>
      <w:r>
        <w:t>The site risk profile is monitored and adjusted as required. CRM tools are kept current and available to project personnel via the Forwood portal. The CRM profile forms an integral part of all risk assessment reviews and is updated when activities change within project areas.</w:t>
      </w:r>
    </w:p>
    <w:p>
      <w:pPr>
        <w:pStyle w:val="NormalNumberedtext"/>
      </w:pPr>
      <w:r>
        <w:t>For all identified CRM risks, an appropriate level of Critical Control Verification Standards, Critical Control Field Verifications, and Critical Control Checklists coverage is built into project schedules and leadership activities. The HSESC Manager confirms this coverage is reviewed at each project HSESC performance meeting.</w:t>
      </w:r>
    </w:p>
    <w:p>
      <w:pPr>
        <w:pStyle w:val="Heading2Numbered"/>
      </w:pPr>
      <w:r>
        <w:t>12.2  CRM Training Requirements</w:t>
      </w:r>
    </w:p>
    <w:p>
      <w:pPr>
        <w:pStyle w:val="NormalNumberedtext"/>
      </w:pPr>
      <w:r>
        <w:t>This section defines the CRM training obligations before mobilisation and the workplace follow-up requirements.</w:t>
      </w:r>
    </w:p>
    <w:p>
      <w:pPr>
        <w:pStyle w:val="NormalNumberedtext"/>
      </w:pPr>
      <w:r>
        <w:t>Company-supplied CRM training is completed by all project personnel prior to commencement of work on the project. Competency requirements for CRM roles are addressed in RTPR-HSE-PRO-0004.</w:t>
      </w:r>
    </w:p>
    <w:p>
      <w:pPr>
        <w:pStyle w:val="NormalNumberedtext"/>
      </w:pPr>
      <w:r>
        <w:t>Follow-up training and knowledge verification takes place in the workplace as soon as practicable after mobilisation. Work crews are engaged in practical CRM application within two weeks of mobilisation. The HSESC Manager tracks completion of CRM training and practical application against the mobilisation schedule.</w:t>
      </w:r>
    </w:p>
    <w:p>
      <w:pPr>
        <w:pStyle w:val="Heading2Numbered"/>
      </w:pPr>
      <w:r>
        <w:t>12.3  CRM Champions</w:t>
      </w:r>
    </w:p>
    <w:p>
      <w:pPr>
        <w:pStyle w:val="NormalNumberedtext"/>
      </w:pPr>
      <w:r>
        <w:t>This section defines the CRM Champion role requirements and the selection criteria that apply.</w:t>
      </w:r>
    </w:p>
    <w:p>
      <w:pPr>
        <w:pStyle w:val="NormalNumberedtext"/>
      </w:pPr>
      <w:r>
        <w:t>Suitable CRM Champions are identified within the project organisation to support implementation and sustainability of CRM. CRM Champions demonstrate commitment to CRM, hold experience in the Critical Risk areas they champion, and provide subject matter expert coaching to individuals and groups involved in critical risk activities.</w:t>
      </w:r>
    </w:p>
    <w:p>
      <w:pPr>
        <w:pStyle w:val="NormalNumberedtext"/>
      </w:pPr>
      <w:r>
        <w:rPr>
          <w:b/>
          <w:bCs/>
          <w:color w:val="0059D1"/>
        </w:rPr>
        <w:t>[INSERT: CRM Champion Nominees] — Insert the names and roles of identified CRM Champions before project mobilisation, or confirm the process by which CRM Champions will be identified and confirmed.</w:t>
      </w:r>
    </w:p>
    <w:p>
      <w:pPr>
        <w:pStyle w:val="Heading2Numbered"/>
      </w:pPr>
      <w:r>
        <w:t>12.4  Pre-Start Meeting Integration</w:t>
      </w:r>
    </w:p>
    <w:p>
      <w:pPr>
        <w:pStyle w:val="NormalNumberedtext"/>
      </w:pPr>
      <w:r>
        <w:t>This section defines the requirement to incorporate CRM information into pre-start meetings at the start of each shift.</w:t>
      </w:r>
    </w:p>
    <w:p>
      <w:pPr>
        <w:pStyle w:val="NormalNumberedtext"/>
      </w:pPr>
      <w:r>
        <w:t>CRM information is incorporated into pre-start meeting discussions at the beginning of each shift. Pre-start boards are used to record the daily activities with critical risk exposure, the nature of the risk, and the critical controls required.</w:t>
      </w:r>
    </w:p>
    <w:p>
      <w:pPr>
        <w:pStyle w:val="NormalNumberedtext"/>
      </w:pPr>
      <w:r>
        <w:t>All work crews are given an opportunity to discuss non-compliant critical controls and raise concerns from the previous shift at the pre-start meeting. The work supervisor records any concerns raised and assigns actions before work commences.</w:t>
      </w:r>
    </w:p>
    <w:p>
      <w:pPr>
        <w:pStyle w:val="Heading2Numbered"/>
      </w:pPr>
      <w:r>
        <w:t>12.5  CRM Data Analysis and Reporting</w:t>
      </w:r>
    </w:p>
    <w:p>
      <w:pPr>
        <w:pStyle w:val="NormalNumberedtext"/>
      </w:pPr>
      <w:r>
        <w:t>This section defines the monthly CRM data analysis requirements and the reporting obligations for the project.</w:t>
      </w:r>
    </w:p>
    <w:p>
      <w:pPr>
        <w:pStyle w:val="NormalNumberedtext"/>
      </w:pPr>
      <w:r>
        <w:t>Monthly CRM data analysis detailing performance over the previous reporting period is completed by the HSESC Manager and posted to all project notice boards. CRM statistics including data quality are included in the monthly HSESC performance report.</w:t>
      </w:r>
    </w:p>
    <w:p>
      <w:pPr>
        <w:pStyle w:val="NormalNumberedtext"/>
      </w:pPr>
      <w:r>
        <w:t>Weekly Forwood portal reports review performance against non-compliance, mobile submission, coaching, and completion of all field verifications. The HSESC Manager reviews weekly reports and escalates adverse trends to the Project Director.</w:t>
      </w:r>
    </w:p>
    <w:p>
      <w:pPr>
        <w:pStyle w:val="Heading1Numbered"/>
      </w:pPr>
      <w:r>
        <w:t>13  Fatality Prevention Programme</w:t>
      </w:r>
    </w:p>
    <w:p>
      <w:pPr>
        <w:pStyle w:val="NormalNumberedtext"/>
      </w:pPr>
      <w:r>
        <w:t>This section defines the FPP governance, workshop, inspection, scheduling, action management, CRM alignment, and participation requirements for the project.</w:t>
      </w:r>
    </w:p>
    <w:p>
      <w:pPr>
        <w:pStyle w:val="Heading2Numbered"/>
      </w:pPr>
      <w:r>
        <w:t>13.1  FPP Governance and Assigned Roles</w:t>
      </w:r>
    </w:p>
    <w:p>
      <w:pPr>
        <w:pStyle w:val="NormalNumberedtext"/>
      </w:pPr>
      <w:r>
        <w:t>This section defines the FPP Sponsor and Implementation Lead roles and the timing of their assignment.</w:t>
      </w:r>
    </w:p>
    <w:p>
      <w:pPr>
        <w:pStyle w:val="NormalNumberedtext"/>
      </w:pPr>
      <w:r>
        <w:t>An FPP Sponsor is assigned at Project Director level and an FPP Implementation Lead is assigned at HSESC Manager level before project mobilisation. The FPP Sponsor provides visible leadership and endorses FPP actions. The FPP Implementation Lead is accountable for facilitating workshops, coordinating in-field inspections, tracking actions, and reporting FPP performance to the Company.</w:t>
      </w:r>
    </w:p>
    <w:p>
      <w:pPr>
        <w:pStyle w:val="NormalNumberedtext"/>
      </w:pPr>
      <w:r>
        <w:t>Table 10: FPP Role Assignments</w:t>
      </w:r>
    </w:p>
    <w:tbl>
      <w:tblPr>
        <w:tblStyle w:val="TableOption2"/>
        <w:tblW w:type="pct" w:w="5000"/>
      </w:tblPr>
      <w:tr>
        <w:trPr>
          <w:tblHeader/>
        </w:trPr>
        <w:tc>
          <w:tcPr>
            <w:shd w:val="clear" w:color="auto" w:fill="1F3864"/>
          </w:tcPr>
          <w:p>
            <w:pPr>
              <w:pStyle w:val="TableContents"/>
            </w:pPr>
            <w:r>
              <w:rPr>
                <w:b/>
                <w:bCs/>
                <w:color w:val="FFFFFF"/>
              </w:rPr>
              <w:t>FPP Role</w:t>
            </w:r>
          </w:p>
        </w:tc>
        <w:tc>
          <w:tcPr>
            <w:shd w:val="clear" w:color="auto" w:fill="1F3864"/>
          </w:tcPr>
          <w:p>
            <w:pPr>
              <w:pStyle w:val="TableContents"/>
            </w:pPr>
            <w:r>
              <w:rPr>
                <w:b/>
                <w:bCs/>
                <w:color w:val="FFFFFF"/>
              </w:rPr>
              <w:t>Required Level</w:t>
            </w:r>
          </w:p>
        </w:tc>
        <w:tc>
          <w:tcPr>
            <w:shd w:val="clear" w:color="auto" w:fill="1F3864"/>
          </w:tcPr>
          <w:p>
            <w:pPr>
              <w:pStyle w:val="TableContents"/>
            </w:pPr>
            <w:r>
              <w:rPr>
                <w:b/>
                <w:bCs/>
                <w:color w:val="FFFFFF"/>
              </w:rPr>
              <w:t>Assigned Individual</w:t>
            </w:r>
          </w:p>
        </w:tc>
        <w:tc>
          <w:tcPr>
            <w:shd w:val="clear" w:color="auto" w:fill="1F3864"/>
          </w:tcPr>
          <w:p>
            <w:pPr>
              <w:pStyle w:val="TableContents"/>
            </w:pPr>
            <w:r>
              <w:rPr>
                <w:b/>
                <w:bCs/>
                <w:color w:val="FFFFFF"/>
              </w:rPr>
              <w:t>Assignment Date</w:t>
            </w:r>
          </w:p>
        </w:tc>
      </w:tr>
      <w:tr>
        <w:tc>
          <w:tcPr/>
          <w:p>
            <w:pPr>
              <w:pStyle w:val="TableContents"/>
            </w:pPr>
            <w:r>
              <w:t>FPP Sponsor</w:t>
            </w:r>
          </w:p>
        </w:tc>
        <w:tc>
          <w:tcPr/>
          <w:p>
            <w:pPr>
              <w:pStyle w:val="TableContents"/>
            </w:pPr>
            <w:r>
              <w:t>Project Director</w:t>
            </w:r>
          </w:p>
        </w:tc>
        <w:tc>
          <w:tcPr/>
          <w:p>
            <w:pPr>
              <w:pStyle w:val="TableContents"/>
            </w:pPr>
            <w:r>
              <w:rPr>
                <w:b/>
                <w:bCs/>
                <w:color w:val="0059D1"/>
              </w:rPr>
              <w:t>[INSERT: name]</w:t>
            </w:r>
          </w:p>
        </w:tc>
        <w:tc>
          <w:tcPr/>
          <w:p>
            <w:pPr>
              <w:pStyle w:val="TableContents"/>
            </w:pPr>
            <w:r>
              <w:rPr>
                <w:b/>
                <w:bCs/>
                <w:color w:val="0059D1"/>
              </w:rPr>
              <w:t>[INSERT: date]</w:t>
            </w:r>
          </w:p>
        </w:tc>
      </w:tr>
      <w:tr>
        <w:tc>
          <w:tcPr/>
          <w:p>
            <w:pPr>
              <w:pStyle w:val="TableContents"/>
            </w:pPr>
            <w:r>
              <w:t>FPP Implementation Lead</w:t>
            </w:r>
          </w:p>
        </w:tc>
        <w:tc>
          <w:tcPr/>
          <w:p>
            <w:pPr>
              <w:pStyle w:val="TableContents"/>
            </w:pPr>
            <w:r>
              <w:t>HSESC Manager</w:t>
            </w:r>
          </w:p>
        </w:tc>
        <w:tc>
          <w:tcPr/>
          <w:p>
            <w:pPr>
              <w:pStyle w:val="TableContents"/>
            </w:pPr>
            <w:r>
              <w:rPr>
                <w:b/>
                <w:bCs/>
                <w:color w:val="0059D1"/>
              </w:rPr>
              <w:t>[INSERT: name]</w:t>
            </w:r>
          </w:p>
        </w:tc>
        <w:tc>
          <w:tcPr/>
          <w:p>
            <w:pPr>
              <w:pStyle w:val="TableContents"/>
            </w:pPr>
            <w:r>
              <w:rPr>
                <w:b/>
                <w:bCs/>
                <w:color w:val="0059D1"/>
              </w:rPr>
              <w:t>[INSERT: date]</w:t>
            </w:r>
          </w:p>
        </w:tc>
      </w:tr>
    </w:tbl>
    <w:p>
      <w:pPr>
        <w:pStyle w:val="Default"/>
      </w:pPr>
    </w:p>
    <w:p>
      <w:pPr>
        <w:pStyle w:val="Heading2Numbered"/>
      </w:pPr>
      <w:r>
        <w:t>13.2  FPP Kick-Off Workshop</w:t>
      </w:r>
    </w:p>
    <w:p>
      <w:pPr>
        <w:pStyle w:val="NormalNumberedtext"/>
      </w:pPr>
      <w:r>
        <w:t>This section defines the FPP kick-off workshop requirements, scope, facilitation, and attendance obligations.</w:t>
      </w:r>
    </w:p>
    <w:p>
      <w:pPr>
        <w:pStyle w:val="NormalNumberedtext"/>
      </w:pPr>
      <w:r>
        <w:t>An FPP kick-off workshop is conducted once before project mobilisation. The workshop addresses the activities and conditions identified as having the highest fatality potential for the specific project scope.</w:t>
      </w:r>
    </w:p>
    <w:p>
      <w:pPr>
        <w:pStyle w:val="NormalNumberedtext"/>
      </w:pPr>
      <w:r>
        <w:t>The workshop is facilitated by the HSESC Manager and attended by all supervisor-level personnel and above across both Company and Contractor organisations. Attendance is mandatory and is not substituted by written briefings or recorded presentations.</w:t>
      </w:r>
    </w:p>
    <w:p>
      <w:pPr>
        <w:pStyle w:val="Heading2Numbered"/>
      </w:pPr>
      <w:r>
        <w:t>13.3  FPP In-Field Inspections</w:t>
      </w:r>
    </w:p>
    <w:p>
      <w:pPr>
        <w:pStyle w:val="NormalNumberedtext"/>
      </w:pPr>
      <w:r>
        <w:t>This section defines the frequency, participation, and resourcing requirements for FPP in-field inspections.</w:t>
      </w:r>
    </w:p>
    <w:p>
      <w:pPr>
        <w:pStyle w:val="NormalNumberedtext"/>
      </w:pPr>
      <w:r>
        <w:t>FPP in-field inspections are conducted at a minimum frequency of once every eight weeks throughout the project execution phase. All personnel at supervisor level and above participate in at least one in-field inspection per defined frequency period.</w:t>
      </w:r>
    </w:p>
    <w:p>
      <w:pPr>
        <w:pStyle w:val="NormalNumberedtext"/>
      </w:pPr>
      <w:r>
        <w:t>Resources are made available by both Company and Contractor organisations to support FPP in-field inspection activities. FPP activities are not deferred without written approval from the Project Director.</w:t>
      </w:r>
    </w:p>
    <w:p>
      <w:pPr>
        <w:pStyle w:val="Heading2Numbered"/>
      </w:pPr>
      <w:r>
        <w:t>13.4  FPP Schedule</w:t>
      </w:r>
    </w:p>
    <w:p>
      <w:pPr>
        <w:pStyle w:val="NormalNumberedtext"/>
      </w:pPr>
      <w:r>
        <w:t>This section defines the documented FPP schedule requirements and where the schedule is held.</w:t>
      </w:r>
    </w:p>
    <w:p>
      <w:pPr>
        <w:pStyle w:val="NormalNumberedtext"/>
      </w:pPr>
      <w:r>
        <w:t>A documented FPP schedule is established before mobilisation and maintained throughout the project lifecycle. The schedule includes a pre-mobilisation kick-off workshop, in-field inspections at no less than eight-weekly intervals, and an FPP actions review forum at each project HSESC leadership or performance meeting.</w:t>
      </w:r>
    </w:p>
    <w:p>
      <w:pPr>
        <w:pStyle w:val="NormalNumberedtext"/>
      </w:pPr>
      <w:r>
        <w:rPr>
          <w:b/>
          <w:bCs/>
          <w:color w:val="0059D1"/>
        </w:rPr>
        <w:t>[INSERT: FPP Schedule Location] — Insert the defined project location where the FPP schedule is held and accessible to all relevant project personnel, e.g. project SharePoint site, site notice board, document management system reference.</w:t>
      </w:r>
    </w:p>
    <w:p>
      <w:pPr>
        <w:pStyle w:val="NormalNumberedtext"/>
      </w:pPr>
      <w:r>
        <w:t>Table 11: FPP Schedule Summary</w:t>
      </w:r>
    </w:p>
    <w:tbl>
      <w:tblPr>
        <w:tblStyle w:val="TableOption2"/>
        <w:tblW w:type="pct" w:w="5000"/>
      </w:tblPr>
      <w:tr>
        <w:trPr>
          <w:tblHeader/>
        </w:trPr>
        <w:tc>
          <w:tcPr>
            <w:shd w:val="clear" w:color="auto" w:fill="1F3864"/>
          </w:tcPr>
          <w:p>
            <w:pPr>
              <w:pStyle w:val="TableContents"/>
            </w:pPr>
            <w:r>
              <w:rPr>
                <w:b/>
                <w:bCs/>
                <w:color w:val="FFFFFF"/>
              </w:rPr>
              <w:t>FPP Activity</w:t>
            </w:r>
          </w:p>
        </w:tc>
        <w:tc>
          <w:tcPr>
            <w:shd w:val="clear" w:color="auto" w:fill="1F3864"/>
          </w:tcPr>
          <w:p>
            <w:pPr>
              <w:pStyle w:val="TableContents"/>
            </w:pPr>
            <w:r>
              <w:rPr>
                <w:b/>
                <w:bCs/>
                <w:color w:val="FFFFFF"/>
              </w:rPr>
              <w:t>Frequency</w:t>
            </w:r>
          </w:p>
        </w:tc>
        <w:tc>
          <w:tcPr>
            <w:shd w:val="clear" w:color="auto" w:fill="1F3864"/>
          </w:tcPr>
          <w:p>
            <w:pPr>
              <w:pStyle w:val="TableContents"/>
            </w:pPr>
            <w:r>
              <w:rPr>
                <w:b/>
                <w:bCs/>
                <w:color w:val="FFFFFF"/>
              </w:rPr>
              <w:t>Planned Date(s)</w:t>
            </w:r>
          </w:p>
        </w:tc>
        <w:tc>
          <w:tcPr>
            <w:shd w:val="clear" w:color="auto" w:fill="1F3864"/>
          </w:tcPr>
          <w:p>
            <w:pPr>
              <w:pStyle w:val="TableContents"/>
            </w:pPr>
            <w:r>
              <w:rPr>
                <w:b/>
                <w:bCs/>
                <w:color w:val="FFFFFF"/>
              </w:rPr>
              <w:t>Responsible Role</w:t>
            </w:r>
          </w:p>
        </w:tc>
      </w:tr>
      <w:tr>
        <w:tc>
          <w:tcPr/>
          <w:p>
            <w:pPr>
              <w:pStyle w:val="TableContents"/>
            </w:pPr>
            <w:r>
              <w:t>FPP Kick-Off Workshop</w:t>
            </w:r>
          </w:p>
        </w:tc>
        <w:tc>
          <w:tcPr/>
          <w:p>
            <w:pPr>
              <w:pStyle w:val="TableContents"/>
            </w:pPr>
            <w:r>
              <w:t>Once — pre-mobilisation</w:t>
            </w:r>
          </w:p>
        </w:tc>
        <w:tc>
          <w:tcPr/>
          <w:p>
            <w:pPr>
              <w:pStyle w:val="TableContents"/>
            </w:pPr>
            <w:r>
              <w:rPr>
                <w:b/>
                <w:bCs/>
                <w:color w:val="0059D1"/>
              </w:rPr>
              <w:t>[INSERT: planned date]</w:t>
            </w:r>
          </w:p>
        </w:tc>
        <w:tc>
          <w:tcPr/>
          <w:p>
            <w:pPr>
              <w:pStyle w:val="TableContents"/>
            </w:pPr>
            <w:r>
              <w:t>HSESC Manager</w:t>
            </w:r>
          </w:p>
        </w:tc>
      </w:tr>
      <w:tr>
        <w:tc>
          <w:tcPr/>
          <w:p>
            <w:pPr>
              <w:pStyle w:val="TableContents"/>
            </w:pPr>
            <w:r>
              <w:t>FPP In-Field Inspection</w:t>
            </w:r>
          </w:p>
        </w:tc>
        <w:tc>
          <w:tcPr/>
          <w:p>
            <w:pPr>
              <w:pStyle w:val="TableContents"/>
            </w:pPr>
            <w:r>
              <w:t>Every 8 weeks minimum</w:t>
            </w:r>
          </w:p>
        </w:tc>
        <w:tc>
          <w:tcPr/>
          <w:p>
            <w:pPr>
              <w:pStyle w:val="TableContents"/>
            </w:pPr>
            <w:r>
              <w:rPr>
                <w:b/>
                <w:bCs/>
                <w:color w:val="0059D1"/>
              </w:rPr>
              <w:t>[INSERT: first planned date]</w:t>
            </w:r>
          </w:p>
        </w:tc>
        <w:tc>
          <w:tcPr/>
          <w:p>
            <w:pPr>
              <w:pStyle w:val="TableContents"/>
            </w:pPr>
            <w:r>
              <w:t>FPP Implementation Lead</w:t>
            </w:r>
          </w:p>
        </w:tc>
      </w:tr>
      <w:tr>
        <w:tc>
          <w:tcPr/>
          <w:p>
            <w:pPr>
              <w:pStyle w:val="TableContents"/>
            </w:pPr>
            <w:r>
              <w:t>FPP Actions Review Forum</w:t>
            </w:r>
          </w:p>
        </w:tc>
        <w:tc>
          <w:tcPr/>
          <w:p>
            <w:pPr>
              <w:pStyle w:val="TableContents"/>
            </w:pPr>
            <w:r>
              <w:t>Each HSESC performance meeting</w:t>
            </w:r>
          </w:p>
        </w:tc>
        <w:tc>
          <w:tcPr/>
          <w:p>
            <w:pPr>
              <w:pStyle w:val="TableContents"/>
            </w:pPr>
            <w:r>
              <w:rPr>
                <w:b/>
                <w:bCs/>
                <w:color w:val="0059D1"/>
              </w:rPr>
              <w:t>[INSERT: meeting schedule reference]</w:t>
            </w:r>
          </w:p>
        </w:tc>
        <w:tc>
          <w:tcPr/>
          <w:p>
            <w:pPr>
              <w:pStyle w:val="TableContents"/>
            </w:pPr>
            <w:r>
              <w:t>FPP Implementation Lead</w:t>
            </w:r>
          </w:p>
        </w:tc>
      </w:tr>
      <w:tr>
        <w:tc>
          <w:tcPr/>
          <w:p>
            <w:pPr>
              <w:pStyle w:val="TableContents"/>
            </w:pPr>
            <w:r>
              <w:rPr>
                <w:b/>
                <w:bCs/>
                <w:color w:val="0059D1"/>
              </w:rPr>
              <w:t>[INSERT: additional FPP activity]</w:t>
            </w:r>
          </w:p>
        </w:tc>
        <w:tc>
          <w:tcPr/>
          <w:p>
            <w:pPr>
              <w:pStyle w:val="TableContents"/>
            </w:pPr>
            <w:r>
              <w:rPr>
                <w:b/>
                <w:bCs/>
                <w:color w:val="0059D1"/>
              </w:rPr>
              <w:t>[INSERT: frequency]</w:t>
            </w:r>
          </w:p>
        </w:tc>
        <w:tc>
          <w:tcPr/>
          <w:p>
            <w:pPr>
              <w:pStyle w:val="TableContents"/>
            </w:pPr>
            <w:r>
              <w:rPr>
                <w:b/>
                <w:bCs/>
                <w:color w:val="0059D1"/>
              </w:rPr>
              <w:t>[INSERT: planned date]</w:t>
            </w:r>
          </w:p>
        </w:tc>
        <w:tc>
          <w:tcPr/>
          <w:p>
            <w:pPr>
              <w:pStyle w:val="TableContents"/>
            </w:pPr>
            <w:r>
              <w:rPr>
                <w:b/>
                <w:bCs/>
                <w:color w:val="0059D1"/>
              </w:rPr>
              <w:t>[INSERT: responsible role]</w:t>
            </w:r>
          </w:p>
        </w:tc>
      </w:tr>
    </w:tbl>
    <w:p>
      <w:pPr>
        <w:pStyle w:val="Default"/>
      </w:pPr>
    </w:p>
    <w:p>
      <w:pPr>
        <w:pStyle w:val="Heading2Numbered"/>
      </w:pPr>
      <w:r>
        <w:t>13.5  FPP Action Management and Reporting</w:t>
      </w:r>
    </w:p>
    <w:p>
      <w:pPr>
        <w:pStyle w:val="NormalNumberedtext"/>
      </w:pPr>
      <w:r>
        <w:t>This section defines action assignment, tracking, and the reporting obligations for FPP findings.</w:t>
      </w:r>
    </w:p>
    <w:p>
      <w:pPr>
        <w:pStyle w:val="NormalNumberedtext"/>
      </w:pPr>
      <w:r>
        <w:t>All actions arising from FPP workshops and in-field inspections are assigned an owner and a due date, tracked to closure, and reported at each project HSESC performance meeting.</w:t>
      </w:r>
    </w:p>
    <w:p>
      <w:pPr>
        <w:pStyle w:val="NormalNumberedtext"/>
      </w:pPr>
      <w:r>
        <w:t>FPP results, including inspection findings and action status, are communicated to the Company at each project HSESC performance meeting and included in the monthly HSESC performance report. The FPP Implementation Lead prepares the FPP section of the monthly report.</w:t>
      </w:r>
    </w:p>
    <w:p>
      <w:pPr>
        <w:pStyle w:val="Heading2Numbered"/>
      </w:pPr>
      <w:r>
        <w:t>13.6  FPP and CRM Integration</w:t>
      </w:r>
    </w:p>
    <w:p>
      <w:pPr>
        <w:pStyle w:val="NormalNumberedtext"/>
      </w:pPr>
      <w:r>
        <w:t>This section defines the requirement to integrate the CRM verification programme with FPP activities.</w:t>
      </w:r>
    </w:p>
    <w:p>
      <w:pPr>
        <w:pStyle w:val="NormalNumberedtext"/>
      </w:pPr>
      <w:r>
        <w:t>The project CRM verification programme is integrated with and aligned to FPP activities. The CRM verification schedule is held at the same defined and accessible project location as the FPP schedule and is reviewed at each FPP actions review forum.</w:t>
      </w:r>
    </w:p>
    <w:p>
      <w:pPr>
        <w:pStyle w:val="Heading2Numbered"/>
      </w:pPr>
      <w:r>
        <w:t>13.7  FPP Participation Requirements</w:t>
      </w:r>
    </w:p>
    <w:p>
      <w:pPr>
        <w:pStyle w:val="NormalNumberedtext"/>
      </w:pPr>
      <w:r>
        <w:t>This section defines participation confirmation obligations and the multi-disciplinary composition requirements for FPP activities.</w:t>
      </w:r>
    </w:p>
    <w:p>
      <w:pPr>
        <w:pStyle w:val="NormalNumberedtext"/>
      </w:pPr>
      <w:r>
        <w:t>FPP participant lists are confirmed by the HSESC Manager before each activity and held at the defined project location. FPP activities are not limited to HSESC personnel. FPP activities are multi-disciplinary and include operational, engineering, and supervisory personnel from both Company and Contractor organisations.</w:t>
      </w:r>
    </w:p>
    <w:p>
      <w:pPr>
        <w:pStyle w:val="Heading1Numbered"/>
      </w:pPr>
      <w:r>
        <w:t>14  Roles and Responsibilities</w:t>
      </w:r>
    </w:p>
    <w:p>
      <w:pPr>
        <w:pStyle w:val="NormalNumberedtext"/>
      </w:pPr>
      <w:r>
        <w:t>This section defines HSESC risk management responsibilities for all project roles across the Rio Tinto project team and all contractor organisations.</w:t>
      </w:r>
    </w:p>
    <w:p>
      <w:pPr>
        <w:pStyle w:val="Heading2Numbered"/>
      </w:pPr>
      <w:r>
        <w:t>14.1  Responsibility Assignment</w:t>
      </w:r>
    </w:p>
    <w:p>
      <w:pPr>
        <w:pStyle w:val="NormalNumberedtext"/>
      </w:pPr>
      <w:r>
        <w:t>This section assigns risk management responsibilities to defined project roles across governance, assessment, register maintenance, and control verification.</w:t>
      </w:r>
    </w:p>
    <w:p>
      <w:pPr>
        <w:pStyle w:val="NormalNumberedtext"/>
      </w:pPr>
      <w:r>
        <w:t>Table 12: Risk Management Roles and Responsibilities</w:t>
      </w:r>
    </w:p>
    <w:tbl>
      <w:tblPr>
        <w:tblStyle w:val="TableOption2"/>
        <w:tblW w:type="pct" w:w="5000"/>
      </w:tblPr>
      <w:tr>
        <w:trPr>
          <w:tblHeader/>
        </w:trPr>
        <w:tc>
          <w:tcPr>
            <w:shd w:val="clear" w:color="auto" w:fill="1F3864"/>
          </w:tcPr>
          <w:p>
            <w:pPr>
              <w:pStyle w:val="TableContents"/>
            </w:pPr>
            <w:r>
              <w:rPr>
                <w:b/>
                <w:bCs/>
                <w:color w:val="FFFFFF"/>
              </w:rPr>
              <w:t>Responsibility</w:t>
            </w:r>
          </w:p>
        </w:tc>
        <w:tc>
          <w:tcPr>
            <w:shd w:val="clear" w:color="auto" w:fill="1F3864"/>
          </w:tcPr>
          <w:p>
            <w:pPr>
              <w:pStyle w:val="TableContents"/>
            </w:pPr>
            <w:r>
              <w:rPr>
                <w:b/>
                <w:bCs/>
                <w:color w:val="FFFFFF"/>
              </w:rPr>
              <w:t>Project Director</w:t>
            </w:r>
          </w:p>
        </w:tc>
        <w:tc>
          <w:tcPr>
            <w:shd w:val="clear" w:color="auto" w:fill="1F3864"/>
          </w:tcPr>
          <w:p>
            <w:pPr>
              <w:pStyle w:val="TableContents"/>
            </w:pPr>
            <w:r>
              <w:rPr>
                <w:b/>
                <w:bCs/>
                <w:color w:val="FFFFFF"/>
              </w:rPr>
              <w:t>HSESC Manager</w:t>
            </w:r>
          </w:p>
        </w:tc>
        <w:tc>
          <w:tcPr>
            <w:shd w:val="clear" w:color="auto" w:fill="1F3864"/>
          </w:tcPr>
          <w:p>
            <w:pPr>
              <w:pStyle w:val="TableContents"/>
            </w:pPr>
            <w:r>
              <w:rPr>
                <w:b/>
                <w:bCs/>
                <w:color w:val="FFFFFF"/>
              </w:rPr>
              <w:t>Work Supervisor</w:t>
            </w:r>
          </w:p>
        </w:tc>
        <w:tc>
          <w:tcPr>
            <w:shd w:val="clear" w:color="auto" w:fill="1F3864"/>
          </w:tcPr>
          <w:p>
            <w:pPr>
              <w:pStyle w:val="TableContents"/>
            </w:pPr>
            <w:r>
              <w:rPr>
                <w:b/>
                <w:bCs/>
                <w:color w:val="FFFFFF"/>
              </w:rPr>
              <w:t>Worker</w:t>
            </w:r>
          </w:p>
        </w:tc>
        <w:tc>
          <w:tcPr>
            <w:shd w:val="clear" w:color="auto" w:fill="1F3864"/>
          </w:tcPr>
          <w:p>
            <w:pPr>
              <w:pStyle w:val="TableContents"/>
            </w:pPr>
            <w:r>
              <w:rPr>
                <w:b/>
                <w:bCs/>
                <w:color w:val="FFFFFF"/>
              </w:rPr>
              <w:t>Contractor HSESC Lead</w:t>
            </w:r>
          </w:p>
        </w:tc>
      </w:tr>
      <w:tr>
        <w:tc>
          <w:tcPr/>
          <w:p>
            <w:pPr>
              <w:pStyle w:val="TableContents"/>
            </w:pPr>
            <w:r>
              <w:t>Approve risk tolerability threshold escalations for Unacceptable risk</w:t>
            </w:r>
          </w:p>
        </w:tc>
        <w:tc>
          <w:tcPr/>
          <w:p>
            <w:pPr>
              <w:pStyle w:val="TableContents"/>
            </w:pPr>
            <w:r>
              <w:t>A</w:t>
            </w:r>
          </w:p>
        </w:tc>
        <w:tc>
          <w:tcPr/>
          <w:p>
            <w:pPr>
              <w:pStyle w:val="TableContents"/>
            </w:pPr>
            <w:r>
              <w:t>R</w:t>
            </w:r>
          </w:p>
        </w:tc>
        <w:tc>
          <w:tcPr/>
          <w:p>
            <w:pPr>
              <w:pStyle w:val="TableContents"/>
            </w:pPr>
          </w:p>
        </w:tc>
        <w:tc>
          <w:tcPr/>
          <w:p>
            <w:pPr>
              <w:pStyle w:val="TableContents"/>
            </w:pPr>
          </w:p>
        </w:tc>
        <w:tc>
          <w:tcPr/>
          <w:p>
            <w:pPr>
              <w:pStyle w:val="TableContents"/>
            </w:pPr>
          </w:p>
        </w:tc>
      </w:tr>
      <w:tr>
        <w:tc>
          <w:tcPr/>
          <w:p>
            <w:pPr>
              <w:pStyle w:val="TableContents"/>
            </w:pPr>
            <w:r>
              <w:t>Own and maintain the project Hazard and Risk Register (RTPR-HSE-REG-0004)</w:t>
            </w:r>
          </w:p>
        </w:tc>
        <w:tc>
          <w:tcPr/>
          <w:p>
            <w:pPr>
              <w:pStyle w:val="TableContents"/>
            </w:pPr>
          </w:p>
        </w:tc>
        <w:tc>
          <w:tcPr/>
          <w:p>
            <w:pPr>
              <w:pStyle w:val="TableContents"/>
            </w:pPr>
            <w:r>
              <w:t>A</w:t>
            </w:r>
          </w:p>
        </w:tc>
        <w:tc>
          <w:tcPr/>
          <w:p>
            <w:pPr>
              <w:pStyle w:val="TableContents"/>
            </w:pPr>
          </w:p>
        </w:tc>
        <w:tc>
          <w:tcPr/>
          <w:p>
            <w:pPr>
              <w:pStyle w:val="TableContents"/>
            </w:pPr>
          </w:p>
        </w:tc>
        <w:tc>
          <w:tcPr/>
          <w:p>
            <w:pPr>
              <w:pStyle w:val="TableContents"/>
            </w:pPr>
          </w:p>
        </w:tc>
      </w:tr>
      <w:tr>
        <w:tc>
          <w:tcPr/>
          <w:p>
            <w:pPr>
              <w:pStyle w:val="TableContents"/>
            </w:pPr>
            <w:r>
              <w:t>Facilitate HAZID workshops and issue workshop reports</w:t>
            </w:r>
          </w:p>
        </w:tc>
        <w:tc>
          <w:tcPr/>
          <w:p>
            <w:pPr>
              <w:pStyle w:val="TableContents"/>
            </w:pPr>
          </w:p>
        </w:tc>
        <w:tc>
          <w:tcPr/>
          <w:p>
            <w:pPr>
              <w:pStyle w:val="TableContents"/>
            </w:pPr>
            <w:r>
              <w:t>A</w:t>
            </w:r>
          </w:p>
        </w:tc>
        <w:tc>
          <w:tcPr/>
          <w:p>
            <w:pPr>
              <w:pStyle w:val="TableContents"/>
            </w:pPr>
          </w:p>
        </w:tc>
        <w:tc>
          <w:tcPr/>
          <w:p>
            <w:pPr>
              <w:pStyle w:val="TableContents"/>
            </w:pPr>
          </w:p>
        </w:tc>
        <w:tc>
          <w:tcPr/>
          <w:p>
            <w:pPr>
              <w:pStyle w:val="TableContents"/>
            </w:pPr>
            <w:r>
              <w:t>C</w:t>
            </w:r>
          </w:p>
        </w:tc>
      </w:tr>
      <w:tr>
        <w:tc>
          <w:tcPr/>
          <w:p>
            <w:pPr>
              <w:pStyle w:val="TableContents"/>
            </w:pPr>
            <w:r>
              <w:t>Complete JHAs with the work group before task commencement</w:t>
            </w:r>
          </w:p>
        </w:tc>
        <w:tc>
          <w:tcPr/>
          <w:p>
            <w:pPr>
              <w:pStyle w:val="TableContents"/>
            </w:pPr>
          </w:p>
        </w:tc>
        <w:tc>
          <w:tcPr/>
          <w:p>
            <w:pPr>
              <w:pStyle w:val="TableContents"/>
            </w:pPr>
            <w:r>
              <w:t>C</w:t>
            </w:r>
          </w:p>
        </w:tc>
        <w:tc>
          <w:tcPr/>
          <w:p>
            <w:pPr>
              <w:pStyle w:val="TableContents"/>
            </w:pPr>
            <w:r>
              <w:t>A</w:t>
            </w:r>
          </w:p>
        </w:tc>
        <w:tc>
          <w:tcPr/>
          <w:p>
            <w:pPr>
              <w:pStyle w:val="TableContents"/>
            </w:pPr>
            <w:r>
              <w:t>R</w:t>
            </w:r>
          </w:p>
        </w:tc>
        <w:tc>
          <w:tcPr/>
          <w:p>
            <w:pPr>
              <w:pStyle w:val="TableContents"/>
            </w:pPr>
          </w:p>
        </w:tc>
      </w:tr>
      <w:tr>
        <w:tc>
          <w:tcPr/>
          <w:p>
            <w:pPr>
              <w:pStyle w:val="TableContents"/>
            </w:pPr>
            <w:r>
              <w:t>Conduct pre-start meetings referencing the JHA and work permit</w:t>
            </w:r>
          </w:p>
        </w:tc>
        <w:tc>
          <w:tcPr/>
          <w:p>
            <w:pPr>
              <w:pStyle w:val="TableContents"/>
            </w:pPr>
          </w:p>
        </w:tc>
        <w:tc>
          <w:tcPr/>
          <w:p>
            <w:pPr>
              <w:pStyle w:val="TableContents"/>
            </w:pPr>
          </w:p>
        </w:tc>
        <w:tc>
          <w:tcPr/>
          <w:p>
            <w:pPr>
              <w:pStyle w:val="TableContents"/>
            </w:pPr>
            <w:r>
              <w:t>A</w:t>
            </w:r>
          </w:p>
        </w:tc>
        <w:tc>
          <w:tcPr/>
          <w:p>
            <w:pPr>
              <w:pStyle w:val="TableContents"/>
            </w:pPr>
            <w:r>
              <w:t>R</w:t>
            </w:r>
          </w:p>
        </w:tc>
        <w:tc>
          <w:tcPr/>
          <w:p>
            <w:pPr>
              <w:pStyle w:val="TableContents"/>
            </w:pPr>
          </w:p>
        </w:tc>
      </w:tr>
      <w:tr>
        <w:tc>
          <w:tcPr/>
          <w:p>
            <w:pPr>
              <w:pStyle w:val="TableContents"/>
            </w:pPr>
            <w:r>
              <w:t>Submit hazard observations through the Hazard Observation Programme</w:t>
            </w:r>
          </w:p>
        </w:tc>
        <w:tc>
          <w:tcPr/>
          <w:p>
            <w:pPr>
              <w:pStyle w:val="TableContents"/>
            </w:pPr>
          </w:p>
        </w:tc>
        <w:tc>
          <w:tcPr/>
          <w:p>
            <w:pPr>
              <w:pStyle w:val="TableContents"/>
            </w:pPr>
            <w:r>
              <w:t>R</w:t>
            </w:r>
          </w:p>
        </w:tc>
        <w:tc>
          <w:tcPr/>
          <w:p>
            <w:pPr>
              <w:pStyle w:val="TableContents"/>
            </w:pPr>
            <w:r>
              <w:t>R</w:t>
            </w:r>
          </w:p>
        </w:tc>
        <w:tc>
          <w:tcPr/>
          <w:p>
            <w:pPr>
              <w:pStyle w:val="TableContents"/>
            </w:pPr>
            <w:r>
              <w:t>R</w:t>
            </w:r>
          </w:p>
        </w:tc>
        <w:tc>
          <w:tcPr/>
          <w:p>
            <w:pPr>
              <w:pStyle w:val="TableContents"/>
            </w:pPr>
            <w:r>
              <w:t>R</w:t>
            </w:r>
          </w:p>
        </w:tc>
      </w:tr>
      <w:tr>
        <w:tc>
          <w:tcPr/>
          <w:p>
            <w:pPr>
              <w:pStyle w:val="TableContents"/>
            </w:pPr>
            <w:r>
              <w:t>Assign and track actions from hazard observations</w:t>
            </w:r>
          </w:p>
        </w:tc>
        <w:tc>
          <w:tcPr/>
          <w:p>
            <w:pPr>
              <w:pStyle w:val="TableContents"/>
            </w:pPr>
          </w:p>
        </w:tc>
        <w:tc>
          <w:tcPr/>
          <w:p>
            <w:pPr>
              <w:pStyle w:val="TableContents"/>
            </w:pPr>
            <w:r>
              <w:t>A</w:t>
            </w:r>
          </w:p>
        </w:tc>
        <w:tc>
          <w:tcPr/>
          <w:p>
            <w:pPr>
              <w:pStyle w:val="TableContents"/>
            </w:pPr>
            <w:r>
              <w:t>R</w:t>
            </w:r>
          </w:p>
        </w:tc>
        <w:tc>
          <w:tcPr/>
          <w:p>
            <w:pPr>
              <w:pStyle w:val="TableContents"/>
            </w:pPr>
          </w:p>
        </w:tc>
        <w:tc>
          <w:tcPr/>
          <w:p>
            <w:pPr>
              <w:pStyle w:val="TableContents"/>
            </w:pPr>
            <w:r>
              <w:t>C</w:t>
            </w:r>
          </w:p>
        </w:tc>
      </w:tr>
      <w:tr>
        <w:tc>
          <w:tcPr/>
          <w:p>
            <w:pPr>
              <w:pStyle w:val="TableContents"/>
            </w:pPr>
            <w:r>
              <w:t>Sponsor the Fatality Prevention Programme</w:t>
            </w:r>
          </w:p>
        </w:tc>
        <w:tc>
          <w:tcPr/>
          <w:p>
            <w:pPr>
              <w:pStyle w:val="TableContents"/>
            </w:pPr>
            <w:r>
              <w:t>A</w:t>
            </w:r>
          </w:p>
        </w:tc>
        <w:tc>
          <w:tcPr/>
          <w:p>
            <w:pPr>
              <w:pStyle w:val="TableContents"/>
            </w:pPr>
            <w:r>
              <w:t>R</w:t>
            </w:r>
          </w:p>
        </w:tc>
        <w:tc>
          <w:tcPr/>
          <w:p>
            <w:pPr>
              <w:pStyle w:val="TableContents"/>
            </w:pPr>
          </w:p>
        </w:tc>
        <w:tc>
          <w:tcPr/>
          <w:p>
            <w:pPr>
              <w:pStyle w:val="TableContents"/>
            </w:pPr>
          </w:p>
        </w:tc>
        <w:tc>
          <w:tcPr/>
          <w:p>
            <w:pPr>
              <w:pStyle w:val="TableContents"/>
            </w:pPr>
          </w:p>
        </w:tc>
      </w:tr>
      <w:tr>
        <w:tc>
          <w:tcPr/>
          <w:p>
            <w:pPr>
              <w:pStyle w:val="TableContents"/>
            </w:pPr>
            <w:r>
              <w:t>Facilitate FPP kick-off workshops and in-field inspections</w:t>
            </w:r>
          </w:p>
        </w:tc>
        <w:tc>
          <w:tcPr/>
          <w:p>
            <w:pPr>
              <w:pStyle w:val="TableContents"/>
            </w:pPr>
          </w:p>
        </w:tc>
        <w:tc>
          <w:tcPr/>
          <w:p>
            <w:pPr>
              <w:pStyle w:val="TableContents"/>
            </w:pPr>
            <w:r>
              <w:t>A</w:t>
            </w:r>
          </w:p>
        </w:tc>
        <w:tc>
          <w:tcPr/>
          <w:p>
            <w:pPr>
              <w:pStyle w:val="TableContents"/>
            </w:pPr>
          </w:p>
        </w:tc>
        <w:tc>
          <w:tcPr/>
          <w:p>
            <w:pPr>
              <w:pStyle w:val="TableContents"/>
            </w:pPr>
          </w:p>
        </w:tc>
        <w:tc>
          <w:tcPr/>
          <w:p>
            <w:pPr>
              <w:pStyle w:val="TableContents"/>
            </w:pPr>
            <w:r>
              <w:t>C</w:t>
            </w:r>
          </w:p>
        </w:tc>
      </w:tr>
      <w:tr>
        <w:tc>
          <w:tcPr/>
          <w:p>
            <w:pPr>
              <w:pStyle w:val="TableContents"/>
            </w:pPr>
            <w:r>
              <w:t>Maintain the CRM programme and Forwood portal currency</w:t>
            </w:r>
          </w:p>
        </w:tc>
        <w:tc>
          <w:tcPr/>
          <w:p>
            <w:pPr>
              <w:pStyle w:val="TableContents"/>
            </w:pPr>
          </w:p>
        </w:tc>
        <w:tc>
          <w:tcPr/>
          <w:p>
            <w:pPr>
              <w:pStyle w:val="TableContents"/>
            </w:pPr>
            <w:r>
              <w:t>A</w:t>
            </w:r>
          </w:p>
        </w:tc>
        <w:tc>
          <w:tcPr/>
          <w:p>
            <w:pPr>
              <w:pStyle w:val="TableContents"/>
            </w:pPr>
          </w:p>
        </w:tc>
        <w:tc>
          <w:tcPr/>
          <w:p>
            <w:pPr>
              <w:pStyle w:val="TableContents"/>
            </w:pPr>
          </w:p>
        </w:tc>
        <w:tc>
          <w:tcPr/>
          <w:p>
            <w:pPr>
              <w:pStyle w:val="TableContents"/>
            </w:pPr>
            <w:r>
              <w:t>C</w:t>
            </w:r>
          </w:p>
        </w:tc>
      </w:tr>
      <w:tr>
        <w:tc>
          <w:tcPr/>
          <w:p>
            <w:pPr>
              <w:pStyle w:val="TableContents"/>
            </w:pPr>
            <w:r>
              <w:t>Identify CRM Champions and confirm their deployment</w:t>
            </w:r>
          </w:p>
        </w:tc>
        <w:tc>
          <w:tcPr/>
          <w:p>
            <w:pPr>
              <w:pStyle w:val="TableContents"/>
            </w:pPr>
          </w:p>
        </w:tc>
        <w:tc>
          <w:tcPr/>
          <w:p>
            <w:pPr>
              <w:pStyle w:val="TableContents"/>
            </w:pPr>
            <w:r>
              <w:t>A</w:t>
            </w:r>
          </w:p>
        </w:tc>
        <w:tc>
          <w:tcPr/>
          <w:p>
            <w:pPr>
              <w:pStyle w:val="TableContents"/>
            </w:pPr>
          </w:p>
        </w:tc>
        <w:tc>
          <w:tcPr/>
          <w:p>
            <w:pPr>
              <w:pStyle w:val="TableContents"/>
            </w:pPr>
          </w:p>
        </w:tc>
        <w:tc>
          <w:tcPr/>
          <w:p>
            <w:pPr>
              <w:pStyle w:val="TableContents"/>
            </w:pPr>
            <w:r>
              <w:t>R</w:t>
            </w:r>
          </w:p>
        </w:tc>
      </w:tr>
      <w:tr>
        <w:tc>
          <w:tcPr/>
          <w:p>
            <w:pPr>
              <w:pStyle w:val="TableContents"/>
            </w:pPr>
            <w:r>
              <w:t>Incorporate CRM information into pre-start meetings</w:t>
            </w:r>
          </w:p>
        </w:tc>
        <w:tc>
          <w:tcPr/>
          <w:p>
            <w:pPr>
              <w:pStyle w:val="TableContents"/>
            </w:pPr>
          </w:p>
        </w:tc>
        <w:tc>
          <w:tcPr/>
          <w:p>
            <w:pPr>
              <w:pStyle w:val="TableContents"/>
            </w:pPr>
            <w:r>
              <w:t>C</w:t>
            </w:r>
          </w:p>
        </w:tc>
        <w:tc>
          <w:tcPr/>
          <w:p>
            <w:pPr>
              <w:pStyle w:val="TableContents"/>
            </w:pPr>
            <w:r>
              <w:t>A</w:t>
            </w:r>
          </w:p>
        </w:tc>
        <w:tc>
          <w:tcPr/>
          <w:p>
            <w:pPr>
              <w:pStyle w:val="TableContents"/>
            </w:pPr>
            <w:r>
              <w:t>R</w:t>
            </w:r>
          </w:p>
        </w:tc>
        <w:tc>
          <w:tcPr/>
          <w:p>
            <w:pPr>
              <w:pStyle w:val="TableContents"/>
            </w:pPr>
            <w:r>
              <w:t>C</w:t>
            </w:r>
          </w:p>
        </w:tc>
      </w:tr>
      <w:tr>
        <w:tc>
          <w:tcPr/>
          <w:p>
            <w:pPr>
              <w:pStyle w:val="TableContents"/>
            </w:pPr>
            <w:r>
              <w:t>Complete monthly CRM data analysis and report performance</w:t>
            </w:r>
          </w:p>
        </w:tc>
        <w:tc>
          <w:tcPr/>
          <w:p>
            <w:pPr>
              <w:pStyle w:val="TableContents"/>
            </w:pPr>
          </w:p>
        </w:tc>
        <w:tc>
          <w:tcPr/>
          <w:p>
            <w:pPr>
              <w:pStyle w:val="TableContents"/>
            </w:pPr>
            <w:r>
              <w:t>A</w:t>
            </w:r>
          </w:p>
        </w:tc>
        <w:tc>
          <w:tcPr/>
          <w:p>
            <w:pPr>
              <w:pStyle w:val="TableContents"/>
            </w:pPr>
          </w:p>
        </w:tc>
        <w:tc>
          <w:tcPr/>
          <w:p>
            <w:pPr>
              <w:pStyle w:val="TableContents"/>
            </w:pPr>
          </w:p>
        </w:tc>
        <w:tc>
          <w:tcPr/>
          <w:p>
            <w:pPr>
              <w:pStyle w:val="TableContents"/>
            </w:pPr>
            <w:r>
              <w:t>C</w:t>
            </w:r>
          </w:p>
        </w:tc>
      </w:tr>
      <w:tr>
        <w:tc>
          <w:tcPr/>
          <w:p>
            <w:pPr>
              <w:pStyle w:val="TableContents"/>
            </w:pPr>
            <w:r>
              <w:t>Lead constructability review teams for contractor high-risk activities</w:t>
            </w:r>
          </w:p>
        </w:tc>
        <w:tc>
          <w:tcPr/>
          <w:p>
            <w:pPr>
              <w:pStyle w:val="TableContents"/>
            </w:pPr>
          </w:p>
        </w:tc>
        <w:tc>
          <w:tcPr/>
          <w:p>
            <w:pPr>
              <w:pStyle w:val="TableContents"/>
            </w:pPr>
            <w:r>
              <w:t>C</w:t>
            </w:r>
          </w:p>
        </w:tc>
        <w:tc>
          <w:tcPr/>
          <w:p>
            <w:pPr>
              <w:pStyle w:val="TableContents"/>
            </w:pPr>
          </w:p>
        </w:tc>
        <w:tc>
          <w:tcPr/>
          <w:p>
            <w:pPr>
              <w:pStyle w:val="TableContents"/>
            </w:pPr>
          </w:p>
        </w:tc>
        <w:tc>
          <w:tcPr/>
          <w:p>
            <w:pPr>
              <w:pStyle w:val="TableContents"/>
            </w:pPr>
            <w:r>
              <w:t>A</w:t>
            </w:r>
          </w:p>
        </w:tc>
      </w:tr>
      <w:tr>
        <w:tc>
          <w:tcPr/>
          <w:p>
            <w:pPr>
              <w:pStyle w:val="TableContents"/>
            </w:pPr>
            <w:r>
              <w:t>suggested</w:t>
            </w:r>
          </w:p>
        </w:tc>
        <w:tc>
          <w:tcPr/>
          <w:p>
            <w:pPr>
              <w:pStyle w:val="TableContents"/>
            </w:pPr>
            <w:r>
              <w:t>cells</w:t>
            </w:r>
          </w:p>
        </w:tc>
      </w:tr>
    </w:tbl>
    <w:p>
      <w:pPr>
        <w:pStyle w:val="Default"/>
      </w:pPr>
    </w:p>
    <w:p>
      <w:pPr>
        <w:pStyle w:val="NormalNumberedtext"/>
      </w:pPr>
      <w:r>
        <w:t>In the table above: A = Accountable; R = Responsible; C = Consulted. Each responsibility has one accountable role. Multiple roles may be responsible or consulted.</w:t>
      </w:r>
    </w:p>
    <w:p>
      <w:pPr>
        <w:pStyle w:val="Heading1Numbered"/>
      </w:pPr>
      <w:r>
        <w:t>15  Document and Records Management</w:t>
      </w:r>
    </w:p>
    <w:p>
      <w:pPr>
        <w:pStyle w:val="NormalNumberedtext"/>
      </w:pPr>
      <w:r>
        <w:t>This section defines the document and records management obligations that apply to all risk management outputs generated under this procedure.</w:t>
      </w:r>
    </w:p>
    <w:p>
      <w:pPr>
        <w:pStyle w:val="Heading2Numbered"/>
      </w:pPr>
      <w:r>
        <w:t>15.1  Records Requirements</w:t>
      </w:r>
    </w:p>
    <w:p>
      <w:pPr>
        <w:pStyle w:val="NormalNumberedtext"/>
      </w:pPr>
      <w:r>
        <w:t>This section defines which records must be maintained, where they are stored, and the retention period that applies.</w:t>
      </w:r>
    </w:p>
    <w:p>
      <w:pPr>
        <w:pStyle w:val="NormalNumberedtext"/>
      </w:pPr>
      <w:r>
        <w:t>All records generated under this procedure are maintained and controlled in accordance with RTPR-HSE-PRO-0010. The HSESC Manager is responsible for confirming all risk management records are stored in the approved document management system.</w:t>
      </w:r>
    </w:p>
    <w:p>
      <w:pPr>
        <w:pStyle w:val="NormalNumberedtext"/>
      </w:pPr>
      <w:r>
        <w:t>Table 13: Risk Management Records</w:t>
      </w:r>
    </w:p>
    <w:tbl>
      <w:tblPr>
        <w:tblStyle w:val="TableOption2"/>
        <w:tblW w:type="pct" w:w="5000"/>
      </w:tblPr>
      <w:tr>
        <w:trPr>
          <w:tblHeader/>
        </w:trPr>
        <w:tc>
          <w:tcPr>
            <w:shd w:val="clear" w:color="auto" w:fill="1F3864"/>
          </w:tcPr>
          <w:p>
            <w:pPr>
              <w:pStyle w:val="TableContents"/>
            </w:pPr>
            <w:r>
              <w:rPr>
                <w:b/>
                <w:bCs/>
                <w:color w:val="FFFFFF"/>
              </w:rPr>
              <w:t>Record Type</w:t>
            </w:r>
          </w:p>
        </w:tc>
        <w:tc>
          <w:tcPr>
            <w:shd w:val="clear" w:color="auto" w:fill="1F3864"/>
          </w:tcPr>
          <w:p>
            <w:pPr>
              <w:pStyle w:val="TableContents"/>
            </w:pPr>
            <w:r>
              <w:rPr>
                <w:b/>
                <w:bCs/>
                <w:color w:val="FFFFFF"/>
              </w:rPr>
              <w:t>Document Reference</w:t>
            </w:r>
          </w:p>
        </w:tc>
        <w:tc>
          <w:tcPr>
            <w:shd w:val="clear" w:color="auto" w:fill="1F3864"/>
          </w:tcPr>
          <w:p>
            <w:pPr>
              <w:pStyle w:val="TableContents"/>
            </w:pPr>
            <w:r>
              <w:rPr>
                <w:b/>
                <w:bCs/>
                <w:color w:val="FFFFFF"/>
              </w:rPr>
              <w:t>Storage Location</w:t>
            </w:r>
          </w:p>
        </w:tc>
        <w:tc>
          <w:tcPr>
            <w:shd w:val="clear" w:color="auto" w:fill="1F3864"/>
          </w:tcPr>
          <w:p>
            <w:pPr>
              <w:pStyle w:val="TableContents"/>
            </w:pPr>
            <w:r>
              <w:rPr>
                <w:b/>
                <w:bCs/>
                <w:color w:val="FFFFFF"/>
              </w:rPr>
              <w:t>Retention Period</w:t>
            </w:r>
          </w:p>
        </w:tc>
        <w:tc>
          <w:tcPr>
            <w:shd w:val="clear" w:color="auto" w:fill="1F3864"/>
          </w:tcPr>
          <w:p>
            <w:pPr>
              <w:pStyle w:val="TableContents"/>
            </w:pPr>
            <w:r>
              <w:rPr>
                <w:b/>
                <w:bCs/>
                <w:color w:val="FFFFFF"/>
              </w:rPr>
              <w:t>Record Owner</w:t>
            </w:r>
          </w:p>
        </w:tc>
      </w:tr>
      <w:tr>
        <w:tc>
          <w:tcPr/>
          <w:p>
            <w:pPr>
              <w:pStyle w:val="TableContents"/>
            </w:pPr>
            <w:r>
              <w:t>Hazard and Risk Register</w:t>
            </w:r>
          </w:p>
        </w:tc>
        <w:tc>
          <w:tcPr/>
          <w:p>
            <w:pPr>
              <w:pStyle w:val="TableContents"/>
            </w:pPr>
            <w:r>
              <w:t>RTPR-HSE-REG-0004</w:t>
            </w:r>
          </w:p>
        </w:tc>
        <w:tc>
          <w:tcPr/>
          <w:p>
            <w:pPr>
              <w:pStyle w:val="TableContents"/>
            </w:pPr>
            <w:r>
              <w:rPr>
                <w:b/>
                <w:bCs/>
                <w:color w:val="0059D1"/>
              </w:rPr>
              <w:t>[INSERT: document management system location]</w:t>
            </w:r>
          </w:p>
        </w:tc>
        <w:tc>
          <w:tcPr/>
          <w:p>
            <w:pPr>
              <w:pStyle w:val="TableContents"/>
            </w:pPr>
            <w:r>
              <w:rPr>
                <w:b/>
                <w:bCs/>
                <w:color w:val="0059D1"/>
              </w:rPr>
              <w:t>[INSERT: retention period]</w:t>
            </w:r>
          </w:p>
        </w:tc>
        <w:tc>
          <w:tcPr/>
          <w:p>
            <w:pPr>
              <w:pStyle w:val="TableContents"/>
            </w:pPr>
            <w:r>
              <w:t>HSESC Manager</w:t>
            </w:r>
          </w:p>
        </w:tc>
      </w:tr>
      <w:tr>
        <w:tc>
          <w:tcPr/>
          <w:p>
            <w:pPr>
              <w:pStyle w:val="TableContents"/>
            </w:pPr>
            <w:r>
              <w:t>HAZID Workshop Reports</w:t>
            </w:r>
          </w:p>
        </w:tc>
        <w:tc>
          <w:tcPr/>
          <w:p>
            <w:pPr>
              <w:pStyle w:val="TableContents"/>
            </w:pPr>
            <w:r>
              <w:rPr>
                <w:b/>
                <w:bCs/>
                <w:color w:val="0059D1"/>
              </w:rPr>
              <w:t>[INSERT: reference]</w:t>
            </w:r>
          </w:p>
        </w:tc>
        <w:tc>
          <w:tcPr/>
          <w:p>
            <w:pPr>
              <w:pStyle w:val="TableContents"/>
            </w:pPr>
            <w:r>
              <w:rPr>
                <w:b/>
                <w:bCs/>
                <w:color w:val="0059D1"/>
              </w:rPr>
              <w:t>[INSERT: document management system location]</w:t>
            </w:r>
          </w:p>
        </w:tc>
        <w:tc>
          <w:tcPr/>
          <w:p>
            <w:pPr>
              <w:pStyle w:val="TableContents"/>
            </w:pPr>
            <w:r>
              <w:rPr>
                <w:b/>
                <w:bCs/>
                <w:color w:val="0059D1"/>
              </w:rPr>
              <w:t>[INSERT: retention period]</w:t>
            </w:r>
          </w:p>
        </w:tc>
        <w:tc>
          <w:tcPr/>
          <w:p>
            <w:pPr>
              <w:pStyle w:val="TableContents"/>
            </w:pPr>
            <w:r>
              <w:t>HSESC Manager</w:t>
            </w:r>
          </w:p>
        </w:tc>
      </w:tr>
      <w:tr>
        <w:tc>
          <w:tcPr/>
          <w:p>
            <w:pPr>
              <w:pStyle w:val="TableContents"/>
            </w:pPr>
            <w:r>
              <w:t>HAZID Terms of Reference</w:t>
            </w:r>
          </w:p>
        </w:tc>
        <w:tc>
          <w:tcPr/>
          <w:p>
            <w:pPr>
              <w:pStyle w:val="TableContents"/>
            </w:pPr>
            <w:r>
              <w:rPr>
                <w:b/>
                <w:bCs/>
                <w:color w:val="0059D1"/>
              </w:rPr>
              <w:t>[INSERT: reference]</w:t>
            </w:r>
          </w:p>
        </w:tc>
        <w:tc>
          <w:tcPr/>
          <w:p>
            <w:pPr>
              <w:pStyle w:val="TableContents"/>
            </w:pPr>
            <w:r>
              <w:rPr>
                <w:b/>
                <w:bCs/>
                <w:color w:val="0059D1"/>
              </w:rPr>
              <w:t>[INSERT: document management system location]</w:t>
            </w:r>
          </w:p>
        </w:tc>
        <w:tc>
          <w:tcPr/>
          <w:p>
            <w:pPr>
              <w:pStyle w:val="TableContents"/>
            </w:pPr>
            <w:r>
              <w:rPr>
                <w:b/>
                <w:bCs/>
                <w:color w:val="0059D1"/>
              </w:rPr>
              <w:t>[INSERT: retention period]</w:t>
            </w:r>
          </w:p>
        </w:tc>
        <w:tc>
          <w:tcPr/>
          <w:p>
            <w:pPr>
              <w:pStyle w:val="TableContents"/>
            </w:pPr>
            <w:r>
              <w:t>HSESC Manager</w:t>
            </w:r>
          </w:p>
        </w:tc>
      </w:tr>
      <w:tr>
        <w:tc>
          <w:tcPr/>
          <w:p>
            <w:pPr>
              <w:pStyle w:val="TableContents"/>
            </w:pPr>
            <w:r>
              <w:t>Job Hazard Analyses</w:t>
            </w:r>
          </w:p>
        </w:tc>
        <w:tc>
          <w:tcPr/>
          <w:p>
            <w:pPr>
              <w:pStyle w:val="TableContents"/>
            </w:pPr>
            <w:r>
              <w:rPr>
                <w:b/>
                <w:bCs/>
                <w:color w:val="0059D1"/>
              </w:rPr>
              <w:t>[INSERT: reference]</w:t>
            </w:r>
          </w:p>
        </w:tc>
        <w:tc>
          <w:tcPr/>
          <w:p>
            <w:pPr>
              <w:pStyle w:val="TableContents"/>
            </w:pPr>
            <w:r>
              <w:rPr>
                <w:b/>
                <w:bCs/>
                <w:color w:val="0059D1"/>
              </w:rPr>
              <w:t>[INSERT: document management system location]</w:t>
            </w:r>
          </w:p>
        </w:tc>
        <w:tc>
          <w:tcPr/>
          <w:p>
            <w:pPr>
              <w:pStyle w:val="TableContents"/>
            </w:pPr>
            <w:r>
              <w:rPr>
                <w:b/>
                <w:bCs/>
                <w:color w:val="0059D1"/>
              </w:rPr>
              <w:t>[INSERT: retention period]</w:t>
            </w:r>
          </w:p>
        </w:tc>
        <w:tc>
          <w:tcPr/>
          <w:p>
            <w:pPr>
              <w:pStyle w:val="TableContents"/>
            </w:pPr>
            <w:r>
              <w:t>Work Supervisor</w:t>
            </w:r>
          </w:p>
        </w:tc>
      </w:tr>
      <w:tr>
        <w:tc>
          <w:tcPr/>
          <w:p>
            <w:pPr>
              <w:pStyle w:val="TableContents"/>
            </w:pPr>
            <w:r>
              <w:t>Hazard Observation Records</w:t>
            </w:r>
          </w:p>
        </w:tc>
        <w:tc>
          <w:tcPr/>
          <w:p>
            <w:pPr>
              <w:pStyle w:val="TableContents"/>
            </w:pPr>
            <w:r>
              <w:rPr>
                <w:b/>
                <w:bCs/>
                <w:color w:val="0059D1"/>
              </w:rPr>
              <w:t>[INSERT: reference]</w:t>
            </w:r>
          </w:p>
        </w:tc>
        <w:tc>
          <w:tcPr/>
          <w:p>
            <w:pPr>
              <w:pStyle w:val="TableContents"/>
            </w:pPr>
            <w:r>
              <w:rPr>
                <w:b/>
                <w:bCs/>
                <w:color w:val="0059D1"/>
              </w:rPr>
              <w:t>[INSERT: document management system location]</w:t>
            </w:r>
          </w:p>
        </w:tc>
        <w:tc>
          <w:tcPr/>
          <w:p>
            <w:pPr>
              <w:pStyle w:val="TableContents"/>
            </w:pPr>
            <w:r>
              <w:rPr>
                <w:b/>
                <w:bCs/>
                <w:color w:val="0059D1"/>
              </w:rPr>
              <w:t>[INSERT: retention period]</w:t>
            </w:r>
          </w:p>
        </w:tc>
        <w:tc>
          <w:tcPr/>
          <w:p>
            <w:pPr>
              <w:pStyle w:val="TableContents"/>
            </w:pPr>
            <w:r>
              <w:t>HSESC Manager</w:t>
            </w:r>
          </w:p>
        </w:tc>
      </w:tr>
      <w:tr>
        <w:tc>
          <w:tcPr/>
          <w:p>
            <w:pPr>
              <w:pStyle w:val="TableContents"/>
            </w:pPr>
            <w:r>
              <w:t>FPP Workshop and Inspection Records</w:t>
            </w:r>
          </w:p>
        </w:tc>
        <w:tc>
          <w:tcPr/>
          <w:p>
            <w:pPr>
              <w:pStyle w:val="TableContents"/>
            </w:pPr>
            <w:r>
              <w:rPr>
                <w:b/>
                <w:bCs/>
                <w:color w:val="0059D1"/>
              </w:rPr>
              <w:t>[INSERT: reference]</w:t>
            </w:r>
          </w:p>
        </w:tc>
        <w:tc>
          <w:tcPr/>
          <w:p>
            <w:pPr>
              <w:pStyle w:val="TableContents"/>
            </w:pPr>
            <w:r>
              <w:rPr>
                <w:b/>
                <w:bCs/>
                <w:color w:val="0059D1"/>
              </w:rPr>
              <w:t>[INSERT: document management system location]</w:t>
            </w:r>
          </w:p>
        </w:tc>
        <w:tc>
          <w:tcPr/>
          <w:p>
            <w:pPr>
              <w:pStyle w:val="TableContents"/>
            </w:pPr>
            <w:r>
              <w:rPr>
                <w:b/>
                <w:bCs/>
                <w:color w:val="0059D1"/>
              </w:rPr>
              <w:t>[INSERT: retention period]</w:t>
            </w:r>
          </w:p>
        </w:tc>
        <w:tc>
          <w:tcPr/>
          <w:p>
            <w:pPr>
              <w:pStyle w:val="TableContents"/>
            </w:pPr>
            <w:r>
              <w:t>FPP Implementation Lead</w:t>
            </w:r>
          </w:p>
        </w:tc>
      </w:tr>
      <w:tr>
        <w:tc>
          <w:tcPr/>
          <w:p>
            <w:pPr>
              <w:pStyle w:val="TableContents"/>
            </w:pPr>
            <w:r>
              <w:t>CRM Verification Records</w:t>
            </w:r>
          </w:p>
        </w:tc>
        <w:tc>
          <w:tcPr/>
          <w:p>
            <w:pPr>
              <w:pStyle w:val="TableContents"/>
            </w:pPr>
            <w:r>
              <w:rPr>
                <w:b/>
                <w:bCs/>
                <w:color w:val="0059D1"/>
              </w:rPr>
              <w:t>[INSERT: reference]</w:t>
            </w:r>
          </w:p>
        </w:tc>
        <w:tc>
          <w:tcPr/>
          <w:p>
            <w:pPr>
              <w:pStyle w:val="TableContents"/>
            </w:pPr>
            <w:r>
              <w:t>Forwood portal and [INSERT: document management system location]</w:t>
            </w:r>
          </w:p>
        </w:tc>
        <w:tc>
          <w:tcPr/>
          <w:p>
            <w:pPr>
              <w:pStyle w:val="TableContents"/>
            </w:pPr>
            <w:r>
              <w:rPr>
                <w:b/>
                <w:bCs/>
                <w:color w:val="0059D1"/>
              </w:rPr>
              <w:t>[INSERT: retention period]</w:t>
            </w:r>
          </w:p>
        </w:tc>
        <w:tc>
          <w:tcPr/>
          <w:p>
            <w:pPr>
              <w:pStyle w:val="TableContents"/>
            </w:pPr>
            <w:r>
              <w:t>HSESC Manager</w:t>
            </w:r>
          </w:p>
        </w:tc>
      </w:tr>
      <w:tr>
        <w:tc>
          <w:tcPr/>
          <w:p>
            <w:pPr>
              <w:pStyle w:val="TableContents"/>
            </w:pPr>
            <w:r>
              <w:t>Constructability Review Records</w:t>
            </w:r>
          </w:p>
        </w:tc>
        <w:tc>
          <w:tcPr/>
          <w:p>
            <w:pPr>
              <w:pStyle w:val="TableContents"/>
            </w:pPr>
            <w:r>
              <w:rPr>
                <w:b/>
                <w:bCs/>
                <w:color w:val="0059D1"/>
              </w:rPr>
              <w:t>[INSERT: reference]</w:t>
            </w:r>
          </w:p>
        </w:tc>
        <w:tc>
          <w:tcPr/>
          <w:p>
            <w:pPr>
              <w:pStyle w:val="TableContents"/>
            </w:pPr>
            <w:r>
              <w:rPr>
                <w:b/>
                <w:bCs/>
                <w:color w:val="0059D1"/>
              </w:rPr>
              <w:t>[INSERT: document management system location]</w:t>
            </w:r>
          </w:p>
        </w:tc>
        <w:tc>
          <w:tcPr/>
          <w:p>
            <w:pPr>
              <w:pStyle w:val="TableContents"/>
            </w:pPr>
            <w:r>
              <w:rPr>
                <w:b/>
                <w:bCs/>
                <w:color w:val="0059D1"/>
              </w:rPr>
              <w:t>[INSERT: retention period]</w:t>
            </w:r>
          </w:p>
        </w:tc>
        <w:tc>
          <w:tcPr/>
          <w:p>
            <w:pPr>
              <w:pStyle w:val="TableContents"/>
            </w:pPr>
            <w:r>
              <w:t>HSESC Manager</w:t>
            </w:r>
          </w:p>
        </w:tc>
      </w:tr>
      <w:tr>
        <w:tc>
          <w:tcPr/>
          <w:p>
            <w:pPr>
              <w:pStyle w:val="TableContents"/>
            </w:pPr>
            <w:r>
              <w:t>Security Risk Assessment</w:t>
            </w:r>
          </w:p>
        </w:tc>
        <w:tc>
          <w:tcPr/>
          <w:p>
            <w:pPr>
              <w:pStyle w:val="TableContents"/>
            </w:pPr>
            <w:r>
              <w:rPr>
                <w:b/>
                <w:bCs/>
                <w:color w:val="0059D1"/>
              </w:rPr>
              <w:t>[INSERT: reference]</w:t>
            </w:r>
          </w:p>
        </w:tc>
        <w:tc>
          <w:tcPr/>
          <w:p>
            <w:pPr>
              <w:pStyle w:val="TableContents"/>
            </w:pPr>
            <w:r>
              <w:rPr>
                <w:b/>
                <w:bCs/>
                <w:color w:val="0059D1"/>
              </w:rPr>
              <w:t>[INSERT: document management system location]</w:t>
            </w:r>
          </w:p>
        </w:tc>
        <w:tc>
          <w:tcPr/>
          <w:p>
            <w:pPr>
              <w:pStyle w:val="TableContents"/>
            </w:pPr>
            <w:r>
              <w:rPr>
                <w:b/>
                <w:bCs/>
                <w:color w:val="0059D1"/>
              </w:rPr>
              <w:t>[INSERT: retention period]</w:t>
            </w:r>
          </w:p>
        </w:tc>
        <w:tc>
          <w:tcPr/>
          <w:p>
            <w:pPr>
              <w:pStyle w:val="TableContents"/>
            </w:pPr>
            <w:r>
              <w:t>HSESC Manager</w:t>
            </w:r>
          </w:p>
        </w:tc>
      </w:tr>
    </w:tbl>
    <w:p>
      <w:pPr>
        <w:pStyle w:val="Default"/>
      </w:pPr>
    </w:p>
    <w:p>
      <w:pPr>
        <w:pStyle w:val="Heading1Numbered"/>
      </w:pPr>
      <w:r>
        <w:t>16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and Social (Community) — the integrated discipline framework governing all risk management activities on Rio Tinto owner-led projects.</w:t>
            </w:r>
          </w:p>
        </w:tc>
      </w:tr>
      <w:tr>
        <w:tc>
          <w:tcPr/>
          <w:p>
            <w:pPr>
              <w:pStyle w:val="TableContents"/>
            </w:pPr>
            <w:r>
              <w:t>HSE</w:t>
            </w:r>
          </w:p>
        </w:tc>
        <w:tc>
          <w:tcPr/>
          <w:p>
            <w:pPr>
              <w:pStyle w:val="TableContents"/>
            </w:pPr>
            <w:r>
              <w:t>Health, Safety, and Environment — the subset of HSESC disciplines excluding Social and Community components.</w:t>
            </w:r>
          </w:p>
        </w:tc>
      </w:tr>
      <w:tr>
        <w:tc>
          <w:tcPr/>
          <w:p>
            <w:pPr>
              <w:pStyle w:val="TableContents"/>
            </w:pPr>
            <w:r>
              <w:t>PRO</w:t>
            </w:r>
          </w:p>
        </w:tc>
        <w:tc>
          <w:tcPr/>
          <w:p>
            <w:pPr>
              <w:pStyle w:val="TableContents"/>
            </w:pPr>
            <w:r>
              <w:t>Procedure — a controlled document that defines the mandatory steps, responsibilities, and records required to execute a specific management system process.</w:t>
            </w:r>
          </w:p>
        </w:tc>
      </w:tr>
      <w:tr>
        <w:tc>
          <w:tcPr/>
          <w:p>
            <w:pPr>
              <w:pStyle w:val="TableContents"/>
            </w:pPr>
            <w:r>
              <w:t>RTPR</w:t>
            </w:r>
          </w:p>
        </w:tc>
        <w:tc>
          <w:tcPr/>
          <w:p>
            <w:pPr>
              <w:pStyle w:val="TableContents"/>
            </w:pPr>
            <w:r>
              <w:t>Rio Tinto Projects — the organisational prefix designating controlled documents owned and maintained within the Rio Tinto Projects management system.</w:t>
            </w:r>
          </w:p>
        </w:tc>
      </w:tr>
      <w:tr>
        <w:tc>
          <w:tcPr/>
          <w:p>
            <w:pPr>
              <w:pStyle w:val="TableContents"/>
            </w:pPr>
            <w:r>
              <w:t>RT</w:t>
            </w:r>
          </w:p>
        </w:tc>
        <w:tc>
          <w:tcPr/>
          <w:p>
            <w:pPr>
              <w:pStyle w:val="TableContents"/>
            </w:pPr>
            <w:r>
              <w:t>Rio Tinto — the parent company whose standards, frameworks, and requirements provide the overarching governance context for all project-level procedures.</w:t>
            </w:r>
          </w:p>
        </w:tc>
      </w:tr>
      <w:tr>
        <w:tc>
          <w:tcPr/>
          <w:p>
            <w:pPr>
              <w:pStyle w:val="TableContents"/>
            </w:pPr>
            <w:r>
              <w:t>HAZID</w:t>
            </w:r>
          </w:p>
        </w:tc>
        <w:tc>
          <w:tcPr/>
          <w:p>
            <w:pPr>
              <w:pStyle w:val="TableContents"/>
            </w:pPr>
            <w:r>
              <w:t>Hazard Identification — a structured, facilitated workshop technique used to systematically identify hazards associated with a defined scope of work, facility, or activity during the planning or design phase.</w:t>
            </w:r>
          </w:p>
        </w:tc>
      </w:tr>
      <w:tr>
        <w:tc>
          <w:tcPr/>
          <w:p>
            <w:pPr>
              <w:pStyle w:val="TableContents"/>
            </w:pPr>
            <w:r>
              <w:t>JHA</w:t>
            </w:r>
          </w:p>
        </w:tc>
        <w:tc>
          <w:tcPr/>
          <w:p>
            <w:pPr>
              <w:pStyle w:val="TableContents"/>
            </w:pPr>
            <w:r>
              <w:t>Job Hazard Analysis — a task-level risk assessment technique that breaks a specific job or task into sequential steps to identify associated hazards and determine appropriate controls before work commences.</w:t>
            </w:r>
          </w:p>
        </w:tc>
      </w:tr>
      <w:tr>
        <w:tc>
          <w:tcPr/>
          <w:p>
            <w:pPr>
              <w:pStyle w:val="TableContents"/>
            </w:pPr>
            <w:r>
              <w:t>MoC</w:t>
            </w:r>
          </w:p>
        </w:tc>
        <w:tc>
          <w:tcPr/>
          <w:p>
            <w:pPr>
              <w:pStyle w:val="TableContents"/>
            </w:pPr>
            <w:r>
              <w:t>Management of Change — a formal process for identifying, evaluating, approving, and communicating changes to scope, design, organisation, procedure, or personnel that may introduce new or altered hazards and risks.</w:t>
            </w:r>
          </w:p>
        </w:tc>
      </w:tr>
      <w:tr>
        <w:tc>
          <w:tcPr/>
          <w:p>
            <w:pPr>
              <w:pStyle w:val="TableContents"/>
            </w:pPr>
            <w:r>
              <w:t>CRM</w:t>
            </w:r>
          </w:p>
        </w:tc>
        <w:tc>
          <w:tcPr/>
          <w:p>
            <w:pPr>
              <w:pStyle w:val="TableContents"/>
            </w:pPr>
            <w:r>
              <w:t>Critical Risk Management — the Rio Tinto programme that identifies, assesses, and applies mandatory controls to a defined set of risks with the potential to cause fatalities or catastrophic harm.</w:t>
            </w:r>
          </w:p>
        </w:tc>
      </w:tr>
      <w:tr>
        <w:tc>
          <w:tcPr/>
          <w:p>
            <w:pPr>
              <w:pStyle w:val="TableContents"/>
            </w:pPr>
            <w:r>
              <w:t>FPP</w:t>
            </w:r>
          </w:p>
        </w:tc>
        <w:tc>
          <w:tcPr/>
          <w:p>
            <w:pPr>
              <w:pStyle w:val="TableContents"/>
            </w:pPr>
            <w:r>
              <w:t>Fatality Prevention Programme — a targeted initiative within the Critical Risk Management Programme designed to eliminate or reduce to as low as reasonably practicable the likelihood of fatalities through the verification of critical controls.</w:t>
            </w:r>
          </w:p>
        </w:tc>
      </w:tr>
      <w:tr>
        <w:tc>
          <w:tcPr/>
          <w:p>
            <w:pPr>
              <w:pStyle w:val="TableContents"/>
            </w:pPr>
            <w:r>
              <w:t>SRA</w:t>
            </w:r>
          </w:p>
        </w:tc>
        <w:tc>
          <w:tcPr/>
          <w:p>
            <w:pPr>
              <w:pStyle w:val="TableContents"/>
            </w:pPr>
            <w:r>
              <w:t>Security Risk Assessment — a formal evaluation of threats, vulnerabilities, and consequences related to the security of personnel, assets, information, and operations on a project site.</w:t>
            </w:r>
          </w:p>
        </w:tc>
      </w:tr>
      <w:tr>
        <w:tc>
          <w:tcPr/>
          <w:p>
            <w:pPr>
              <w:pStyle w:val="TableContents"/>
            </w:pPr>
            <w:r>
              <w:t>HRR</w:t>
            </w:r>
          </w:p>
        </w:tc>
        <w:tc>
          <w:tcPr/>
          <w:p>
            <w:pPr>
              <w:pStyle w:val="TableContents"/>
            </w:pPr>
            <w:r>
              <w:t>Hazard and Risk Register — the project-level controlled document that records all identified hazards, their associated risks, assigned risk ratings, nominated controls, and residual risk status.</w:t>
            </w:r>
          </w:p>
        </w:tc>
      </w:tr>
      <w:tr>
        <w:tc>
          <w:tcPr/>
          <w:p>
            <w:pPr>
              <w:pStyle w:val="TableContents"/>
            </w:pPr>
            <w:r>
              <w:t>ALARP</w:t>
            </w:r>
          </w:p>
        </w:tc>
        <w:tc>
          <w:tcPr/>
          <w:p>
            <w:pPr>
              <w:pStyle w:val="TableContents"/>
            </w:pPr>
            <w:r>
              <w:t>As Low As Reasonably Practicable — the risk reduction principle requiring that risk be reduced to the lowest level achievable unless the cost of further reduction is grossly disproportionate to the benefit gained.</w:t>
            </w:r>
          </w:p>
        </w:tc>
      </w:tr>
      <w:tr>
        <w:tc>
          <w:tcPr/>
          <w:p>
            <w:pPr>
              <w:pStyle w:val="TableContents"/>
            </w:pPr>
            <w:r>
              <w:t>ICAM</w:t>
            </w:r>
          </w:p>
        </w:tc>
        <w:tc>
          <w:tcPr/>
          <w:p>
            <w:pPr>
              <w:pStyle w:val="TableContents"/>
            </w:pPr>
            <w:r>
              <w:t>Incident Cause Analysis Method — the structured incident investigation methodology used by Rio Tinto to identify immediate, underlying, and systemic causes of incidents, the findings of which provide inputs to the risk register.</w:t>
            </w:r>
          </w:p>
        </w:tc>
      </w:tr>
      <w:tr>
        <w:tc>
          <w:tcPr/>
          <w:p>
            <w:pPr>
              <w:pStyle w:val="TableContents"/>
            </w:pPr>
            <w:r>
              <w:t>BoW</w:t>
            </w:r>
          </w:p>
        </w:tc>
        <w:tc>
          <w:tcPr/>
          <w:p>
            <w:pPr>
              <w:pStyle w:val="TableContents"/>
            </w:pPr>
            <w:r>
              <w:t>Basis of Work — the documented scope and technical definition of a project phase that underpins the level of risk assessment required, including HAZID workshops and constructability reviews.</w:t>
            </w:r>
          </w:p>
        </w:tc>
      </w:tr>
      <w:tr>
        <w:tc>
          <w:tcPr/>
          <w:p>
            <w:pPr>
              <w:pStyle w:val="TableContents"/>
            </w:pPr>
            <w:r>
              <w:t>PMBOK</w:t>
            </w:r>
          </w:p>
        </w:tc>
        <w:tc>
          <w:tcPr/>
          <w:p>
            <w:pPr>
              <w:pStyle w:val="TableContents"/>
            </w:pPr>
            <w:r>
              <w:t>Project Management Body of Knowledge — the internationally recognised project management framework published by the Project Management Institute, referenced for risk management process alignment.</w:t>
            </w:r>
          </w:p>
        </w:tc>
      </w:tr>
      <w:tr>
        <w:tc>
          <w:tcPr/>
          <w:p>
            <w:pPr>
              <w:pStyle w:val="TableContents"/>
            </w:pPr>
            <w:r>
              <w:t>ISO</w:t>
            </w:r>
          </w:p>
        </w:tc>
        <w:tc>
          <w:tcPr/>
          <w:p>
            <w:pPr>
              <w:pStyle w:val="TableContents"/>
            </w:pPr>
            <w:r>
              <w:t>International Organisation for Standardisation — the international body responsible for developing and publishing standards, including ISO 31000 which governs risk management principles and guidelines.</w:t>
            </w:r>
          </w:p>
        </w:tc>
      </w:tr>
      <w:tr>
        <w:tc>
          <w:tcPr/>
          <w:p>
            <w:pPr>
              <w:pStyle w:val="TableContents"/>
            </w:pPr>
            <w:r>
              <w:t>KPI</w:t>
            </w:r>
          </w:p>
        </w:tc>
        <w:tc>
          <w:tcPr/>
          <w:p>
            <w:pPr>
              <w:pStyle w:val="TableContents"/>
            </w:pPr>
            <w:r>
              <w:t>Key Performance Indicator — a measurable value used to evaluate the effectiveness of risk management controls and the performance of the HSESC management system.</w:t>
            </w:r>
          </w:p>
        </w:tc>
      </w:tr>
      <w:tr>
        <w:tc>
          <w:tcPr/>
          <w:p>
            <w:pPr>
              <w:pStyle w:val="TableContents"/>
            </w:pPr>
            <w:r>
              <w:t>PPE</w:t>
            </w:r>
          </w:p>
        </w:tc>
        <w:tc>
          <w:tcPr/>
          <w:p>
            <w:pPr>
              <w:pStyle w:val="TableContents"/>
            </w:pPr>
            <w:r>
              <w:t>Personal Protective Equipment — equipment worn or used by an individual as the last line of defence in the hierarchy of controls to minimise exposure to residual hazards.</w:t>
            </w:r>
          </w:p>
        </w:tc>
      </w:tr>
      <w:tr>
        <w:tc>
          <w:tcPr/>
          <w:p>
            <w:pPr>
              <w:pStyle w:val="TableContents"/>
            </w:pPr>
            <w:r>
              <w:t>SWMS</w:t>
            </w:r>
          </w:p>
        </w:tc>
        <w:tc>
          <w:tcPr/>
          <w:p>
            <w:pPr>
              <w:pStyle w:val="TableContents"/>
            </w:pPr>
            <w:r>
              <w:t>Safe Work Method Statement — a document that describes the high-risk construction work to be carried out, the hazards arising from that work, and the measures to be put in place to control those hazards.</w:t>
            </w:r>
          </w:p>
        </w:tc>
      </w:tr>
      <w:tr>
        <w:tc>
          <w:tcPr/>
          <w:p>
            <w:pPr>
              <w:pStyle w:val="TableContents"/>
            </w:pPr>
            <w:r>
              <w:t>SME</w:t>
            </w:r>
          </w:p>
        </w:tc>
        <w:tc>
          <w:tcPr/>
          <w:p>
            <w:pPr>
              <w:pStyle w:val="TableContents"/>
            </w:pPr>
            <w:r>
              <w:t>Subject Matter Expert — an individual with recognised technical knowledge and experience in a specific discipline, engaged to contribute to risk assessments, HAZID workshops, and constructability reviews.</w:t>
            </w:r>
          </w:p>
        </w:tc>
      </w:tr>
      <w:tr>
        <w:tc>
          <w:tcPr/>
          <w:p>
            <w:pPr>
              <w:pStyle w:val="TableContents"/>
            </w:pPr>
            <w:r>
              <w:t>RAM</w:t>
            </w:r>
          </w:p>
        </w:tc>
        <w:tc>
          <w:tcPr/>
          <w:p>
            <w:pPr>
              <w:pStyle w:val="TableContents"/>
            </w:pPr>
            <w:r>
              <w:t>Risk Assessment Matrix — the tool used to combine the likelihood and consequence ratings of a risk event to determine an overall risk rating in accordance with the Rio Tinto Risk Management Standard.</w:t>
            </w:r>
          </w:p>
        </w:tc>
      </w:tr>
      <w:tr>
        <w:tc>
          <w:tcPr/>
          <w:p>
            <w:pPr>
              <w:pStyle w:val="TableContents"/>
            </w:pPr>
            <w:r>
              <w:t>WHS</w:t>
            </w:r>
          </w:p>
        </w:tc>
        <w:tc>
          <w:tcPr/>
          <w:p>
            <w:pPr>
              <w:pStyle w:val="TableContents"/>
            </w:pPr>
            <w:r>
              <w:t>Work Health and Safety — the legislative and regulatory framework governing the health and safety obligations of persons conducting a business or undertaking, providing the legal context for risk assessment obligations.</w:t>
            </w:r>
          </w:p>
        </w:tc>
      </w:tr>
      <w:tr>
        <w:tc>
          <w:tcPr/>
          <w:p>
            <w:pPr>
              <w:pStyle w:val="TableContents"/>
            </w:pPr>
            <w:r>
              <w:t>IFC</w:t>
            </w:r>
          </w:p>
        </w:tc>
        <w:tc>
          <w:tcPr/>
          <w:p>
            <w:pPr>
              <w:pStyle w:val="TableContents"/>
            </w:pPr>
            <w:r>
              <w:t>Issued for Construction — the design stage at which engineering drawings and documents have been approved and released for use in physical construction, triggering updated JHAs and control verification.</w:t>
            </w:r>
          </w:p>
        </w:tc>
      </w:tr>
      <w:tr>
        <w:tc>
          <w:tcPr/>
          <w:p>
            <w:pPr>
              <w:pStyle w:val="TableContents"/>
            </w:pPr>
            <w:r>
              <w:t>PMT</w:t>
            </w:r>
          </w:p>
        </w:tc>
        <w:tc>
          <w:tcPr/>
          <w:p>
            <w:pPr>
              <w:pStyle w:val="TableContents"/>
            </w:pPr>
            <w:r>
              <w:t>Project Management Team — the Rio Tinto owner-led team responsible for governing, directing, and overseeing all aspects of project delivery including HSESC risk management obligations.</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17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RT Risk Management Standard</w:t>
            </w:r>
          </w:p>
        </w:tc>
        <w:tc>
          <w:tcPr/>
          <w:p>
            <w:pPr>
              <w:pStyle w:val="TableContents"/>
            </w:pPr>
            <w:r>
              <w:t>Rio Tinto Risk Management Standard (current version)</w:t>
            </w:r>
          </w:p>
        </w:tc>
        <w:tc>
          <w:tcPr/>
          <w:p>
            <w:pPr>
              <w:pStyle w:val="TableContents"/>
            </w:pPr>
            <w:r>
              <w:t>External RT</w:t>
            </w:r>
          </w:p>
        </w:tc>
      </w:tr>
      <w:tr>
        <w:tc>
          <w:tcPr/>
          <w:p>
            <w:pPr>
              <w:pStyle w:val="TableContents"/>
            </w:pPr>
            <w:r>
              <w:t>RT Risk Management Standard — Appendix C, Section C-1</w:t>
            </w:r>
          </w:p>
        </w:tc>
        <w:tc>
          <w:tcPr/>
          <w:p>
            <w:pPr>
              <w:pStyle w:val="TableContents"/>
            </w:pPr>
            <w:r>
              <w:t>Rio Tinto Risk Management Standard Appendix C C-1 (Risk Assessment Methodology)</w:t>
            </w:r>
          </w:p>
        </w:tc>
        <w:tc>
          <w:tcPr/>
          <w:p>
            <w:pPr>
              <w:pStyle w:val="TableContents"/>
            </w:pPr>
            <w:r>
              <w:t>External RT</w:t>
            </w:r>
          </w:p>
        </w:tc>
      </w:tr>
      <w:tr>
        <w:tc>
          <w:tcPr/>
          <w:p>
            <w:pPr>
              <w:pStyle w:val="TableContents"/>
            </w:pPr>
            <w:r>
              <w:t>Legal Requirements Procedure</w:t>
            </w:r>
          </w:p>
        </w:tc>
        <w:tc>
          <w:tcPr/>
          <w:p>
            <w:pPr>
              <w:pStyle w:val="TableContents"/>
            </w:pPr>
            <w:r>
              <w:t>RTPR-HSE-PRO-0001</w:t>
            </w:r>
          </w:p>
        </w:tc>
        <w:tc>
          <w:tcPr/>
          <w:p>
            <w:pPr>
              <w:pStyle w:val="TableContents"/>
            </w:pPr>
            <w:r>
              <w:t>Internal procedure</w:t>
            </w:r>
          </w:p>
        </w:tc>
      </w:tr>
      <w:tr>
        <w:tc>
          <w:tcPr/>
          <w:p>
            <w:pPr>
              <w:pStyle w:val="TableContents"/>
            </w:pPr>
            <w:r>
              <w:t>Training Procedure</w:t>
            </w:r>
          </w:p>
        </w:tc>
        <w:tc>
          <w:tcPr/>
          <w:p>
            <w:pPr>
              <w:pStyle w:val="TableContents"/>
            </w:pPr>
            <w:r>
              <w:t>RTPR-HSE-PRO-0004</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Document Control Procedure</w:t>
            </w:r>
          </w:p>
        </w:tc>
        <w:tc>
          <w:tcPr/>
          <w:p>
            <w:pPr>
              <w:pStyle w:val="TableContents"/>
            </w:pPr>
            <w:r>
              <w:t>RTPR-HSE-PRO-0010</w:t>
            </w:r>
          </w:p>
        </w:tc>
        <w:tc>
          <w:tcPr/>
          <w:p>
            <w:pPr>
              <w:pStyle w:val="TableContents"/>
            </w:pPr>
            <w:r>
              <w:t>Internal procedure</w:t>
            </w:r>
          </w:p>
        </w:tc>
      </w:tr>
      <w:tr>
        <w:tc>
          <w:tcPr/>
          <w:p>
            <w:pPr>
              <w:pStyle w:val="TableContents"/>
            </w:pPr>
            <w:r>
              <w:t>Management of Change Procedure</w:t>
            </w:r>
          </w:p>
        </w:tc>
        <w:tc>
          <w:tcPr/>
          <w:p>
            <w:pPr>
              <w:pStyle w:val="TableContents"/>
            </w:pPr>
            <w:r>
              <w:t>RTPR-HSE-PRO-0040</w:t>
            </w:r>
          </w:p>
        </w:tc>
        <w:tc>
          <w:tcPr/>
          <w:p>
            <w:pPr>
              <w:pStyle w:val="TableContents"/>
            </w:pPr>
            <w:r>
              <w:t>Internal procedure</w:t>
            </w:r>
          </w:p>
        </w:tc>
      </w:tr>
      <w:tr>
        <w:tc>
          <w:tcPr/>
          <w:p>
            <w:pPr>
              <w:pStyle w:val="TableContents"/>
            </w:pPr>
            <w:r>
              <w:t>Monitoring Procedure</w:t>
            </w:r>
          </w:p>
        </w:tc>
        <w:tc>
          <w:tcPr/>
          <w:p>
            <w:pPr>
              <w:pStyle w:val="TableContents"/>
            </w:pPr>
            <w:r>
              <w:t>RTPR-HSE-PRO-0042</w:t>
            </w:r>
          </w:p>
        </w:tc>
        <w:tc>
          <w:tcPr/>
          <w:p>
            <w:pPr>
              <w:pStyle w:val="TableContents"/>
            </w:pPr>
            <w:r>
              <w:t>Internal procedure</w:t>
            </w:r>
          </w:p>
        </w:tc>
      </w:tr>
      <w:tr>
        <w:tc>
          <w:tcPr/>
          <w:p>
            <w:pPr>
              <w:pStyle w:val="TableContents"/>
            </w:pPr>
            <w:r>
              <w:t>ISO 31000 — Risk Management: Principles and Guidelines</w:t>
            </w:r>
          </w:p>
        </w:tc>
        <w:tc>
          <w:tcPr/>
          <w:p>
            <w:pPr>
              <w:pStyle w:val="TableContents"/>
            </w:pPr>
            <w:r>
              <w:t>ISO 31000:2018</w:t>
            </w:r>
          </w:p>
        </w:tc>
        <w:tc>
          <w:tcPr/>
          <w:p>
            <w:pPr>
              <w:pStyle w:val="TableContents"/>
            </w:pPr>
            <w:r>
              <w:t>External framework</w:t>
            </w:r>
          </w:p>
        </w:tc>
      </w:tr>
      <w:tr>
        <w:tc>
          <w:tcPr/>
          <w:p>
            <w:pPr>
              <w:pStyle w:val="TableContents"/>
            </w:pPr>
            <w:r>
              <w:t>ISO 45001 — Occupational Health and Safety Management Systems</w:t>
            </w:r>
          </w:p>
        </w:tc>
        <w:tc>
          <w:tcPr/>
          <w:p>
            <w:pPr>
              <w:pStyle w:val="TableContents"/>
            </w:pPr>
            <w:r>
              <w:t>ISO 45001:2018</w:t>
            </w:r>
          </w:p>
        </w:tc>
        <w:tc>
          <w:tcPr/>
          <w:p>
            <w:pPr>
              <w:pStyle w:val="TableContents"/>
            </w:pPr>
            <w:r>
              <w:t>External framework</w:t>
            </w:r>
          </w:p>
        </w:tc>
      </w:tr>
      <w:tr>
        <w:tc>
          <w:tcPr/>
          <w:p>
            <w:pPr>
              <w:pStyle w:val="TableContents"/>
            </w:pPr>
            <w:r>
              <w:t>ISO 14001 — Environmental Management Systems</w:t>
            </w:r>
          </w:p>
        </w:tc>
        <w:tc>
          <w:tcPr/>
          <w:p>
            <w:pPr>
              <w:pStyle w:val="TableContents"/>
            </w:pPr>
            <w:r>
              <w:t>ISO 14001:2015</w:t>
            </w:r>
          </w:p>
        </w:tc>
        <w:tc>
          <w:tcPr/>
          <w:p>
            <w:pPr>
              <w:pStyle w:val="TableContents"/>
            </w:pPr>
            <w:r>
              <w:t>External framework</w:t>
            </w:r>
          </w:p>
        </w:tc>
      </w:tr>
      <w:tr>
        <w:tc>
          <w:tcPr/>
          <w:p>
            <w:pPr>
              <w:pStyle w:val="TableContents"/>
            </w:pPr>
            <w:r>
              <w:t>RT Critical Risk Management Programme Standard</w:t>
            </w:r>
          </w:p>
        </w:tc>
        <w:tc>
          <w:tcPr/>
          <w:p>
            <w:pPr>
              <w:pStyle w:val="TableContents"/>
            </w:pPr>
            <w:r>
              <w:t>Rio Tinto Critical Risk Management Programme Standard (current version)</w:t>
            </w:r>
          </w:p>
        </w:tc>
        <w:tc>
          <w:tcPr/>
          <w:p>
            <w:pPr>
              <w:pStyle w:val="TableContents"/>
            </w:pPr>
            <w:r>
              <w:t>External RT</w:t>
            </w:r>
          </w:p>
        </w:tc>
      </w:tr>
      <w:tr>
        <w:tc>
          <w:tcPr/>
          <w:p>
            <w:pPr>
              <w:pStyle w:val="TableContents"/>
            </w:pPr>
            <w:r>
              <w:t>RT Fatality Prevention Programme Standard</w:t>
            </w:r>
          </w:p>
        </w:tc>
        <w:tc>
          <w:tcPr/>
          <w:p>
            <w:pPr>
              <w:pStyle w:val="TableContents"/>
            </w:pPr>
            <w:r>
              <w:t>Rio Tinto Fatality Prevention Programme Standard (current version)</w:t>
            </w:r>
          </w:p>
        </w:tc>
        <w:tc>
          <w:tcPr/>
          <w:p>
            <w:pPr>
              <w:pStyle w:val="TableContents"/>
            </w:pPr>
            <w:r>
              <w:t>External RT</w:t>
            </w:r>
          </w:p>
        </w:tc>
      </w:tr>
      <w:tr>
        <w:tc>
          <w:tcPr/>
          <w:p>
            <w:pPr>
              <w:pStyle w:val="TableContents"/>
            </w:pPr>
            <w:r>
              <w:t>RT Health, Safety and Environment Policy</w:t>
            </w:r>
          </w:p>
        </w:tc>
        <w:tc>
          <w:tcPr/>
          <w:p>
            <w:pPr>
              <w:pStyle w:val="TableContents"/>
            </w:pPr>
            <w:r>
              <w:t>Rio Tinto HSE Policy (current version)</w:t>
            </w:r>
          </w:p>
        </w:tc>
        <w:tc>
          <w:tcPr/>
          <w:p>
            <w:pPr>
              <w:pStyle w:val="TableContents"/>
            </w:pPr>
            <w:r>
              <w:t>External RT</w:t>
            </w:r>
          </w:p>
        </w:tc>
      </w:tr>
      <w:tr>
        <w:tc>
          <w:tcPr/>
          <w:p>
            <w:pPr>
              <w:pStyle w:val="TableContents"/>
            </w:pPr>
            <w:r>
              <w:t>RT Security Risk Management Standard</w:t>
            </w:r>
          </w:p>
        </w:tc>
        <w:tc>
          <w:tcPr/>
          <w:p>
            <w:pPr>
              <w:pStyle w:val="TableContents"/>
            </w:pPr>
            <w:r>
              <w:t>Rio Tinto Security Risk Management Standard (current version)</w:t>
            </w:r>
          </w:p>
        </w:tc>
        <w:tc>
          <w:tcPr/>
          <w:p>
            <w:pPr>
              <w:pStyle w:val="TableContents"/>
            </w:pPr>
            <w:r>
              <w:t>External RT</w:t>
            </w:r>
          </w:p>
        </w:tc>
      </w:tr>
      <w:tr>
        <w:tc>
          <w:tcPr/>
          <w:p>
            <w:pPr>
              <w:pStyle w:val="TableContents"/>
            </w:pPr>
            <w:r>
              <w:t>RT Projects HSESC Management System Manual</w:t>
            </w:r>
          </w:p>
        </w:tc>
        <w:tc>
          <w:tcPr/>
          <w:p>
            <w:pPr>
              <w:pStyle w:val="TableContents"/>
            </w:pPr>
            <w:r>
              <w:t>RTPR-HSE-MAN-0001 (current version)</w:t>
            </w:r>
          </w:p>
        </w:tc>
        <w:tc>
          <w:tcPr/>
          <w:p>
            <w:pPr>
              <w:pStyle w:val="TableContents"/>
            </w:pPr>
            <w:r>
              <w:t>Internal procedure</w:t>
            </w:r>
          </w:p>
        </w:tc>
      </w:tr>
      <w:tr>
        <w:tc>
          <w:tcPr/>
          <w:p>
            <w:pPr>
              <w:pStyle w:val="TableContents"/>
            </w:pPr>
            <w:r>
              <w:t>IEC 31010 — Risk Assessment Techniques</w:t>
            </w:r>
          </w:p>
        </w:tc>
        <w:tc>
          <w:tcPr/>
          <w:p>
            <w:pPr>
              <w:pStyle w:val="TableContents"/>
            </w:pPr>
            <w:r>
              <w:t>IEC 31010:2019</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18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19  Source Requirements Traceability (DELETE BEFORE ISSUE)</w:t>
      </w:r>
    </w:p>
    <w:p>
      <w:pPr>
        <w:pStyle w:val="Heading2Numbered"/>
      </w:pPr>
      <w:r>
        <w:t>19.1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RT – Risk Management Standard</w:t>
            </w:r>
          </w:p>
        </w:tc>
        <w:tc>
          <w:tcPr/>
          <w:p>
            <w:pPr>
              <w:pStyle w:val="TableContents"/>
            </w:pPr>
            <w:r>
              <w:t>Mandates use of the RT 5×5 Risk Matrix, risk tolerability thresholds, and the hierarchy of controls for all project risk assessments.</w:t>
            </w:r>
          </w:p>
        </w:tc>
        <w:tc>
          <w:tcPr/>
          <w:p>
            <w:pPr>
              <w:pStyle w:val="TableContents"/>
            </w:pPr>
            <w:r>
              <w:t>Full</w:t>
            </w:r>
          </w:p>
        </w:tc>
      </w:tr>
      <w:tr>
        <w:tc>
          <w:tcPr/>
          <w:p>
            <w:pPr>
              <w:pStyle w:val="TableContents"/>
            </w:pPr>
            <w:r>
              <w:rPr>
                <w:b/>
                <w:bCs/>
                <w:color w:val="0059D1"/>
              </w:rPr>
              <w:t>[INSERT: section]</w:t>
            </w:r>
          </w:p>
        </w:tc>
        <w:tc>
          <w:tcPr/>
          <w:p>
            <w:pPr>
              <w:pStyle w:val="TableContents"/>
            </w:pPr>
            <w:r>
              <w:t>Appendix C C-1 §25.1</w:t>
            </w:r>
          </w:p>
        </w:tc>
        <w:tc>
          <w:tcPr/>
          <w:p>
            <w:pPr>
              <w:pStyle w:val="TableContents"/>
            </w:pPr>
            <w:r>
              <w:t>Requires all hazards identified through HAZID, constructability reviews, and health, environmental, and social risk assessments to be consolidated into a single integrated project-level risk register.</w:t>
            </w:r>
          </w:p>
        </w:tc>
        <w:tc>
          <w:tcPr/>
          <w:p>
            <w:pPr>
              <w:pStyle w:val="TableContents"/>
            </w:pPr>
            <w:r>
              <w:t>Full</w:t>
            </w:r>
          </w:p>
        </w:tc>
      </w:tr>
      <w:tr>
        <w:tc>
          <w:tcPr/>
          <w:p>
            <w:pPr>
              <w:pStyle w:val="TableContents"/>
            </w:pPr>
            <w:r>
              <w:rPr>
                <w:b/>
                <w:bCs/>
                <w:color w:val="0059D1"/>
              </w:rPr>
              <w:t>[INSERT: section]</w:t>
            </w:r>
          </w:p>
        </w:tc>
        <w:tc>
          <w:tcPr/>
          <w:p>
            <w:pPr>
              <w:pStyle w:val="TableContents"/>
            </w:pPr>
            <w:r>
              <w:t>Appendix C C-1 §25.2.1</w:t>
            </w:r>
          </w:p>
        </w:tc>
        <w:tc>
          <w:tcPr/>
          <w:p>
            <w:pPr>
              <w:pStyle w:val="TableContents"/>
            </w:pPr>
            <w:r>
              <w:t>Requires preparation of a hazard and risk assessment register when constructability reviews commence, involving both owner and contractor personnel with appropriate subject matter experts.</w:t>
            </w:r>
          </w:p>
        </w:tc>
        <w:tc>
          <w:tcPr/>
          <w:p>
            <w:pPr>
              <w:pStyle w:val="TableContents"/>
            </w:pPr>
            <w:r>
              <w:t>Full</w:t>
            </w:r>
          </w:p>
        </w:tc>
      </w:tr>
      <w:tr>
        <w:tc>
          <w:tcPr/>
          <w:p>
            <w:pPr>
              <w:pStyle w:val="TableContents"/>
            </w:pPr>
            <w:r>
              <w:rPr>
                <w:b/>
                <w:bCs/>
                <w:color w:val="0059D1"/>
              </w:rPr>
              <w:t>[INSERT: section]</w:t>
            </w:r>
          </w:p>
        </w:tc>
        <w:tc>
          <w:tcPr/>
          <w:p>
            <w:pPr>
              <w:pStyle w:val="TableContents"/>
            </w:pPr>
            <w:r>
              <w:t>Appendix C C-1 §25.2.2</w:t>
            </w:r>
          </w:p>
        </w:tc>
        <w:tc>
          <w:tcPr/>
          <w:p>
            <w:pPr>
              <w:pStyle w:val="TableContents"/>
            </w:pPr>
            <w:r>
              <w:t>Requires hazards identified during constructability reviews to be documented with defined controls, forming the basis for Safe Work Methodology Statements for high-risk activities.</w:t>
            </w:r>
          </w:p>
        </w:tc>
        <w:tc>
          <w:tcPr/>
          <w:p>
            <w:pPr>
              <w:pStyle w:val="TableContents"/>
            </w:pPr>
            <w:r>
              <w:t>Full</w:t>
            </w:r>
          </w:p>
        </w:tc>
      </w:tr>
      <w:tr>
        <w:tc>
          <w:tcPr/>
          <w:p>
            <w:pPr>
              <w:pStyle w:val="TableContents"/>
            </w:pPr>
            <w:r>
              <w:rPr>
                <w:b/>
                <w:bCs/>
                <w:color w:val="0059D1"/>
              </w:rPr>
              <w:t>[INSERT: section]</w:t>
            </w:r>
          </w:p>
        </w:tc>
        <w:tc>
          <w:tcPr/>
          <w:p>
            <w:pPr>
              <w:pStyle w:val="TableContents"/>
            </w:pPr>
            <w:r>
              <w:t>Appendix C C-1 §25.3</w:t>
            </w:r>
          </w:p>
        </w:tc>
        <w:tc>
          <w:tcPr/>
          <w:p>
            <w:pPr>
              <w:pStyle w:val="TableContents"/>
            </w:pPr>
            <w:r>
              <w:t>Requires HAZID and Level 2 Risk and Opportunity Assessment Workshops before commencement of work at site, with Terms of Reference and reports distributed within 30 days, including a dedicated human-energy interaction node.</w:t>
            </w:r>
          </w:p>
        </w:tc>
        <w:tc>
          <w:tcPr/>
          <w:p>
            <w:pPr>
              <w:pStyle w:val="TableContents"/>
            </w:pPr>
            <w:r>
              <w:t>Full</w:t>
            </w:r>
          </w:p>
        </w:tc>
      </w:tr>
      <w:tr>
        <w:tc>
          <w:tcPr/>
          <w:p>
            <w:pPr>
              <w:pStyle w:val="TableContents"/>
            </w:pPr>
            <w:r>
              <w:rPr>
                <w:b/>
                <w:bCs/>
                <w:color w:val="0059D1"/>
              </w:rPr>
              <w:t>[INSERT: section]</w:t>
            </w:r>
          </w:p>
        </w:tc>
        <w:tc>
          <w:tcPr/>
          <w:p>
            <w:pPr>
              <w:pStyle w:val="TableContents"/>
            </w:pPr>
            <w:r>
              <w:t>Appendix C C-1 §25.4</w:t>
            </w:r>
          </w:p>
        </w:tc>
        <w:tc>
          <w:tcPr/>
          <w:p>
            <w:pPr>
              <w:pStyle w:val="TableContents"/>
            </w:pPr>
            <w:r>
              <w:t>Defines the project JHA process including mandatory use of the RT 5×5 Risk Matrix, minimum fields, and the requirement that no new task commences without a pre-start meeting referencing the relevant JHA and permit.</w:t>
            </w:r>
          </w:p>
        </w:tc>
        <w:tc>
          <w:tcPr/>
          <w:p>
            <w:pPr>
              <w:pStyle w:val="TableContents"/>
            </w:pPr>
            <w:r>
              <w:t>Full</w:t>
            </w:r>
          </w:p>
        </w:tc>
      </w:tr>
      <w:tr>
        <w:tc>
          <w:tcPr/>
          <w:p>
            <w:pPr>
              <w:pStyle w:val="TableContents"/>
            </w:pPr>
            <w:r>
              <w:rPr>
                <w:b/>
                <w:bCs/>
                <w:color w:val="0059D1"/>
              </w:rPr>
              <w:t>[INSERT: section]</w:t>
            </w:r>
          </w:p>
        </w:tc>
        <w:tc>
          <w:tcPr/>
          <w:p>
            <w:pPr>
              <w:pStyle w:val="TableContents"/>
            </w:pPr>
            <w:r>
              <w:t>Appendix C C-1 §25.5</w:t>
            </w:r>
          </w:p>
        </w:tc>
        <w:tc>
          <w:tcPr/>
          <w:p>
            <w:pPr>
              <w:pStyle w:val="TableContents"/>
            </w:pPr>
            <w:r>
              <w:t>Requires a structured hazard observation programme for all project personnel with defined action assignment, tracking, and closeout.</w:t>
            </w:r>
          </w:p>
        </w:tc>
        <w:tc>
          <w:tcPr/>
          <w:p>
            <w:pPr>
              <w:pStyle w:val="TableContents"/>
            </w:pPr>
            <w:r>
              <w:t>Full</w:t>
            </w:r>
          </w:p>
        </w:tc>
      </w:tr>
      <w:tr>
        <w:tc>
          <w:tcPr/>
          <w:p>
            <w:pPr>
              <w:pStyle w:val="TableContents"/>
            </w:pPr>
            <w:r>
              <w:rPr>
                <w:b/>
                <w:bCs/>
                <w:color w:val="0059D1"/>
              </w:rPr>
              <w:t>[INSERT: section]</w:t>
            </w:r>
          </w:p>
        </w:tc>
        <w:tc>
          <w:tcPr/>
          <w:p>
            <w:pPr>
              <w:pStyle w:val="TableContents"/>
            </w:pPr>
            <w:r>
              <w:t>Appendix C C-1 §25.6.1</w:t>
            </w:r>
          </w:p>
        </w:tc>
        <w:tc>
          <w:tcPr/>
          <w:p>
            <w:pPr>
              <w:pStyle w:val="TableContents"/>
            </w:pPr>
            <w:r>
              <w:t>Requires that all changes to the project organisation, activities, processes, or documentation that introduce new hazards or remove existing controls are assessed through the Management of Change process before work continues.</w:t>
            </w:r>
          </w:p>
        </w:tc>
        <w:tc>
          <w:tcPr/>
          <w:p>
            <w:pPr>
              <w:pStyle w:val="TableContents"/>
            </w:pPr>
            <w:r>
              <w:t>Full</w:t>
            </w:r>
          </w:p>
        </w:tc>
      </w:tr>
      <w:tr>
        <w:tc>
          <w:tcPr/>
          <w:p>
            <w:pPr>
              <w:pStyle w:val="TableContents"/>
            </w:pPr>
            <w:r>
              <w:rPr>
                <w:b/>
                <w:bCs/>
                <w:color w:val="0059D1"/>
              </w:rPr>
              <w:t>[INSERT: section]</w:t>
            </w:r>
          </w:p>
        </w:tc>
        <w:tc>
          <w:tcPr/>
          <w:p>
            <w:pPr>
              <w:pStyle w:val="TableContents"/>
            </w:pPr>
            <w:r>
              <w:t>Appendix C C-1 §25.6.2</w:t>
            </w:r>
          </w:p>
        </w:tc>
        <w:tc>
          <w:tcPr/>
          <w:p>
            <w:pPr>
              <w:pStyle w:val="TableContents"/>
            </w:pPr>
            <w:r>
              <w:t>Requires that all changes identified through the MoC process are communicated to the Company and all affected project personnel before implementation.</w:t>
            </w:r>
          </w:p>
        </w:tc>
        <w:tc>
          <w:tcPr/>
          <w:p>
            <w:pPr>
              <w:pStyle w:val="TableContents"/>
            </w:pPr>
            <w:r>
              <w:t>Full</w:t>
            </w:r>
          </w:p>
        </w:tc>
      </w:tr>
      <w:tr>
        <w:tc>
          <w:tcPr/>
          <w:p>
            <w:pPr>
              <w:pStyle w:val="TableContents"/>
            </w:pPr>
            <w:r>
              <w:rPr>
                <w:b/>
                <w:bCs/>
                <w:color w:val="0059D1"/>
              </w:rPr>
              <w:t>[INSERT: section]</w:t>
            </w:r>
          </w:p>
        </w:tc>
        <w:tc>
          <w:tcPr/>
          <w:p>
            <w:pPr>
              <w:pStyle w:val="TableContents"/>
            </w:pPr>
            <w:r>
              <w:t>Appendix C C-1 §27.2</w:t>
            </w:r>
          </w:p>
        </w:tc>
        <w:tc>
          <w:tcPr/>
          <w:p>
            <w:pPr>
              <w:pStyle w:val="TableContents"/>
            </w:pPr>
            <w:r>
              <w:t>Requires appointment of an FPP Sponsor at Project Director level and an FPP Implementation Lead at HSESC Manager level before mobilisation.</w:t>
            </w:r>
          </w:p>
        </w:tc>
        <w:tc>
          <w:tcPr/>
          <w:p>
            <w:pPr>
              <w:pStyle w:val="TableContents"/>
            </w:pPr>
            <w:r>
              <w:t>Full</w:t>
            </w:r>
          </w:p>
        </w:tc>
      </w:tr>
      <w:tr>
        <w:tc>
          <w:tcPr/>
          <w:p>
            <w:pPr>
              <w:pStyle w:val="TableContents"/>
            </w:pPr>
            <w:r>
              <w:rPr>
                <w:b/>
                <w:bCs/>
                <w:color w:val="0059D1"/>
              </w:rPr>
              <w:t>[INSERT: section]</w:t>
            </w:r>
          </w:p>
        </w:tc>
        <w:tc>
          <w:tcPr/>
          <w:p>
            <w:pPr>
              <w:pStyle w:val="TableContents"/>
            </w:pPr>
            <w:r>
              <w:t>Appendix C C-1 §27.3</w:t>
            </w:r>
          </w:p>
        </w:tc>
        <w:tc>
          <w:tcPr/>
          <w:p>
            <w:pPr>
              <w:pStyle w:val="TableContents"/>
            </w:pPr>
            <w:r>
              <w:t>Requires a pre-mobilisation FPP kick-off workshop addressing activities and conditions with the highest fatality potential, attended by all supervisor-level personnel and above.</w:t>
            </w:r>
          </w:p>
        </w:tc>
        <w:tc>
          <w:tcPr/>
          <w:p>
            <w:pPr>
              <w:pStyle w:val="TableContents"/>
            </w:pPr>
            <w:r>
              <w:t>Full</w:t>
            </w:r>
          </w:p>
        </w:tc>
      </w:tr>
      <w:tr>
        <w:tc>
          <w:tcPr/>
          <w:p>
            <w:pPr>
              <w:pStyle w:val="TableContents"/>
            </w:pPr>
            <w:r>
              <w:rPr>
                <w:b/>
                <w:bCs/>
                <w:color w:val="0059D1"/>
              </w:rPr>
              <w:t>[INSERT: section]</w:t>
            </w:r>
          </w:p>
        </w:tc>
        <w:tc>
          <w:tcPr/>
          <w:p>
            <w:pPr>
              <w:pStyle w:val="TableContents"/>
            </w:pPr>
            <w:r>
              <w:t>Appendix C C-1 §27.4</w:t>
            </w:r>
          </w:p>
        </w:tc>
        <w:tc>
          <w:tcPr/>
          <w:p>
            <w:pPr>
              <w:pStyle w:val="TableContents"/>
            </w:pPr>
            <w:r>
              <w:t>Requires FPP in-field inspections at a minimum frequency of once every eight weeks throughout execution, with all supervisor-level and above personnel participating.</w:t>
            </w:r>
          </w:p>
        </w:tc>
        <w:tc>
          <w:tcPr/>
          <w:p>
            <w:pPr>
              <w:pStyle w:val="TableContents"/>
            </w:pPr>
            <w:r>
              <w:t>Full</w:t>
            </w:r>
          </w:p>
        </w:tc>
      </w:tr>
      <w:tr>
        <w:tc>
          <w:tcPr/>
          <w:p>
            <w:pPr>
              <w:pStyle w:val="TableContents"/>
            </w:pPr>
            <w:r>
              <w:rPr>
                <w:b/>
                <w:bCs/>
                <w:color w:val="0059D1"/>
              </w:rPr>
              <w:t>[INSERT: section]</w:t>
            </w:r>
          </w:p>
        </w:tc>
        <w:tc>
          <w:tcPr/>
          <w:p>
            <w:pPr>
              <w:pStyle w:val="TableContents"/>
            </w:pPr>
            <w:r>
              <w:t>Appendix C C-1 §27.5</w:t>
            </w:r>
          </w:p>
        </w:tc>
        <w:tc>
          <w:tcPr/>
          <w:p>
            <w:pPr>
              <w:pStyle w:val="TableContents"/>
            </w:pPr>
            <w:r>
              <w:t>Requires a documented FPP schedule established before mobilisation, including kick-off workshop, eight-weekly in-field inspections, and an FPP actions review forum at each HSESC performance meeting.</w:t>
            </w:r>
          </w:p>
        </w:tc>
        <w:tc>
          <w:tcPr/>
          <w:p>
            <w:pPr>
              <w:pStyle w:val="TableContents"/>
            </w:pPr>
            <w:r>
              <w:t>Full</w:t>
            </w:r>
          </w:p>
        </w:tc>
      </w:tr>
      <w:tr>
        <w:tc>
          <w:tcPr/>
          <w:p>
            <w:pPr>
              <w:pStyle w:val="TableContents"/>
            </w:pPr>
            <w:r>
              <w:rPr>
                <w:b/>
                <w:bCs/>
                <w:color w:val="0059D1"/>
              </w:rPr>
              <w:t>[INSERT: section]</w:t>
            </w:r>
          </w:p>
        </w:tc>
        <w:tc>
          <w:tcPr/>
          <w:p>
            <w:pPr>
              <w:pStyle w:val="TableContents"/>
            </w:pPr>
            <w:r>
              <w:t>Appendix C C-1 §27.6</w:t>
            </w:r>
          </w:p>
        </w:tc>
        <w:tc>
          <w:tcPr/>
          <w:p>
            <w:pPr>
              <w:pStyle w:val="TableContents"/>
            </w:pPr>
            <w:r>
              <w:t>Requires all FPP actions to be assigned an owner and due date, tracked to closure, and reported at each project HSESC performance meeting and included in the monthly HSESC performance report.</w:t>
            </w:r>
          </w:p>
        </w:tc>
        <w:tc>
          <w:tcPr/>
          <w:p>
            <w:pPr>
              <w:pStyle w:val="TableContents"/>
            </w:pPr>
            <w:r>
              <w:t>Full</w:t>
            </w:r>
          </w:p>
        </w:tc>
      </w:tr>
      <w:tr>
        <w:tc>
          <w:tcPr/>
          <w:p>
            <w:pPr>
              <w:pStyle w:val="TableContents"/>
            </w:pPr>
            <w:r>
              <w:rPr>
                <w:b/>
                <w:bCs/>
                <w:color w:val="0059D1"/>
              </w:rPr>
              <w:t>[INSERT: section]</w:t>
            </w:r>
          </w:p>
        </w:tc>
        <w:tc>
          <w:tcPr/>
          <w:p>
            <w:pPr>
              <w:pStyle w:val="TableContents"/>
            </w:pPr>
            <w:r>
              <w:t>Appendix C C-1 §27.8</w:t>
            </w:r>
          </w:p>
        </w:tc>
        <w:tc>
          <w:tcPr/>
          <w:p>
            <w:pPr>
              <w:pStyle w:val="TableContents"/>
            </w:pPr>
            <w:r>
              <w:t>Requires the CRM verification programme to be integrated with FPP activities, with the CRM verification schedule reviewed at each FPP actions review forum.</w:t>
            </w:r>
          </w:p>
        </w:tc>
        <w:tc>
          <w:tcPr/>
          <w:p>
            <w:pPr>
              <w:pStyle w:val="TableContents"/>
            </w:pPr>
            <w:r>
              <w:t>Full</w:t>
            </w:r>
          </w:p>
        </w:tc>
      </w:tr>
      <w:tr>
        <w:tc>
          <w:tcPr/>
          <w:p>
            <w:pPr>
              <w:pStyle w:val="TableContents"/>
            </w:pPr>
            <w:r>
              <w:rPr>
                <w:b/>
                <w:bCs/>
                <w:color w:val="0059D1"/>
              </w:rPr>
              <w:t>[INSERT: section]</w:t>
            </w:r>
          </w:p>
        </w:tc>
        <w:tc>
          <w:tcPr/>
          <w:p>
            <w:pPr>
              <w:pStyle w:val="TableContents"/>
            </w:pPr>
            <w:r>
              <w:t>Appendix C C-1 §27.10</w:t>
            </w:r>
          </w:p>
        </w:tc>
        <w:tc>
          <w:tcPr/>
          <w:p>
            <w:pPr>
              <w:pStyle w:val="TableContents"/>
            </w:pPr>
            <w:r>
              <w:t>Requires FPP participant lists to be confirmed by the HSESC Manager before each activity, with multi-disciplinary participation from both Company and Contractor organisations.</w:t>
            </w:r>
          </w:p>
        </w:tc>
        <w:tc>
          <w:tcPr/>
          <w:p>
            <w:pPr>
              <w:pStyle w:val="TableContents"/>
            </w:pPr>
            <w:r>
              <w:t>Full</w:t>
            </w:r>
          </w:p>
        </w:tc>
      </w:tr>
      <w:tr>
        <w:tc>
          <w:tcPr/>
          <w:p>
            <w:pPr>
              <w:pStyle w:val="TableContents"/>
            </w:pPr>
            <w:r>
              <w:rPr>
                <w:b/>
                <w:bCs/>
                <w:color w:val="0059D1"/>
              </w:rPr>
              <w:t>[INSERT: section]</w:t>
            </w:r>
          </w:p>
        </w:tc>
        <w:tc>
          <w:tcPr/>
          <w:p>
            <w:pPr>
              <w:pStyle w:val="TableContents"/>
            </w:pPr>
            <w:r>
              <w:t>Appendix C C-1 §33.1</w:t>
            </w:r>
          </w:p>
        </w:tc>
        <w:tc>
          <w:tcPr/>
          <w:p>
            <w:pPr>
              <w:pStyle w:val="TableContents"/>
            </w:pPr>
            <w:r>
              <w:t>Requires a comprehensive security risk assessment covering all work locations, transport routes, and supply chain nodes, documented in the project risk register.</w:t>
            </w:r>
          </w:p>
        </w:tc>
        <w:tc>
          <w:tcPr/>
          <w:p>
            <w:pPr>
              <w:pStyle w:val="TableContents"/>
            </w:pPr>
            <w:r>
              <w:t>Full</w:t>
            </w:r>
          </w:p>
        </w:tc>
      </w:tr>
      <w:tr>
        <w:tc>
          <w:tcPr/>
          <w:p>
            <w:pPr>
              <w:pStyle w:val="TableContents"/>
            </w:pPr>
            <w:r>
              <w:rPr>
                <w:b/>
                <w:bCs/>
                <w:color w:val="0059D1"/>
              </w:rPr>
              <w:t>[INSERT: section]</w:t>
            </w:r>
          </w:p>
        </w:tc>
        <w:tc>
          <w:tcPr/>
          <w:p>
            <w:pPr>
              <w:pStyle w:val="TableContents"/>
            </w:pPr>
            <w:r>
              <w:t>Appendix C C-3 §73.0.1</w:t>
            </w:r>
          </w:p>
        </w:tc>
        <w:tc>
          <w:tcPr/>
          <w:p>
            <w:pPr>
              <w:pStyle w:val="TableContents"/>
            </w:pPr>
            <w:r>
              <w:t>Requires participation in the Company CRM programme, defining critical risk exposures, CRM training, a deployment team, and roles and responsibilities for critical control verification.</w:t>
            </w:r>
          </w:p>
        </w:tc>
        <w:tc>
          <w:tcPr/>
          <w:p>
            <w:pPr>
              <w:pStyle w:val="TableContents"/>
            </w:pPr>
            <w:r>
              <w:t>Full</w:t>
            </w:r>
          </w:p>
        </w:tc>
      </w:tr>
      <w:tr>
        <w:tc>
          <w:tcPr/>
          <w:p>
            <w:pPr>
              <w:pStyle w:val="TableContents"/>
            </w:pPr>
            <w:r>
              <w:rPr>
                <w:b/>
                <w:bCs/>
                <w:color w:val="0059D1"/>
              </w:rPr>
              <w:t>[INSERT: section]</w:t>
            </w:r>
          </w:p>
        </w:tc>
        <w:tc>
          <w:tcPr/>
          <w:p>
            <w:pPr>
              <w:pStyle w:val="TableContents"/>
            </w:pPr>
            <w:r>
              <w:t>Appendix C C-3 §73.1.1</w:t>
            </w:r>
          </w:p>
        </w:tc>
        <w:tc>
          <w:tcPr/>
          <w:p>
            <w:pPr>
              <w:pStyle w:val="TableContents"/>
            </w:pPr>
            <w:r>
              <w:t>Requires the site risk profile to be monitored and adjusted, with CRM tools kept current via the Forwood portal and integrated into all risk assessment reviews.</w:t>
            </w:r>
          </w:p>
        </w:tc>
        <w:tc>
          <w:tcPr/>
          <w:p>
            <w:pPr>
              <w:pStyle w:val="TableContents"/>
            </w:pPr>
            <w:r>
              <w:t>Full</w:t>
            </w:r>
          </w:p>
        </w:tc>
      </w:tr>
      <w:tr>
        <w:tc>
          <w:tcPr/>
          <w:p>
            <w:pPr>
              <w:pStyle w:val="TableContents"/>
            </w:pPr>
            <w:r>
              <w:rPr>
                <w:b/>
                <w:bCs/>
                <w:color w:val="0059D1"/>
              </w:rPr>
              <w:t>[INSERT: section]</w:t>
            </w:r>
          </w:p>
        </w:tc>
        <w:tc>
          <w:tcPr/>
          <w:p>
            <w:pPr>
              <w:pStyle w:val="TableContents"/>
            </w:pPr>
            <w:r>
              <w:t>Appendix C C-3 §73.1.6</w:t>
            </w:r>
          </w:p>
        </w:tc>
        <w:tc>
          <w:tcPr/>
          <w:p>
            <w:pPr>
              <w:pStyle w:val="TableContents"/>
            </w:pPr>
            <w:r>
              <w:t>Requires appropriate CCVS, CCFV, and CCC coverage for all identified CRM risks to be built into project schedules and leadership activities.</w:t>
            </w:r>
          </w:p>
        </w:tc>
        <w:tc>
          <w:tcPr/>
          <w:p>
            <w:pPr>
              <w:pStyle w:val="TableContents"/>
            </w:pPr>
            <w:r>
              <w:t>Full</w:t>
            </w:r>
          </w:p>
        </w:tc>
      </w:tr>
      <w:tr>
        <w:tc>
          <w:tcPr/>
          <w:p>
            <w:pPr>
              <w:pStyle w:val="TableContents"/>
            </w:pPr>
            <w:r>
              <w:rPr>
                <w:b/>
                <w:bCs/>
                <w:color w:val="0059D1"/>
              </w:rPr>
              <w:t>[INSERT: section]</w:t>
            </w:r>
          </w:p>
        </w:tc>
        <w:tc>
          <w:tcPr/>
          <w:p>
            <w:pPr>
              <w:pStyle w:val="TableContents"/>
            </w:pPr>
            <w:r>
              <w:t>Appendix C C-3 §75.1.1</w:t>
            </w:r>
          </w:p>
        </w:tc>
        <w:tc>
          <w:tcPr/>
          <w:p>
            <w:pPr>
              <w:pStyle w:val="TableContents"/>
            </w:pPr>
            <w:r>
              <w:t>Requires completion of Company-supplied CRM training before commencement of work, with practical CRM application by work crews within two weeks of mobilisation.</w:t>
            </w:r>
          </w:p>
        </w:tc>
        <w:tc>
          <w:tcPr/>
          <w:p>
            <w:pPr>
              <w:pStyle w:val="TableContents"/>
            </w:pPr>
            <w:r>
              <w:t>Full</w:t>
            </w:r>
          </w:p>
        </w:tc>
      </w:tr>
      <w:tr>
        <w:tc>
          <w:tcPr/>
          <w:p>
            <w:pPr>
              <w:pStyle w:val="TableContents"/>
            </w:pPr>
            <w:r>
              <w:rPr>
                <w:b/>
                <w:bCs/>
                <w:color w:val="0059D1"/>
              </w:rPr>
              <w:t>[INSERT: section]</w:t>
            </w:r>
          </w:p>
        </w:tc>
        <w:tc>
          <w:tcPr/>
          <w:p>
            <w:pPr>
              <w:pStyle w:val="TableContents"/>
            </w:pPr>
            <w:r>
              <w:t>Appendix C C-3 §76.1</w:t>
            </w:r>
          </w:p>
        </w:tc>
        <w:tc>
          <w:tcPr/>
          <w:p>
            <w:pPr>
              <w:pStyle w:val="TableContents"/>
            </w:pPr>
            <w:r>
              <w:t>Requires identification of CRM Champions within the project organisation to support CRM implementation and provide SME coaching in critical risk areas.</w:t>
            </w:r>
          </w:p>
        </w:tc>
        <w:tc>
          <w:tcPr/>
          <w:p>
            <w:pPr>
              <w:pStyle w:val="TableContents"/>
            </w:pPr>
            <w:r>
              <w:t>Full</w:t>
            </w:r>
          </w:p>
        </w:tc>
      </w:tr>
      <w:tr>
        <w:tc>
          <w:tcPr/>
          <w:p>
            <w:pPr>
              <w:pStyle w:val="TableContents"/>
            </w:pPr>
            <w:r>
              <w:rPr>
                <w:b/>
                <w:bCs/>
                <w:color w:val="0059D1"/>
              </w:rPr>
              <w:t>[INSERT: section]</w:t>
            </w:r>
          </w:p>
        </w:tc>
        <w:tc>
          <w:tcPr/>
          <w:p>
            <w:pPr>
              <w:pStyle w:val="TableContents"/>
            </w:pPr>
            <w:r>
              <w:t>Appendix C C-3 §79.0.1</w:t>
            </w:r>
          </w:p>
        </w:tc>
        <w:tc>
          <w:tcPr/>
          <w:p>
            <w:pPr>
              <w:pStyle w:val="TableContents"/>
            </w:pPr>
            <w:r>
              <w:t>Requires CRM information to be incorporated into pre-start meeting discussions, with pre-start boards recording daily critical risk activities, the nature of the risk, and required critical controls.</w:t>
            </w:r>
          </w:p>
        </w:tc>
        <w:tc>
          <w:tcPr/>
          <w:p>
            <w:pPr>
              <w:pStyle w:val="TableContents"/>
            </w:pPr>
            <w:r>
              <w:t>Full</w:t>
            </w:r>
          </w:p>
        </w:tc>
      </w:tr>
      <w:tr>
        <w:tc>
          <w:tcPr/>
          <w:p>
            <w:pPr>
              <w:pStyle w:val="TableContents"/>
            </w:pPr>
            <w:r>
              <w:rPr>
                <w:b/>
                <w:bCs/>
                <w:color w:val="0059D1"/>
              </w:rPr>
              <w:t>[INSERT: section]</w:t>
            </w:r>
          </w:p>
        </w:tc>
        <w:tc>
          <w:tcPr/>
          <w:p>
            <w:pPr>
              <w:pStyle w:val="TableContents"/>
            </w:pPr>
            <w:r>
              <w:t>Appendix C C-3 §81.1.1</w:t>
            </w:r>
          </w:p>
        </w:tc>
        <w:tc>
          <w:tcPr/>
          <w:p>
            <w:pPr>
              <w:pStyle w:val="TableContents"/>
            </w:pPr>
            <w:r>
              <w:t>Requires monthly CRM data analysis posted to notice boards, CRM statistics included in monthly HSESC performance reports, and weekly Forwood portal reports reviewing performance against non-compliance and completion of field verifications.</w:t>
            </w:r>
          </w:p>
        </w:tc>
        <w:tc>
          <w:tcPr/>
          <w:p>
            <w:pPr>
              <w:pStyle w:val="TableContents"/>
            </w:pPr>
            <w:r>
              <w:t>Full</w:t>
            </w:r>
          </w:p>
        </w:tc>
      </w:tr>
      <w:tr>
        <w:tc>
          <w:tcPr/>
          <w:p>
            <w:pPr>
              <w:pStyle w:val="TableContents"/>
            </w:pPr>
            <w:r>
              <w:rPr>
                <w:b/>
                <w:bCs/>
                <w:color w:val="0059D1"/>
              </w:rPr>
              <w:t>[INSERT: section]</w:t>
            </w:r>
          </w:p>
        </w:tc>
        <w:tc>
          <w:tcPr/>
          <w:p>
            <w:pPr>
              <w:pStyle w:val="TableContents"/>
            </w:pPr>
            <w:r>
              <w:t>ICMM ICMM Principle 4 – Risk Management</w:t>
            </w:r>
          </w:p>
        </w:tc>
        <w:tc>
          <w:tcPr/>
          <w:p>
            <w:pPr>
              <w:pStyle w:val="TableContents"/>
            </w:pPr>
            <w:r>
              <w:t>Requires implementation of effective risk management strategies based on sound science that account for stakeholder perceptions of risk and are consistent with recognised international standards.</w:t>
            </w:r>
          </w:p>
        </w:tc>
        <w:tc>
          <w:tcPr/>
          <w:p>
            <w:pPr>
              <w:pStyle w:val="TableContents"/>
            </w:pPr>
            <w:r>
              <w:t>Full</w:t>
            </w:r>
          </w:p>
        </w:tc>
      </w:tr>
      <w:tr>
        <w:tc>
          <w:tcPr/>
          <w:p>
            <w:pPr>
              <w:pStyle w:val="TableContents"/>
            </w:pPr>
            <w:r>
              <w:rPr>
                <w:b/>
                <w:bCs/>
                <w:color w:val="0059D1"/>
              </w:rPr>
              <w:t>[INSERT: section]</w:t>
            </w:r>
          </w:p>
        </w:tc>
        <w:tc>
          <w:tcPr/>
          <w:p>
            <w:pPr>
              <w:pStyle w:val="TableContents"/>
            </w:pPr>
            <w:r>
              <w:t>IFC PS1 IFC PS1 §7</w:t>
            </w:r>
          </w:p>
        </w:tc>
        <w:tc>
          <w:tcPr/>
          <w:p>
            <w:pPr>
              <w:pStyle w:val="TableContents"/>
            </w:pPr>
            <w:r>
              <w:t>Requires the risk management process to apply across the full project lifecycle and address environmental, social, health, safety, and security risks in an integrated manner.</w:t>
            </w:r>
          </w:p>
        </w:tc>
        <w:tc>
          <w:tcPr/>
          <w:p>
            <w:pPr>
              <w:pStyle w:val="TableContents"/>
            </w:pPr>
            <w:r>
              <w:t>Full</w:t>
            </w:r>
          </w:p>
        </w:tc>
      </w:tr>
      <w:tr>
        <w:tc>
          <w:tcPr/>
          <w:p>
            <w:pPr>
              <w:pStyle w:val="TableContents"/>
            </w:pPr>
            <w:r>
              <w:rPr>
                <w:b/>
                <w:bCs/>
                <w:color w:val="0059D1"/>
              </w:rPr>
              <w:t>[INSERT: section]</w:t>
            </w:r>
          </w:p>
        </w:tc>
        <w:tc>
          <w:tcPr/>
          <w:p>
            <w:pPr>
              <w:pStyle w:val="TableContents"/>
            </w:pPr>
            <w:r>
              <w:t>IFC PS1 IFC PS1 §8</w:t>
            </w:r>
          </w:p>
        </w:tc>
        <w:tc>
          <w:tcPr/>
          <w:p>
            <w:pPr>
              <w:pStyle w:val="TableContents"/>
            </w:pPr>
            <w:r>
              <w:t>Requires that the assessment methodology is consistent with Good International Industry Practice and that specialists with relevant technical and local contextual knowledge are engaged where required.</w:t>
            </w:r>
          </w:p>
        </w:tc>
        <w:tc>
          <w:tcPr/>
          <w:p>
            <w:pPr>
              <w:pStyle w:val="TableContents"/>
            </w:pPr>
            <w:r>
              <w:t>Full</w:t>
            </w:r>
          </w:p>
        </w:tc>
      </w:tr>
      <w:tr>
        <w:tc>
          <w:tcPr/>
          <w:p>
            <w:pPr>
              <w:pStyle w:val="TableContents"/>
            </w:pPr>
            <w:r>
              <w:rPr>
                <w:b/>
                <w:bCs/>
                <w:color w:val="0059D1"/>
              </w:rPr>
              <w:t>[INSERT: section]</w:t>
            </w:r>
          </w:p>
        </w:tc>
        <w:tc>
          <w:tcPr/>
          <w:p>
            <w:pPr>
              <w:pStyle w:val="TableContents"/>
            </w:pPr>
            <w:r>
              <w:t>IFC PS1 IFC PS1 Guidance Note §GN15</w:t>
            </w:r>
          </w:p>
        </w:tc>
        <w:tc>
          <w:tcPr/>
          <w:p>
            <w:pPr>
              <w:pStyle w:val="TableContents"/>
            </w:pPr>
            <w:r>
              <w:t>Requires the risk register to be maintained as a living document, updated when new hazards are identified, controls change, or the project scope or context changes materially.</w:t>
            </w:r>
          </w:p>
        </w:tc>
        <w:tc>
          <w:tcPr/>
          <w:p>
            <w:pPr>
              <w:pStyle w:val="TableContents"/>
            </w:pPr>
            <w:r>
              <w:t>Full</w:t>
            </w:r>
          </w:p>
        </w:tc>
      </w:tr>
      <w:tr>
        <w:tc>
          <w:tcPr/>
          <w:p>
            <w:pPr>
              <w:pStyle w:val="TableContents"/>
            </w:pPr>
            <w:r>
              <w:rPr>
                <w:b/>
                <w:bCs/>
                <w:color w:val="0059D1"/>
              </w:rPr>
              <w:t>[INSERT: section]</w:t>
            </w:r>
          </w:p>
        </w:tc>
        <w:tc>
          <w:tcPr/>
          <w:p>
            <w:pPr>
              <w:pStyle w:val="TableContents"/>
            </w:pPr>
            <w:r>
              <w:t>IFC PS4 IFC PS4 §13</w:t>
            </w:r>
          </w:p>
        </w:tc>
        <w:tc>
          <w:tcPr/>
          <w:p>
            <w:pPr>
              <w:pStyle w:val="TableContents"/>
            </w:pPr>
            <w:r>
              <w:t>Requires the security risk assessment to address potential human rights risks associated with the use of security personnel and include reference to the Voluntary Principles on Security and Human Rights.</w:t>
            </w:r>
          </w:p>
        </w:tc>
        <w:tc>
          <w:tcPr/>
          <w:p>
            <w:pPr>
              <w:pStyle w:val="TableContents"/>
            </w:pPr>
            <w:r>
              <w:t>Full</w:t>
            </w:r>
          </w:p>
        </w:tc>
      </w:tr>
      <w:tr>
        <w:tc>
          <w:tcPr/>
          <w:p>
            <w:pPr>
              <w:pStyle w:val="TableContents"/>
            </w:pPr>
            <w:r>
              <w:rPr>
                <w:b/>
                <w:bCs/>
                <w:color w:val="0059D1"/>
              </w:rPr>
              <w:t>[INSERT: section]</w:t>
            </w:r>
          </w:p>
        </w:tc>
        <w:tc>
          <w:tcPr/>
          <w:p>
            <w:pPr>
              <w:pStyle w:val="TableContents"/>
            </w:pPr>
            <w:r>
              <w:t>TSM TSM – Safe, Healthy and Respectful Workplaces Protocol, Indicator SH2</w:t>
            </w:r>
          </w:p>
        </w:tc>
        <w:tc>
          <w:tcPr/>
          <w:p>
            <w:pPr>
              <w:pStyle w:val="TableContents"/>
            </w:pPr>
            <w:r>
              <w:t>Requires hazard observation data to be used as a leading indicator of safety culture maturity, with trends analysed and reported against targets in monthly HSESC performance reports.</w:t>
            </w:r>
          </w:p>
        </w:tc>
        <w:tc>
          <w:tcPr/>
          <w:p>
            <w:pPr>
              <w:pStyle w:val="TableContents"/>
            </w:pPr>
            <w:r>
              <w:t>Full</w:t>
            </w:r>
          </w:p>
        </w:tc>
      </w:tr>
      <w:tr>
        <w:tc>
          <w:tcPr/>
          <w:p>
            <w:pPr>
              <w:pStyle w:val="TableContents"/>
            </w:pPr>
            <w:r>
              <w:rPr>
                <w:b/>
                <w:bCs/>
                <w:color w:val="0059D1"/>
              </w:rPr>
              <w:t>[INSERT: section]</w:t>
            </w:r>
          </w:p>
        </w:tc>
        <w:tc>
          <w:tcPr/>
          <w:p>
            <w:pPr>
              <w:pStyle w:val="TableContents"/>
            </w:pPr>
            <w:r>
              <w:t>OSHA OSHA RP 2016 – Hazard Identification and Assessment</w:t>
            </w:r>
          </w:p>
        </w:tc>
        <w:tc>
          <w:tcPr/>
          <w:p>
            <w:pPr>
              <w:pStyle w:val="TableContents"/>
            </w:pPr>
            <w:r>
              <w:t>Requires systematic workplace inspections and monitoring data to be included as continuous inputs to the risk register alongside workshop and assessment outputs.</w:t>
            </w:r>
          </w:p>
        </w:tc>
        <w:tc>
          <w:tcPr/>
          <w:p>
            <w:pPr>
              <w:pStyle w:val="TableContents"/>
            </w:pPr>
            <w:r>
              <w:t>Full</w:t>
            </w:r>
          </w:p>
        </w:tc>
      </w:tr>
      <w:tr>
        <w:tc>
          <w:tcPr/>
          <w:p>
            <w:pPr>
              <w:pStyle w:val="TableContents"/>
            </w:pPr>
            <w:r>
              <w:rPr>
                <w:b/>
                <w:bCs/>
                <w:color w:val="0059D1"/>
              </w:rPr>
              <w:t>[INSERT: section]</w:t>
            </w:r>
          </w:p>
        </w:tc>
        <w:tc>
          <w:tcPr/>
          <w:p>
            <w:pPr>
              <w:pStyle w:val="TableContents"/>
            </w:pPr>
            <w:r>
              <w:t>OSHA OSHA RP 2016 – Hazard Prevention and Control</w:t>
            </w:r>
          </w:p>
        </w:tc>
        <w:tc>
          <w:tcPr/>
          <w:p>
            <w:pPr>
              <w:pStyle w:val="TableContents"/>
            </w:pPr>
            <w:r>
              <w:t>Requires JHAs to identify root causes rather than just surface hazards, with selected controls addressing root causes at the highest practicable level of the hierarchy.</w:t>
            </w:r>
          </w:p>
        </w:tc>
        <w:tc>
          <w:tcPr/>
          <w:p>
            <w:pPr>
              <w:pStyle w:val="TableContents"/>
            </w:pPr>
            <w:r>
              <w:t>Full</w:t>
            </w:r>
          </w:p>
        </w:tc>
      </w:tr>
      <w:tr>
        <w:tc>
          <w:tcPr/>
          <w:p>
            <w:pPr>
              <w:pStyle w:val="TableContents"/>
            </w:pPr>
            <w:r>
              <w:rPr>
                <w:b/>
                <w:bCs/>
                <w:color w:val="0059D1"/>
              </w:rPr>
              <w:t>[INSERT: section]</w:t>
            </w:r>
          </w:p>
        </w:tc>
        <w:tc>
          <w:tcPr/>
          <w:p>
            <w:pPr>
              <w:pStyle w:val="TableContents"/>
            </w:pPr>
            <w:r>
              <w:t>OSHA OSHA RP 2016 – Worker Participation</w:t>
            </w:r>
          </w:p>
        </w:tc>
        <w:tc>
          <w:tcPr/>
          <w:p>
            <w:pPr>
              <w:pStyle w:val="TableContents"/>
            </w:pPr>
            <w:r>
              <w:t>Requires workers to be actively encouraged to report hazards without fear of disciplinary measures or negative consequences.</w:t>
            </w:r>
          </w:p>
        </w:tc>
        <w:tc>
          <w:tcPr/>
          <w:p>
            <w:pPr>
              <w:pStyle w:val="TableContents"/>
            </w:pPr>
            <w:r>
              <w:t>Full</w:t>
            </w:r>
          </w:p>
        </w:tc>
      </w:tr>
    </w:tbl>
    <w:p>
      <w:pPr>
        <w:pStyle w:val="Default"/>
      </w:pPr>
    </w:p>
    <w:p>
      <w:pPr>
        <w:pStyle w:val="Heading2Numbered"/>
      </w:pPr>
      <w:r>
        <w:t>19.2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