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Supplier and Contractor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Supplier and Contractor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how the owner-led project selects, onboards, monitors, and manages the HSESC performance of all contractor organisations and suppliers. In the owner-led model, RT carries direct responsibility for ensuring that all parties working under the project management system meet the HSESC standards established for the project - this cannot be delegated to an EPCM intermediary.</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supplier and contractor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contractor and supplier management activities it governs, and the lifecycle phases to which it applies from mobilisation through to demobilisation.</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HSESC obligations it establishes for contractor and supplier management.</w:t>
      </w:r>
    </w:p>
    <w:p>
      <w:pPr>
        <w:pStyle w:val="NormalNumberedtext"/>
      </w:pPr>
      <w:r>
        <w:t>This procedure meets the following purpose requirements:</w:t>
      </w:r>
    </w:p>
    <w:p>
      <w:pPr>
        <w:pStyle w:val="NormalNumberedtext"/>
      </w:pPr>
      <w:r>
        <w:t>This procedure establishes the HSESC requirements for the selection, onboarding, and ongoing monitoring of contractor organisations and the due diligence requirements for suppliers engaged on the project.</w:t>
      </w:r>
    </w:p>
    <w:p>
      <w:pPr>
        <w:pStyle w:val="NormalNumberedtext"/>
      </w:pPr>
      <w:r>
        <w:t>This procedure operationalises the Rio Tinto Appendix C contractor HSESC framework into a documented, project-specific process covering pre-qualification, contractual alignment, performance monitoring, and escalation. It applies to all contractor and subcontractor organisations performing work on the project and to suppliers whose procurement activities carry elevated HSESC risk.</w:t>
      </w:r>
    </w:p>
    <w:p>
      <w:pPr>
        <w:pStyle w:val="NormalNumberedtext"/>
      </w:pPr>
      <w:r>
        <w:t>Accountability for the safety and health performance of contracted workers is retained at the project owner level and is not treated as solely the contractor's responsibility. The project owner exercises the right to review and approve contractor selection on HSESC grounds.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contractor and supplier management activities are governed by this procedure and the lifecycle phases it covers.</w:t>
      </w:r>
    </w:p>
    <w:p>
      <w:pPr>
        <w:pStyle w:val="NormalNumberedtext"/>
      </w:pPr>
      <w:r>
        <w:t>This procedure applies the following scope requirements:</w:t>
      </w:r>
    </w:p>
    <w:p>
      <w:pPr>
        <w:pStyle w:val="NormalNumberedtext"/>
      </w:pPr>
      <w:r>
        <w:t>This procedure governs contractor HSESC pre-qualification and selection, onboarding and requirements communication, and ongoing compliance monitoring from contractor mobilisation through to demobilisation and close-out.</w:t>
      </w:r>
    </w:p>
    <w:p>
      <w:pPr>
        <w:pStyle w:val="NormalNumberedtext"/>
      </w:pPr>
      <w:r>
        <w:t>This procedure governs HSESC due diligence for high-risk suppliers. Suppliers of products and services are outside the Appendix C contractor framework and are managed through the separate HSESC risk management approach for procurement activities defined in Section 5 of this procedure.</w:t>
      </w:r>
    </w:p>
    <w:p>
      <w:pPr>
        <w:pStyle w:val="NormalNumberedtext"/>
      </w:pPr>
      <w:r>
        <w:t>The scope of this procedure starts when a contractor or supplier is identified for engagement and ends when that organisation's scope of work is complete and their personnel have demobilised from site. Risk identification activities supporting contractor engagement are conducted using the methodology defined in [INSERT: Project Document Number].</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contractor and supplier management responsibilities for all project roles, covering the Rio Tinto project team and all contractor organisations from pre-qualification through to close-out.</w:t>
      </w:r>
    </w:p>
    <w:p>
      <w:pPr>
        <w:pStyle w:val="NormalNumberedtext"/>
      </w:pPr>
      <w:r>
        <w:t>Responsibilities for contractor and supplier HSESC management are assigned as follows:</w:t>
      </w:r>
    </w:p>
    <w:p>
      <w:pPr>
        <w:pStyle w:val="NormalNumberedtext"/>
      </w:pPr>
      <w:r>
        <w:t>Table 1: Contractor and Supplier Management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Project Director</w:t>
            </w:r>
          </w:p>
        </w:tc>
        <w:tc>
          <w:tcPr>
            <w:tcW w:type="dxa" w:w="4889"/>
          </w:tcPr>
          <w:p>
            <w:pPr>
              <w:pStyle w:val="TableContents"/>
              <w:spacing w:before="0" w:after="0" w:line="240" w:lineRule="atLeast"/>
            </w:pPr>
            <w:r>
              <w:rPr>
                <w:rFonts w:ascii="Arial" w:hAnsi="Arial" w:cs="Arial" w:eastAsia="Arial"/>
                <w:sz w:val="16"/>
                <w:szCs w:val="16"/>
              </w:rPr>
              <w:t>Approves contractor HSESC pre-qualification outcomes and retains authority to reject contractor selection on HSESC grounds.</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Administers the pre-qualification evaluation process, reviews contractor HSESC plans before mobilisation, and oversees ongoing compliance monitoring.</w:t>
            </w:r>
          </w:p>
        </w:tc>
      </w:tr>
      <w:tr>
        <w:tc>
          <w:tcPr>
            <w:tcW w:type="dxa" w:w="4888"/>
          </w:tcPr>
          <w:p>
            <w:pPr>
              <w:pStyle w:val="TableContents"/>
              <w:spacing w:before="0" w:after="0" w:line="240" w:lineRule="atLeast"/>
            </w:pPr>
            <w:r>
              <w:rPr>
                <w:rFonts w:ascii="Arial" w:hAnsi="Arial" w:cs="Arial" w:eastAsia="Arial"/>
                <w:sz w:val="16"/>
                <w:szCs w:val="16"/>
              </w:rPr>
              <w:t>Package Manager</w:t>
            </w:r>
          </w:p>
        </w:tc>
        <w:tc>
          <w:tcPr>
            <w:tcW w:type="dxa" w:w="4889"/>
          </w:tcPr>
          <w:p>
            <w:pPr>
              <w:pStyle w:val="TableContents"/>
              <w:spacing w:before="0" w:after="0" w:line="240" w:lineRule="atLeast"/>
            </w:pPr>
            <w:r>
              <w:rPr>
                <w:rFonts w:ascii="Arial" w:hAnsi="Arial" w:cs="Arial" w:eastAsia="Arial"/>
                <w:sz w:val="16"/>
                <w:szCs w:val="16"/>
              </w:rPr>
              <w:t>Ensures HSESC requirements are embedded in contract documents and that contractor onboarding is completed before work commences.</w:t>
            </w:r>
          </w:p>
        </w:tc>
      </w:tr>
      <w:tr>
        <w:tc>
          <w:tcPr>
            <w:tcW w:type="dxa" w:w="4888"/>
          </w:tcPr>
          <w:p>
            <w:pPr>
              <w:pStyle w:val="TableContents"/>
              <w:spacing w:before="0" w:after="0" w:line="240" w:lineRule="atLeast"/>
            </w:pPr>
            <w:r>
              <w:rPr>
                <w:rFonts w:ascii="Arial" w:hAnsi="Arial" w:cs="Arial" w:eastAsia="Arial"/>
                <w:sz w:val="16"/>
                <w:szCs w:val="16"/>
              </w:rPr>
              <w:t>HSESC Advisor</w:t>
            </w:r>
          </w:p>
        </w:tc>
        <w:tc>
          <w:tcPr>
            <w:tcW w:type="dxa" w:w="4889"/>
          </w:tcPr>
          <w:p>
            <w:pPr>
              <w:pStyle w:val="TableContents"/>
              <w:spacing w:before="0" w:after="0" w:line="240" w:lineRule="atLeast"/>
            </w:pPr>
            <w:r>
              <w:rPr>
                <w:rFonts w:ascii="Arial" w:hAnsi="Arial" w:cs="Arial" w:eastAsia="Arial"/>
                <w:sz w:val="16"/>
                <w:szCs w:val="16"/>
              </w:rPr>
              <w:t>Conducts contractor compliance inspections, maintains compliance records, and initiates the escalation process when non-compliance thresholds are reached.</w:t>
            </w:r>
          </w:p>
        </w:tc>
      </w:tr>
      <w:tr>
        <w:tc>
          <w:tcPr>
            <w:tcW w:type="dxa" w:w="4888"/>
          </w:tcPr>
          <w:p>
            <w:pPr>
              <w:pStyle w:val="TableContents"/>
              <w:spacing w:before="0" w:after="0" w:line="240" w:lineRule="atLeast"/>
            </w:pPr>
            <w:r>
              <w:rPr>
                <w:rFonts w:ascii="Arial" w:hAnsi="Arial" w:cs="Arial" w:eastAsia="Arial"/>
                <w:sz w:val="16"/>
                <w:szCs w:val="16"/>
              </w:rPr>
              <w:t>Contractor HSESC Representative</w:t>
            </w:r>
          </w:p>
        </w:tc>
        <w:tc>
          <w:tcPr>
            <w:tcW w:type="dxa" w:w="4889"/>
          </w:tcPr>
          <w:p>
            <w:pPr>
              <w:pStyle w:val="TableContents"/>
              <w:spacing w:before="0" w:after="0" w:line="240" w:lineRule="atLeast"/>
            </w:pPr>
            <w:r>
              <w:rPr>
                <w:rFonts w:ascii="Arial" w:hAnsi="Arial" w:cs="Arial" w:eastAsia="Arial"/>
                <w:sz w:val="16"/>
                <w:szCs w:val="16"/>
              </w:rPr>
              <w:t xml:space="preserve">Prepares and submits all required HSESC documentation, implements the contractor HSESC plan, and reports incidents per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b/>
                <w:bCs/>
                <w:color w:val="0059D1"/>
                <w:sz w:val="16"/>
                <w:szCs w:val="16"/>
              </w:rPr>
              <w:t>[INSERT: Procurement Lead or equivalent role]</w:t>
            </w:r>
          </w:p>
        </w:tc>
        <w:tc>
          <w:tcPr>
            <w:tcW w:type="dxa" w:w="4889"/>
          </w:tcPr>
          <w:p>
            <w:pPr>
              <w:pStyle w:val="TableContents"/>
              <w:spacing w:before="0" w:after="0" w:line="240" w:lineRule="atLeast"/>
            </w:pPr>
            <w:r>
              <w:rPr>
                <w:rFonts w:ascii="Arial" w:hAnsi="Arial" w:cs="Arial" w:eastAsia="Arial"/>
                <w:b/>
                <w:bCs/>
                <w:color w:val="0059D1"/>
                <w:sz w:val="16"/>
                <w:szCs w:val="16"/>
              </w:rPr>
              <w:t>[INSERT: Define procurement role responsibilities for supplier HSESC due diligence.]</w:t>
            </w:r>
          </w:p>
        </w:tc>
      </w:tr>
    </w:tbl>
    <w:p>
      <w:pPr>
        <w:pStyle w:val="NormalNumberedtext"/>
      </w:pPr>
    </w:p>
    <w:p>
      <w:pPr>
        <w:pStyle w:val="Heading1Numbered"/>
        <w:numPr>
          <w:ilvl w:val="0"/>
          <w:numId w:val="1"/>
        </w:numPr>
      </w:pPr>
      <w:r>
        <w:rPr>
          <w:rFonts w:ascii="Arial" w:hAnsi="Arial" w:cs="Arial" w:eastAsia="Arial"/>
        </w:rPr>
        <w:t>Pre-qualification and Selection</w:t>
      </w:r>
    </w:p>
    <w:p>
      <w:pPr>
        <w:pStyle w:val="NormalNumberedtext"/>
      </w:pPr>
      <w:r>
        <w:t>This section defines the HSESC evaluation process applied before contractor award, the minimum criteria used in that evaluation, and the proportionality principle governing the depth of requirements applied to each scope.</w:t>
      </w:r>
    </w:p>
    <w:p>
      <w:pPr>
        <w:pStyle w:val="NormalNumberedtext"/>
      </w:pPr>
    </w:p>
    <w:p>
      <w:pPr>
        <w:pStyle w:val="Heading2Numbered"/>
        <w:numPr>
          <w:ilvl w:val="1"/>
          <w:numId w:val="1"/>
        </w:numPr>
      </w:pPr>
      <w:r>
        <w:rPr>
          <w:rFonts w:ascii="Arial" w:hAnsi="Arial" w:cs="Arial" w:eastAsia="Arial"/>
        </w:rPr>
        <w:t>Pre-qualification Evaluation Process</w:t>
      </w:r>
    </w:p>
    <w:p>
      <w:pPr>
        <w:pStyle w:val="NormalNumberedtext"/>
      </w:pPr>
      <w:r>
        <w:t>This section defines how contractor organisations are evaluated for HSESC performance capability before contract award.</w:t>
      </w:r>
    </w:p>
    <w:p>
      <w:pPr>
        <w:pStyle w:val="NormalNumberedtext"/>
      </w:pPr>
      <w:r>
        <w:t>All proposed contractor organisations are evaluated for HSESC performance capability before contract award. A documented evaluation is provided to the relevant project authority before a selection decision is made. The project reserves the right to review and approve contractor selection on HSESC grounds at any point in the procurement process.</w:t>
      </w:r>
    </w:p>
    <w:p>
      <w:pPr>
        <w:pStyle w:val="NormalNumberedtext"/>
      </w:pPr>
      <w:r>
        <w:t>The HSESC Manager conducts or coordinates the HSESC pre-qualification evaluation for each contractor organisation using the project HSESC pre-qualification scorecard. The minimum score required for approval and the weighting applied to each evaluation category are defined in the project-specific scorecard:</w:t>
      </w:r>
    </w:p>
    <w:p>
      <w:pPr>
        <w:pStyle w:val="NormalNumberedtext"/>
      </w:pPr>
      <w:r>
        <w:rPr>
          <w:b/>
          <w:bCs/>
          <w:color w:val="0059D1"/>
        </w:rPr>
        <w:t>[INSERT: pre_qualification_scorecard_reference] — Define the contractor HSESC pre-qualification scorecard for this project — the minimum score required for approval and the criteria weighting. The procedure defines the categories; the project sets the specific criteria and thresholds. Reference the scorecard document number here.</w:t>
      </w:r>
    </w:p>
    <w:p>
      <w:pPr>
        <w:pStyle w:val="NormalNumberedtext"/>
      </w:pPr>
      <w:r>
        <w:t>The risk-based approach to setting contractor HSESC requirements is governed by [INSERT: Project Document Number]. The depth of pre-qualification requirements applied to a contractor scope is proportionate to the HSESC risk associated with that scope. High-risk scopes require more extensive HSESC obligations than low-risk administrative scopes.</w:t>
      </w:r>
    </w:p>
    <w:p>
      <w:pPr>
        <w:pStyle w:val="NormalNumberedtext"/>
      </w:pPr>
    </w:p>
    <w:p>
      <w:pPr>
        <w:pStyle w:val="Heading2Numbered"/>
        <w:numPr>
          <w:ilvl w:val="1"/>
          <w:numId w:val="1"/>
        </w:numPr>
      </w:pPr>
      <w:r>
        <w:rPr>
          <w:rFonts w:ascii="Arial" w:hAnsi="Arial" w:cs="Arial" w:eastAsia="Arial"/>
        </w:rPr>
        <w:t>Minimum HSESC Evaluation Criteria</w:t>
      </w:r>
    </w:p>
    <w:p>
      <w:pPr>
        <w:pStyle w:val="NormalNumberedtext"/>
      </w:pPr>
      <w:r>
        <w:t>This section defines the minimum HSESC criteria applied in every contractor pre-qualification evaluation.</w:t>
      </w:r>
    </w:p>
    <w:p>
      <w:pPr>
        <w:pStyle w:val="NormalNumberedtext"/>
      </w:pPr>
      <w:r>
        <w:t>Every contractor pre-qualification evaluation addresses the following minimum HSESC criteria:</w:t>
      </w:r>
    </w:p>
    <w:p>
      <w:pPr>
        <w:pStyle w:val="NormalNumberedtext"/>
      </w:pPr>
      <w:r>
        <w:t>The minimum evaluation criteria are:</w:t>
      </w:r>
    </w:p>
    <w:p>
      <w:pPr>
        <w:pStyle w:val="NumberedBulletL1"/>
      </w:pPr>
      <w:r>
        <w:t>Safety record and lagging frequency rates, including Total Recordable Injury Frequency Rate (TRIFR) and Lost Time Injury Frequency Rate (LTIFR) for the preceding three years.</w:t>
      </w:r>
    </w:p>
    <w:p>
      <w:pPr>
        <w:pStyle w:val="NumberedBulletL1"/>
      </w:pPr>
      <w:r>
        <w:t>Management system maturity, including certification status and demonstrated implementation evidence.</w:t>
      </w:r>
    </w:p>
    <w:p>
      <w:pPr>
        <w:pStyle w:val="NumberedBulletL1"/>
      </w:pPr>
      <w:r>
        <w:t>Training and competency capability, including systems for managing worker qualifications and licence to operate requirements.</w:t>
      </w:r>
    </w:p>
    <w:p>
      <w:pPr>
        <w:pStyle w:val="NumberedBulletL1"/>
      </w:pPr>
      <w:r>
        <w:t>Incident history, including significant events, fatalities, and regulatory enforcement actions.</w:t>
      </w:r>
    </w:p>
    <w:p>
      <w:pPr>
        <w:pStyle w:val="NumberedBulletL1"/>
      </w:pPr>
      <w:r>
        <w:t>Demonstrated critical risk management programme capability, including evidence of fatal hazard controls and critical control verification.</w:t>
      </w:r>
    </w:p>
    <w:p>
      <w:pPr>
        <w:pStyle w:val="NumberedBulletL1"/>
      </w:pPr>
      <w:r>
        <w:rPr>
          <w:color w:val="C55A11"/>
        </w:rPr>
        <w:t>Environmental management capability, including spill history and environmental licence compliance record.</w:t>
      </w:r>
    </w:p>
    <w:p>
      <w:pPr>
        <w:pStyle w:val="NormalNumberedtext"/>
      </w:pPr>
      <w:r>
        <w:rPr>
          <w:b/>
          <w:bCs/>
          <w:color w:val="0059D1"/>
        </w:rPr>
        <w:t>[INSERT: additional_prequalification_criteria]</w:t>
      </w:r>
    </w:p>
    <w:p>
      <w:pPr>
        <w:pStyle w:val="NormalNumberedtext"/>
      </w:pPr>
      <w:r>
        <w:t>Training and competency requirements communicated to contractor organisations during pre-qualification are defined in [INSERT: Project Document Number]. Contractor incident reporting obligations assessed during pre-qualification are governed by [INSERT: Project Document Number].</w:t>
      </w:r>
    </w:p>
    <w:p>
      <w:pPr>
        <w:pStyle w:val="NormalNumberedtext"/>
      </w:pPr>
    </w:p>
    <w:p>
      <w:pPr>
        <w:pStyle w:val="Heading1Numbered"/>
        <w:numPr>
          <w:ilvl w:val="0"/>
          <w:numId w:val="1"/>
        </w:numPr>
      </w:pPr>
      <w:r>
        <w:rPr>
          <w:rFonts w:ascii="Arial" w:hAnsi="Arial" w:cs="Arial" w:eastAsia="Arial"/>
        </w:rPr>
        <w:t>HSESC Requirements Communication and Alignment</w:t>
      </w:r>
    </w:p>
    <w:p>
      <w:pPr>
        <w:pStyle w:val="NormalNumberedtext"/>
      </w:pPr>
      <w:r>
        <w:t>This section defines how HSESC requirements are communicated to contractor organisations during onboarding, how contractor HSESC plans are aligned to the project management system, and how emergency response is integrated.</w:t>
      </w:r>
    </w:p>
    <w:p>
      <w:pPr>
        <w:pStyle w:val="NormalNumberedtext"/>
      </w:pPr>
    </w:p>
    <w:p>
      <w:pPr>
        <w:pStyle w:val="Heading2Numbered"/>
        <w:numPr>
          <w:ilvl w:val="1"/>
          <w:numId w:val="1"/>
        </w:numPr>
      </w:pPr>
      <w:r>
        <w:rPr>
          <w:rFonts w:ascii="Arial" w:hAnsi="Arial" w:cs="Arial" w:eastAsia="Arial"/>
        </w:rPr>
        <w:t>Contractor Onboarding Requirements</w:t>
      </w:r>
    </w:p>
    <w:p>
      <w:pPr>
        <w:pStyle w:val="NormalNumberedtext"/>
      </w:pPr>
      <w:r>
        <w:t>This section defines the HSESC deliverables each contractor must submit and the alignment process that must be completed before work commences.</w:t>
      </w:r>
    </w:p>
    <w:p>
      <w:pPr>
        <w:pStyle w:val="NormalNumberedtext"/>
      </w:pPr>
      <w:r>
        <w:t>All applicable HSESC requirements are communicated to contractor organisations as part of the onboarding process. Contractor HSESC plans are reviewed and aligned with the project HSESC management system before work commences. No contractor mobilises to site until this alignment is confirmed in writing by the HSESC Manager.</w:t>
      </w:r>
    </w:p>
    <w:p>
      <w:pPr>
        <w:pStyle w:val="NormalNumberedtext"/>
      </w:pPr>
      <w:r>
        <w:t>The HSESC Execution Readiness Plan is prepared by the contractor and agreed with the project owner before work commences at any location. The plan must demonstrate that all HSESC systems, personnel, permits, training, and resources are in place and verified before mobilisation. The plan is submitted and approved in accordance with [INSERT: Project Document Number].</w:t>
      </w:r>
    </w:p>
    <w:p>
      <w:pPr>
        <w:pStyle w:val="NormalNumberedtext"/>
      </w:pPr>
      <w:r>
        <w:t>All Appendix C requirements are communicated to subcontractors as part of the onboarding process. All subcontractor HSESC plans are aligned with the project HSESC Management Plan and meet project owner expectations before work commences. The principal contractor is responsible for administering subcontractor onboarding and confirming alignment to the HSESC Manager.</w:t>
      </w:r>
    </w:p>
    <w:p>
      <w:pPr>
        <w:pStyle w:val="NormalNumberedtext"/>
      </w:pPr>
      <w:r>
        <w:t>The specific deliverables each contractor must submit before mobilisation, together with submission due dates relative to the project programme, are listed below. Submission, review, and approval of all contractor HSESC documents is governed by [INSERT: Project Document Number]:</w:t>
      </w:r>
    </w:p>
    <w:p>
      <w:pPr>
        <w:pStyle w:val="NormalNumberedtext"/>
      </w:pPr>
      <w:r>
        <w:rPr>
          <w:b/>
          <w:bCs/>
          <w:color w:val="0059D1"/>
        </w:rPr>
        <w:t>[INSERT: contractor_mobilisation_deliverables] — List the specific deliverables each contractor must submit before mobilisation and insert submission due dates relative to the project programme. Reference the project Deliverables Schedule RTPR-HSE-REG-0002.</w:t>
      </w:r>
    </w:p>
    <w:p>
      <w:pPr>
        <w:pStyle w:val="NormalNumberedtext"/>
      </w:pPr>
      <w:r>
        <w:t>Table 2: Contractor Pre-Mobilisation HSESC Deliverable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Deliverable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Responsible Party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Submission Due Date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Approving Authority</w:t>
            </w:r>
          </w:p>
        </w:tc>
      </w:tr>
      <w:tr>
        <w:tc>
          <w:tcPr>
            <w:tcW w:type="dxa" w:w="2256"/>
          </w:tcPr>
          <w:p>
            <w:pPr>
              <w:pStyle w:val="TableContents"/>
              <w:spacing w:before="0" w:after="0" w:line="240" w:lineRule="atLeast"/>
            </w:pPr>
            <w:r>
              <w:rPr>
                <w:rFonts w:ascii="Arial" w:hAnsi="Arial" w:cs="Arial" w:eastAsia="Arial"/>
                <w:sz w:val="16"/>
                <w:szCs w:val="16"/>
              </w:rPr>
              <w:t>HSESC Execution Readiness Plan</w:t>
            </w:r>
          </w:p>
        </w:tc>
        <w:tc>
          <w:tcPr>
            <w:tcW w:type="dxa" w:w="2256"/>
          </w:tcPr>
          <w:p>
            <w:pPr>
              <w:pStyle w:val="TableContents"/>
              <w:spacing w:before="0" w:after="0" w:line="240" w:lineRule="atLeast"/>
            </w:pPr>
            <w:r>
              <w:rPr>
                <w:rFonts w:ascii="Arial" w:hAnsi="Arial" w:cs="Arial" w:eastAsia="Arial"/>
                <w:sz w:val="16"/>
                <w:szCs w:val="16"/>
              </w:rPr>
              <w:t>Contractor HSESC Representative</w:t>
            </w:r>
          </w:p>
        </w:tc>
        <w:tc>
          <w:tcPr>
            <w:tcW w:type="dxa" w:w="2256"/>
          </w:tcPr>
          <w:p>
            <w:pPr>
              <w:pStyle w:val="TableContents"/>
              <w:spacing w:before="0" w:after="0" w:line="240" w:lineRule="atLeast"/>
            </w:pPr>
            <w:r>
              <w:rPr>
                <w:rFonts w:ascii="Arial" w:hAnsi="Arial" w:cs="Arial" w:eastAsia="Arial"/>
                <w:b/>
                <w:bCs/>
                <w:color w:val="0059D1"/>
                <w:sz w:val="16"/>
                <w:szCs w:val="16"/>
              </w:rPr>
              <w:t>[INSERT: X weeks before mobilisation — refer RTPR-HSE-REG-0002]</w:t>
            </w:r>
          </w:p>
        </w:tc>
        <w:tc>
          <w:tcPr>
            <w:tcW w:type="dxa" w:w="2258"/>
          </w:tcPr>
          <w:p>
            <w:pPr>
              <w:pStyle w:val="TableContents"/>
              <w:spacing w:before="0" w:after="0" w:line="240" w:lineRule="atLeast"/>
            </w:pPr>
            <w:r>
              <w:rPr>
                <w:rFonts w:ascii="Arial" w:hAnsi="Arial" w:cs="Arial" w:eastAsia="Arial"/>
                <w:sz w:val="16"/>
                <w:szCs w:val="16"/>
              </w:rPr>
              <w:t>HSESC Manager</w:t>
            </w:r>
          </w:p>
        </w:tc>
      </w:tr>
      <w:tr>
        <w:tc>
          <w:tcPr>
            <w:tcW w:type="dxa" w:w="2256"/>
          </w:tcPr>
          <w:p>
            <w:pPr>
              <w:pStyle w:val="TableContents"/>
              <w:spacing w:before="0" w:after="0" w:line="240" w:lineRule="atLeast"/>
            </w:pPr>
            <w:r>
              <w:rPr>
                <w:rFonts w:ascii="Arial" w:hAnsi="Arial" w:cs="Arial" w:eastAsia="Arial"/>
                <w:sz w:val="16"/>
                <w:szCs w:val="16"/>
              </w:rPr>
              <w:t>Contractor HSESC Management Plan</w:t>
            </w:r>
          </w:p>
        </w:tc>
        <w:tc>
          <w:tcPr>
            <w:tcW w:type="dxa" w:w="2256"/>
          </w:tcPr>
          <w:p>
            <w:pPr>
              <w:pStyle w:val="TableContents"/>
              <w:spacing w:before="0" w:after="0" w:line="240" w:lineRule="atLeast"/>
            </w:pPr>
            <w:r>
              <w:rPr>
                <w:rFonts w:ascii="Arial" w:hAnsi="Arial" w:cs="Arial" w:eastAsia="Arial"/>
                <w:sz w:val="16"/>
                <w:szCs w:val="16"/>
              </w:rPr>
              <w:t>Contractor HSESC Representative</w:t>
            </w:r>
          </w:p>
        </w:tc>
        <w:tc>
          <w:tcPr>
            <w:tcW w:type="dxa" w:w="2256"/>
          </w:tcPr>
          <w:p>
            <w:pPr>
              <w:pStyle w:val="TableContents"/>
              <w:spacing w:before="0" w:after="0" w:line="240" w:lineRule="atLeast"/>
            </w:pPr>
            <w:r>
              <w:rPr>
                <w:rFonts w:ascii="Arial" w:hAnsi="Arial" w:cs="Arial" w:eastAsia="Arial"/>
                <w:b/>
                <w:bCs/>
                <w:color w:val="0059D1"/>
                <w:sz w:val="16"/>
                <w:szCs w:val="16"/>
              </w:rPr>
              <w:t>[INSERT: X weeks before mobilisation — refer RTPR-HSE-REG-0002]</w:t>
            </w:r>
          </w:p>
        </w:tc>
        <w:tc>
          <w:tcPr>
            <w:tcW w:type="dxa" w:w="2258"/>
          </w:tcPr>
          <w:p>
            <w:pPr>
              <w:pStyle w:val="TableContents"/>
              <w:spacing w:before="0" w:after="0" w:line="240" w:lineRule="atLeast"/>
            </w:pPr>
            <w:r>
              <w:rPr>
                <w:rFonts w:ascii="Arial" w:hAnsi="Arial" w:cs="Arial" w:eastAsia="Arial"/>
                <w:sz w:val="16"/>
                <w:szCs w:val="16"/>
              </w:rPr>
              <w:t>HSESC Manager</w:t>
            </w:r>
          </w:p>
        </w:tc>
      </w:tr>
      <w:tr>
        <w:tc>
          <w:tcPr>
            <w:tcW w:type="dxa" w:w="2256"/>
          </w:tcPr>
          <w:p>
            <w:pPr>
              <w:pStyle w:val="TableContents"/>
              <w:spacing w:before="0" w:after="0" w:line="240" w:lineRule="atLeast"/>
            </w:pPr>
            <w:r>
              <w:rPr>
                <w:rFonts w:ascii="Arial" w:hAnsi="Arial" w:cs="Arial" w:eastAsia="Arial"/>
                <w:sz w:val="16"/>
                <w:szCs w:val="16"/>
              </w:rPr>
              <w:t>Emergency Response Plan (aligned to project ERP)</w:t>
            </w:r>
          </w:p>
        </w:tc>
        <w:tc>
          <w:tcPr>
            <w:tcW w:type="dxa" w:w="2256"/>
          </w:tcPr>
          <w:p>
            <w:pPr>
              <w:pStyle w:val="TableContents"/>
              <w:spacing w:before="0" w:after="0" w:line="240" w:lineRule="atLeast"/>
            </w:pPr>
            <w:r>
              <w:rPr>
                <w:rFonts w:ascii="Arial" w:hAnsi="Arial" w:cs="Arial" w:eastAsia="Arial"/>
                <w:sz w:val="16"/>
                <w:szCs w:val="16"/>
              </w:rPr>
              <w:t>Contractor HSESC Representative</w:t>
            </w:r>
          </w:p>
        </w:tc>
        <w:tc>
          <w:tcPr>
            <w:tcW w:type="dxa" w:w="2256"/>
          </w:tcPr>
          <w:p>
            <w:pPr>
              <w:pStyle w:val="TableContents"/>
              <w:spacing w:before="0" w:after="0" w:line="240" w:lineRule="atLeast"/>
            </w:pPr>
            <w:r>
              <w:rPr>
                <w:rFonts w:ascii="Arial" w:hAnsi="Arial" w:cs="Arial" w:eastAsia="Arial"/>
                <w:b/>
                <w:bCs/>
                <w:color w:val="0059D1"/>
                <w:sz w:val="16"/>
                <w:szCs w:val="16"/>
              </w:rPr>
              <w:t>[INSERT: X weeks before mobilisation — refer RTPR-HSE-REG-0002]</w:t>
            </w:r>
          </w:p>
        </w:tc>
        <w:tc>
          <w:tcPr>
            <w:tcW w:type="dxa" w:w="2258"/>
          </w:tcPr>
          <w:p>
            <w:pPr>
              <w:pStyle w:val="TableContents"/>
              <w:spacing w:before="0" w:after="0" w:line="240" w:lineRule="atLeast"/>
            </w:pPr>
            <w:r>
              <w:rPr>
                <w:rFonts w:ascii="Arial" w:hAnsi="Arial" w:cs="Arial" w:eastAsia="Arial"/>
                <w:sz w:val="16"/>
                <w:szCs w:val="16"/>
              </w:rPr>
              <w:t>HSESC Manager</w:t>
            </w:r>
          </w:p>
        </w:tc>
      </w:tr>
      <w:tr>
        <w:tc>
          <w:tcPr>
            <w:tcW w:type="dxa" w:w="2256"/>
          </w:tcPr>
          <w:p>
            <w:pPr>
              <w:pStyle w:val="TableContents"/>
              <w:spacing w:before="0" w:after="0" w:line="240" w:lineRule="atLeast"/>
            </w:pPr>
            <w:r>
              <w:rPr>
                <w:rFonts w:ascii="Arial" w:hAnsi="Arial" w:cs="Arial" w:eastAsia="Arial"/>
                <w:sz w:val="16"/>
                <w:szCs w:val="16"/>
              </w:rPr>
              <w:t>Training and Competency Register</w:t>
            </w:r>
          </w:p>
        </w:tc>
        <w:tc>
          <w:tcPr>
            <w:tcW w:type="dxa" w:w="2256"/>
          </w:tcPr>
          <w:p>
            <w:pPr>
              <w:pStyle w:val="TableContents"/>
              <w:spacing w:before="0" w:after="0" w:line="240" w:lineRule="atLeast"/>
            </w:pPr>
            <w:r>
              <w:rPr>
                <w:rFonts w:ascii="Arial" w:hAnsi="Arial" w:cs="Arial" w:eastAsia="Arial"/>
                <w:sz w:val="16"/>
                <w:szCs w:val="16"/>
              </w:rPr>
              <w:t>Contractor HSESC Representative</w:t>
            </w:r>
          </w:p>
        </w:tc>
        <w:tc>
          <w:tcPr>
            <w:tcW w:type="dxa" w:w="2256"/>
          </w:tcPr>
          <w:p>
            <w:pPr>
              <w:pStyle w:val="TableContents"/>
              <w:spacing w:before="0" w:after="0" w:line="240" w:lineRule="atLeast"/>
            </w:pPr>
            <w:r>
              <w:rPr>
                <w:rFonts w:ascii="Arial" w:hAnsi="Arial" w:cs="Arial" w:eastAsia="Arial"/>
                <w:b/>
                <w:bCs/>
                <w:color w:val="0059D1"/>
                <w:sz w:val="16"/>
                <w:szCs w:val="16"/>
              </w:rPr>
              <w:t>[INSERT: X weeks before mobilisation — refer RTPR-HSE-REG-0002]</w:t>
            </w:r>
          </w:p>
        </w:tc>
        <w:tc>
          <w:tcPr>
            <w:tcW w:type="dxa" w:w="2258"/>
          </w:tcPr>
          <w:p>
            <w:pPr>
              <w:pStyle w:val="TableContents"/>
              <w:spacing w:before="0" w:after="0" w:line="240" w:lineRule="atLeast"/>
            </w:pPr>
            <w:r>
              <w:rPr>
                <w:rFonts w:ascii="Arial" w:hAnsi="Arial" w:cs="Arial" w:eastAsia="Arial"/>
                <w:sz w:val="16"/>
                <w:szCs w:val="16"/>
              </w:rPr>
              <w:t>Package Manager</w:t>
            </w:r>
          </w:p>
        </w:tc>
      </w:tr>
      <w:tr>
        <w:tc>
          <w:tcPr>
            <w:tcW w:type="dxa" w:w="2256"/>
          </w:tcPr>
          <w:p>
            <w:pPr>
              <w:pStyle w:val="TableContents"/>
              <w:spacing w:before="0" w:after="0" w:line="240" w:lineRule="atLeast"/>
            </w:pPr>
            <w:r>
              <w:rPr>
                <w:rFonts w:ascii="Arial" w:hAnsi="Arial" w:cs="Arial" w:eastAsia="Arial"/>
                <w:sz w:val="16"/>
                <w:szCs w:val="16"/>
              </w:rPr>
              <w:t>Critical Risk Management Procedures</w:t>
            </w:r>
          </w:p>
        </w:tc>
        <w:tc>
          <w:tcPr>
            <w:tcW w:type="dxa" w:w="2256"/>
          </w:tcPr>
          <w:p>
            <w:pPr>
              <w:pStyle w:val="TableContents"/>
              <w:spacing w:before="0" w:after="0" w:line="240" w:lineRule="atLeast"/>
            </w:pPr>
            <w:r>
              <w:rPr>
                <w:rFonts w:ascii="Arial" w:hAnsi="Arial" w:cs="Arial" w:eastAsia="Arial"/>
                <w:sz w:val="16"/>
                <w:szCs w:val="16"/>
              </w:rPr>
              <w:t>Contractor HSESC Representative</w:t>
            </w:r>
          </w:p>
        </w:tc>
        <w:tc>
          <w:tcPr>
            <w:tcW w:type="dxa" w:w="2256"/>
          </w:tcPr>
          <w:p>
            <w:pPr>
              <w:pStyle w:val="TableContents"/>
              <w:spacing w:before="0" w:after="0" w:line="240" w:lineRule="atLeast"/>
            </w:pPr>
            <w:r>
              <w:rPr>
                <w:rFonts w:ascii="Arial" w:hAnsi="Arial" w:cs="Arial" w:eastAsia="Arial"/>
                <w:b/>
                <w:bCs/>
                <w:color w:val="0059D1"/>
                <w:sz w:val="16"/>
                <w:szCs w:val="16"/>
              </w:rPr>
              <w:t>[INSERT: X weeks before mobilisation — refer RTPR-HSE-REG-0002]</w:t>
            </w:r>
          </w:p>
        </w:tc>
        <w:tc>
          <w:tcPr>
            <w:tcW w:type="dxa" w:w="2258"/>
          </w:tcPr>
          <w:p>
            <w:pPr>
              <w:pStyle w:val="TableContents"/>
              <w:spacing w:before="0" w:after="0" w:line="240" w:lineRule="atLeast"/>
            </w:pPr>
            <w:r>
              <w:rPr>
                <w:rFonts w:ascii="Arial" w:hAnsi="Arial" w:cs="Arial" w:eastAsia="Arial"/>
                <w:sz w:val="16"/>
                <w:szCs w:val="16"/>
              </w:rPr>
              <w:t>HSESC Manager</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deliverable]</w:t>
            </w:r>
          </w:p>
        </w:tc>
        <w:tc>
          <w:tcPr>
            <w:tcW w:type="dxa" w:w="2256"/>
          </w:tcPr>
          <w:p>
            <w:pPr>
              <w:pStyle w:val="TableContents"/>
              <w:spacing w:before="0" w:after="0" w:line="240" w:lineRule="atLeast"/>
            </w:pPr>
            <w:r>
              <w:rPr>
                <w:rFonts w:ascii="Arial" w:hAnsi="Arial" w:cs="Arial" w:eastAsia="Arial"/>
                <w:b/>
                <w:bCs/>
                <w:color w:val="0059D1"/>
                <w:sz w:val="16"/>
                <w:szCs w:val="16"/>
              </w:rPr>
              <w:t>[INSERT: Responsible party]</w:t>
            </w:r>
          </w:p>
        </w:tc>
        <w:tc>
          <w:tcPr>
            <w:tcW w:type="dxa" w:w="2256"/>
          </w:tcPr>
          <w:p>
            <w:pPr>
              <w:pStyle w:val="TableContents"/>
              <w:spacing w:before="0" w:after="0" w:line="240" w:lineRule="atLeast"/>
            </w:pPr>
            <w:r>
              <w:rPr>
                <w:rFonts w:ascii="Arial" w:hAnsi="Arial" w:cs="Arial" w:eastAsia="Arial"/>
                <w:b/>
                <w:bCs/>
                <w:color w:val="0059D1"/>
                <w:sz w:val="16"/>
                <w:szCs w:val="16"/>
              </w:rPr>
              <w:t>[INSERT: Due date]</w:t>
            </w:r>
          </w:p>
        </w:tc>
        <w:tc>
          <w:tcPr>
            <w:tcW w:type="dxa" w:w="2258"/>
          </w:tcPr>
          <w:p>
            <w:pPr>
              <w:pStyle w:val="TableContents"/>
              <w:spacing w:before="0" w:after="0" w:line="240" w:lineRule="atLeast"/>
            </w:pPr>
            <w:r>
              <w:rPr>
                <w:rFonts w:ascii="Arial" w:hAnsi="Arial" w:cs="Arial" w:eastAsia="Arial"/>
                <w:b/>
                <w:bCs/>
                <w:color w:val="0059D1"/>
                <w:sz w:val="16"/>
                <w:szCs w:val="16"/>
              </w:rPr>
              <w:t>[INSERT: Approving authority]</w:t>
            </w:r>
          </w:p>
        </w:tc>
      </w:tr>
    </w:tbl>
    <w:p>
      <w:pPr>
        <w:pStyle w:val="NormalNumberedtext"/>
      </w:pPr>
    </w:p>
    <w:p>
      <w:pPr>
        <w:pStyle w:val="Heading2Numbered"/>
        <w:numPr>
          <w:ilvl w:val="1"/>
          <w:numId w:val="1"/>
        </w:numPr>
      </w:pPr>
      <w:r>
        <w:rPr>
          <w:rFonts w:ascii="Arial" w:hAnsi="Arial" w:cs="Arial" w:eastAsia="Arial"/>
        </w:rPr>
        <w:t>Contractual HSESC Obligations</w:t>
      </w:r>
    </w:p>
    <w:p>
      <w:pPr>
        <w:pStyle w:val="NormalNumberedtext"/>
      </w:pPr>
      <w:r>
        <w:t>This section defines the HSESC obligations embedded in contractual terms for all contractor engagements.</w:t>
      </w:r>
    </w:p>
    <w:p>
      <w:pPr>
        <w:pStyle w:val="NormalNumberedtext"/>
      </w:pPr>
      <w:r>
        <w:t>HSESC obligations are embedded in contractual terms for all contractor engagements. Contract documents include the following minimum HSESC requirements:</w:t>
      </w:r>
    </w:p>
    <w:p>
      <w:pPr>
        <w:pStyle w:val="NormalNumberedtext"/>
      </w:pPr>
      <w:r>
        <w:t>The following HSESC obligations are included in all contractor contracts:</w:t>
      </w:r>
    </w:p>
    <w:p>
      <w:pPr>
        <w:pStyle w:val="NumberedBulletL1"/>
      </w:pPr>
      <w:r>
        <w:t>Compliance with the project HSESC management system for the full duration of the contract.</w:t>
      </w:r>
    </w:p>
    <w:p>
      <w:pPr>
        <w:pStyle w:val="NumberedBulletL1"/>
      </w:pPr>
      <w:r>
        <w:t>Participation in project HSESC audits and inspections when directed by the HSESC Manager.</w:t>
      </w:r>
    </w:p>
    <w:p>
      <w:pPr>
        <w:pStyle w:val="NumberedBulletL1"/>
      </w:pPr>
      <w:r>
        <w:t>Mandatory reporting of all incidents and near misses per project requirements, refer [INSERT: Project Document Number].</w:t>
      </w:r>
    </w:p>
    <w:p>
      <w:pPr>
        <w:pStyle w:val="NumberedBulletL1"/>
      </w:pPr>
      <w:r>
        <w:t>Compliance with all applicable legislative, regulatory, and Rio Tinto HSESC requirements.</w:t>
      </w:r>
    </w:p>
    <w:p>
      <w:pPr>
        <w:pStyle w:val="NumberedBulletL1"/>
      </w:pPr>
      <w:r>
        <w:rPr>
          <w:color w:val="C55A11"/>
        </w:rPr>
        <w:t>Participation in project HSESC leadership activities, including critical control verification and HSESC leadership tours.</w:t>
      </w:r>
    </w:p>
    <w:p>
      <w:pPr>
        <w:pStyle w:val="NormalNumberedtext"/>
      </w:pPr>
      <w:r>
        <w:rPr>
          <w:b/>
          <w:bCs/>
          <w:color w:val="0059D1"/>
        </w:rPr>
        <w:t>[INSERT: additional_contractual_obligations]</w:t>
      </w:r>
    </w:p>
    <w:p>
      <w:pPr>
        <w:pStyle w:val="NormalNumberedtext"/>
      </w:pPr>
    </w:p>
    <w:p>
      <w:pPr>
        <w:pStyle w:val="Heading2Numbered"/>
        <w:numPr>
          <w:ilvl w:val="1"/>
          <w:numId w:val="1"/>
        </w:numPr>
      </w:pPr>
      <w:r>
        <w:rPr>
          <w:rFonts w:ascii="Arial" w:hAnsi="Arial" w:cs="Arial" w:eastAsia="Arial"/>
        </w:rPr>
        <w:t>Emergency Response Integration</w:t>
      </w:r>
    </w:p>
    <w:p>
      <w:pPr>
        <w:pStyle w:val="NormalNumberedtext"/>
      </w:pPr>
      <w:r>
        <w:t>This section defines the requirement for contractor Emergency Response Plans to be integrated into the project ERP.</w:t>
      </w:r>
    </w:p>
    <w:p>
      <w:pPr>
        <w:pStyle w:val="NormalNumberedtext"/>
      </w:pPr>
      <w:r>
        <w:t>Contractor Emergency Response Plans are integrated into the project Emergency Response Plan before work commences so that response is seamlessly coordinated across all organisations on site. The contractor submits their ERP as a pre-mobilisation deliverable and the HSESC Manager confirms alignment before approving mobilisation.</w:t>
      </w:r>
    </w:p>
    <w:p>
      <w:pPr>
        <w:pStyle w:val="NormalNumberedtext"/>
      </w:pPr>
      <w:r>
        <w:t>Contractor ERP integration requirements and the project emergency response framework are governed by [INSERT: Project Document Number]. Training requirements associated with emergency response are governed by [INSERT: Project Document Number].</w:t>
      </w:r>
    </w:p>
    <w:p>
      <w:pPr>
        <w:pStyle w:val="NormalNumberedtext"/>
      </w:pPr>
    </w:p>
    <w:p>
      <w:pPr>
        <w:pStyle w:val="Heading1Numbered"/>
        <w:numPr>
          <w:ilvl w:val="0"/>
          <w:numId w:val="1"/>
        </w:numPr>
      </w:pPr>
      <w:r>
        <w:rPr>
          <w:rFonts w:ascii="Arial" w:hAnsi="Arial" w:cs="Arial" w:eastAsia="Arial"/>
        </w:rPr>
        <w:t>Ongoing Monitoring and Compliance</w:t>
      </w:r>
    </w:p>
    <w:p>
      <w:pPr>
        <w:pStyle w:val="NormalNumberedtext"/>
      </w:pPr>
      <w:r>
        <w:t>This section defines the project's controlling employer responsibilities, the contractor compliance monitoring process, the subcontractor monitoring requirements, and the performance rating and escalation process that applies to non-compliance.</w:t>
      </w:r>
    </w:p>
    <w:p>
      <w:pPr>
        <w:pStyle w:val="NormalNumberedtext"/>
      </w:pPr>
    </w:p>
    <w:p>
      <w:pPr>
        <w:pStyle w:val="Heading2Numbered"/>
        <w:numPr>
          <w:ilvl w:val="1"/>
          <w:numId w:val="1"/>
        </w:numPr>
      </w:pPr>
      <w:r>
        <w:rPr>
          <w:rFonts w:ascii="Arial" w:hAnsi="Arial" w:cs="Arial" w:eastAsia="Arial"/>
        </w:rPr>
        <w:t>Controlling Employer Responsibilities</w:t>
      </w:r>
    </w:p>
    <w:p>
      <w:pPr>
        <w:pStyle w:val="NormalNumberedtext"/>
      </w:pPr>
      <w:r>
        <w:t>This section defines the project's role as the controlling employer and its obligations across the multi-employer worksite.</w:t>
      </w:r>
    </w:p>
    <w:p>
      <w:pPr>
        <w:pStyle w:val="NormalNumberedtext"/>
      </w:pPr>
      <w:r>
        <w:t>The project operates as the controlling employer and is responsible for ensuring that all contractors and subcontractors comply with HSESC requirements and that all workers on site are protected from hazards created by any employer on the site. This responsibility is not transferred to contractor organisations through contract terms.</w:t>
      </w:r>
    </w:p>
    <w:p>
      <w:pPr>
        <w:pStyle w:val="NormalNumberedtext"/>
      </w:pPr>
      <w:r>
        <w:t>Policies and procedures for managing and monitoring the performance of contracted workers in relation to the requirements of this management system are maintained and enforced by the HSESC Manager. The project establishes processes to monitor worker performance against system requirements and documents the outcomes of all monitoring activities.</w:t>
      </w:r>
    </w:p>
    <w:p>
      <w:pPr>
        <w:pStyle w:val="NormalNumberedtext"/>
      </w:pPr>
    </w:p>
    <w:p>
      <w:pPr>
        <w:pStyle w:val="Heading2Numbered"/>
        <w:numPr>
          <w:ilvl w:val="1"/>
          <w:numId w:val="1"/>
        </w:numPr>
      </w:pPr>
      <w:r>
        <w:rPr>
          <w:rFonts w:ascii="Arial" w:hAnsi="Arial" w:cs="Arial" w:eastAsia="Arial"/>
        </w:rPr>
        <w:t>Contractor Compliance Monitoring</w:t>
      </w:r>
    </w:p>
    <w:p>
      <w:pPr>
        <w:pStyle w:val="NormalNumberedtext"/>
      </w:pPr>
      <w:r>
        <w:t>This section defines the monitoring activities used to confirm contractor HSESC compliance throughout the contract period.</w:t>
      </w:r>
    </w:p>
    <w:p>
      <w:pPr>
        <w:pStyle w:val="NormalNumberedtext"/>
      </w:pPr>
      <w:r>
        <w:t>Contractor HSESC compliance is monitored through regular performance reviews and inspections throughout the contract period. All compliance activities are documented, including selection, onboarding, and inspection records. Records are maintained in accordance with [INSERT: Project Document Number].</w:t>
      </w:r>
    </w:p>
    <w:p>
      <w:pPr>
        <w:pStyle w:val="NormalNumberedtext"/>
      </w:pPr>
      <w:r>
        <w:t>Subcontractor compliance with HSESC requirements is monitored through regular performance reviews and inspections. All subcontractor HSESC compliance activities - including selection, onboarding, and inspection records - are documented by the principal contractor and made available to the project HSESC Manager on request.</w:t>
      </w:r>
    </w:p>
    <w:p>
      <w:pPr>
        <w:pStyle w:val="NormalNumberedtext"/>
      </w:pPr>
      <w:r>
        <w:t>Table 3: Contractor HSESC Compliance Monitoring Activities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Monitoring Activity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Frequency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Record Location</w:t>
            </w:r>
          </w:p>
        </w:tc>
      </w:tr>
      <w:tr>
        <w:tc>
          <w:tcPr>
            <w:tcW w:type="dxa" w:w="2256"/>
          </w:tcPr>
          <w:p>
            <w:pPr>
              <w:pStyle w:val="TableContents"/>
              <w:spacing w:before="0" w:after="0" w:line="240" w:lineRule="atLeast"/>
            </w:pPr>
            <w:r>
              <w:rPr>
                <w:rFonts w:ascii="Arial" w:hAnsi="Arial" w:cs="Arial" w:eastAsia="Arial"/>
                <w:sz w:val="16"/>
                <w:szCs w:val="16"/>
              </w:rPr>
              <w:t>Contractor HSESC performance review meeting</w:t>
            </w:r>
          </w:p>
        </w:tc>
        <w:tc>
          <w:tcPr>
            <w:tcW w:type="dxa" w:w="2256"/>
          </w:tcPr>
          <w:p>
            <w:pPr>
              <w:pStyle w:val="TableContents"/>
              <w:spacing w:before="0" w:after="0" w:line="240" w:lineRule="atLeast"/>
            </w:pPr>
            <w:r>
              <w:rPr>
                <w:rFonts w:ascii="Arial" w:hAnsi="Arial" w:cs="Arial" w:eastAsia="Arial"/>
                <w:sz w:val="16"/>
                <w:szCs w:val="16"/>
              </w:rPr>
              <w:t>Monthly</w:t>
            </w:r>
          </w:p>
        </w:tc>
        <w:tc>
          <w:tcPr>
            <w:tcW w:type="dxa" w:w="2256"/>
          </w:tcPr>
          <w:p>
            <w:pPr>
              <w:pStyle w:val="TableContents"/>
              <w:spacing w:before="0" w:after="0" w:line="240" w:lineRule="atLeast"/>
            </w:pPr>
            <w:r>
              <w:rPr>
                <w:rFonts w:ascii="Arial" w:hAnsi="Arial" w:cs="Arial" w:eastAsia="Arial"/>
                <w:sz w:val="16"/>
                <w:szCs w:val="16"/>
              </w:rPr>
              <w:t>HSESC Manager</w:t>
            </w:r>
          </w:p>
        </w:tc>
        <w:tc>
          <w:tcPr>
            <w:tcW w:type="dxa" w:w="2258"/>
          </w:tcPr>
          <w:p>
            <w:pPr>
              <w:pStyle w:val="TableContents"/>
              <w:spacing w:before="0" w:after="0" w:line="240" w:lineRule="atLeast"/>
            </w:pPr>
            <w:r>
              <w:rPr>
                <w:rFonts w:ascii="Arial" w:hAnsi="Arial" w:cs="Arial" w:eastAsia="Arial"/>
                <w:b/>
                <w:bCs/>
                <w:color w:val="0059D1"/>
                <w:sz w:val="16"/>
                <w:szCs w:val="16"/>
              </w:rPr>
              <w:t>[INSERT: Document management system reference]</w:t>
            </w:r>
          </w:p>
        </w:tc>
      </w:tr>
      <w:tr>
        <w:tc>
          <w:tcPr>
            <w:tcW w:type="dxa" w:w="2256"/>
          </w:tcPr>
          <w:p>
            <w:pPr>
              <w:pStyle w:val="TableContents"/>
              <w:spacing w:before="0" w:after="0" w:line="240" w:lineRule="atLeast"/>
            </w:pPr>
            <w:r>
              <w:rPr>
                <w:rFonts w:ascii="Arial" w:hAnsi="Arial" w:cs="Arial" w:eastAsia="Arial"/>
                <w:sz w:val="16"/>
                <w:szCs w:val="16"/>
              </w:rPr>
              <w:t>Contractor site compliance inspection</w:t>
            </w:r>
          </w:p>
        </w:tc>
        <w:tc>
          <w:tcPr>
            <w:tcW w:type="dxa" w:w="2256"/>
          </w:tcPr>
          <w:p>
            <w:pPr>
              <w:pStyle w:val="TableContents"/>
              <w:spacing w:before="0" w:after="0" w:line="240" w:lineRule="atLeast"/>
            </w:pPr>
            <w:r>
              <w:rPr>
                <w:rFonts w:ascii="Arial" w:hAnsi="Arial" w:cs="Arial" w:eastAsia="Arial"/>
                <w:sz w:val="16"/>
                <w:szCs w:val="16"/>
              </w:rPr>
              <w:t>Weekly</w:t>
            </w:r>
          </w:p>
        </w:tc>
        <w:tc>
          <w:tcPr>
            <w:tcW w:type="dxa" w:w="2256"/>
          </w:tcPr>
          <w:p>
            <w:pPr>
              <w:pStyle w:val="TableContents"/>
              <w:spacing w:before="0" w:after="0" w:line="240" w:lineRule="atLeast"/>
            </w:pPr>
            <w:r>
              <w:rPr>
                <w:rFonts w:ascii="Arial" w:hAnsi="Arial" w:cs="Arial" w:eastAsia="Arial"/>
                <w:sz w:val="16"/>
                <w:szCs w:val="16"/>
              </w:rPr>
              <w:t>HSESC Advisor</w:t>
            </w:r>
          </w:p>
        </w:tc>
        <w:tc>
          <w:tcPr>
            <w:tcW w:type="dxa" w:w="2258"/>
          </w:tcPr>
          <w:p>
            <w:pPr>
              <w:pStyle w:val="TableContents"/>
              <w:spacing w:before="0" w:after="0" w:line="240" w:lineRule="atLeast"/>
            </w:pPr>
            <w:r>
              <w:rPr>
                <w:rFonts w:ascii="Arial" w:hAnsi="Arial" w:cs="Arial" w:eastAsia="Arial"/>
                <w:b/>
                <w:bCs/>
                <w:color w:val="0059D1"/>
                <w:sz w:val="16"/>
                <w:szCs w:val="16"/>
              </w:rPr>
              <w:t>[INSERT: Document management system reference]</w:t>
            </w:r>
          </w:p>
        </w:tc>
      </w:tr>
      <w:tr>
        <w:tc>
          <w:tcPr>
            <w:tcW w:type="dxa" w:w="2256"/>
          </w:tcPr>
          <w:p>
            <w:pPr>
              <w:pStyle w:val="TableContents"/>
              <w:spacing w:before="0" w:after="0" w:line="240" w:lineRule="atLeast"/>
            </w:pPr>
            <w:r>
              <w:rPr>
                <w:rFonts w:ascii="Arial" w:hAnsi="Arial" w:cs="Arial" w:eastAsia="Arial"/>
                <w:sz w:val="16"/>
                <w:szCs w:val="16"/>
              </w:rPr>
              <w:t>Contractor HSESC plan alignment review</w:t>
            </w:r>
          </w:p>
        </w:tc>
        <w:tc>
          <w:tcPr>
            <w:tcW w:type="dxa" w:w="2256"/>
          </w:tcPr>
          <w:p>
            <w:pPr>
              <w:pStyle w:val="TableContents"/>
              <w:spacing w:before="0" w:after="0" w:line="240" w:lineRule="atLeast"/>
            </w:pPr>
            <w:r>
              <w:rPr>
                <w:rFonts w:ascii="Arial" w:hAnsi="Arial" w:cs="Arial" w:eastAsia="Arial"/>
                <w:sz w:val="16"/>
                <w:szCs w:val="16"/>
              </w:rPr>
              <w:t>At onboarding and at each major scope change</w:t>
            </w:r>
          </w:p>
        </w:tc>
        <w:tc>
          <w:tcPr>
            <w:tcW w:type="dxa" w:w="2256"/>
          </w:tcPr>
          <w:p>
            <w:pPr>
              <w:pStyle w:val="TableContents"/>
              <w:spacing w:before="0" w:after="0" w:line="240" w:lineRule="atLeast"/>
            </w:pPr>
            <w:r>
              <w:rPr>
                <w:rFonts w:ascii="Arial" w:hAnsi="Arial" w:cs="Arial" w:eastAsia="Arial"/>
                <w:sz w:val="16"/>
                <w:szCs w:val="16"/>
              </w:rPr>
              <w:t>HSESC Manager</w:t>
            </w:r>
          </w:p>
        </w:tc>
        <w:tc>
          <w:tcPr>
            <w:tcW w:type="dxa" w:w="2258"/>
          </w:tcPr>
          <w:p>
            <w:pPr>
              <w:pStyle w:val="TableContents"/>
              <w:spacing w:before="0" w:after="0" w:line="240" w:lineRule="atLeast"/>
            </w:pPr>
            <w:r>
              <w:rPr>
                <w:rFonts w:ascii="Arial" w:hAnsi="Arial" w:cs="Arial" w:eastAsia="Arial"/>
                <w:b/>
                <w:bCs/>
                <w:color w:val="0059D1"/>
                <w:sz w:val="16"/>
                <w:szCs w:val="16"/>
              </w:rPr>
              <w:t>[INSERT: Document management system reference]</w:t>
            </w:r>
          </w:p>
        </w:tc>
      </w:tr>
      <w:tr>
        <w:tc>
          <w:tcPr>
            <w:tcW w:type="dxa" w:w="2256"/>
          </w:tcPr>
          <w:p>
            <w:pPr>
              <w:pStyle w:val="TableContents"/>
              <w:spacing w:before="0" w:after="0" w:line="240" w:lineRule="atLeast"/>
            </w:pPr>
            <w:r>
              <w:rPr>
                <w:rFonts w:ascii="Arial" w:hAnsi="Arial" w:cs="Arial" w:eastAsia="Arial"/>
                <w:sz w:val="16"/>
                <w:szCs w:val="16"/>
              </w:rPr>
              <w:t>Subcontractor compliance inspection</w:t>
            </w:r>
          </w:p>
        </w:tc>
        <w:tc>
          <w:tcPr>
            <w:tcW w:type="dxa" w:w="2256"/>
          </w:tcPr>
          <w:p>
            <w:pPr>
              <w:pStyle w:val="TableContents"/>
              <w:spacing w:before="0" w:after="0" w:line="240" w:lineRule="atLeast"/>
            </w:pPr>
            <w:r>
              <w:rPr>
                <w:rFonts w:ascii="Arial" w:hAnsi="Arial" w:cs="Arial" w:eastAsia="Arial"/>
                <w:sz w:val="16"/>
                <w:szCs w:val="16"/>
              </w:rPr>
              <w:t>Monthly</w:t>
            </w:r>
          </w:p>
        </w:tc>
        <w:tc>
          <w:tcPr>
            <w:tcW w:type="dxa" w:w="2256"/>
          </w:tcPr>
          <w:p>
            <w:pPr>
              <w:pStyle w:val="TableContents"/>
              <w:spacing w:before="0" w:after="0" w:line="240" w:lineRule="atLeast"/>
            </w:pPr>
            <w:r>
              <w:rPr>
                <w:rFonts w:ascii="Arial" w:hAnsi="Arial" w:cs="Arial" w:eastAsia="Arial"/>
                <w:sz w:val="16"/>
                <w:szCs w:val="16"/>
              </w:rPr>
              <w:t>HSESC Advisor</w:t>
            </w:r>
          </w:p>
        </w:tc>
        <w:tc>
          <w:tcPr>
            <w:tcW w:type="dxa" w:w="2258"/>
          </w:tcPr>
          <w:p>
            <w:pPr>
              <w:pStyle w:val="TableContents"/>
              <w:spacing w:before="0" w:after="0" w:line="240" w:lineRule="atLeast"/>
            </w:pPr>
            <w:r>
              <w:rPr>
                <w:rFonts w:ascii="Arial" w:hAnsi="Arial" w:cs="Arial" w:eastAsia="Arial"/>
                <w:b/>
                <w:bCs/>
                <w:color w:val="0059D1"/>
                <w:sz w:val="16"/>
                <w:szCs w:val="16"/>
              </w:rPr>
              <w:t>[INSERT: Document management system reference]</w:t>
            </w:r>
          </w:p>
        </w:tc>
      </w:tr>
      <w:tr>
        <w:tc>
          <w:tcPr>
            <w:tcW w:type="dxa" w:w="2256"/>
          </w:tcPr>
          <w:p>
            <w:pPr>
              <w:pStyle w:val="TableContents"/>
              <w:spacing w:before="0" w:after="0" w:line="240" w:lineRule="atLeast"/>
            </w:pPr>
            <w:r>
              <w:rPr>
                <w:rFonts w:ascii="Arial" w:hAnsi="Arial" w:cs="Arial" w:eastAsia="Arial"/>
                <w:sz w:val="16"/>
                <w:szCs w:val="16"/>
              </w:rPr>
              <w:t>Critical control verification audit</w:t>
            </w:r>
          </w:p>
        </w:tc>
        <w:tc>
          <w:tcPr>
            <w:tcW w:type="dxa" w:w="2256"/>
          </w:tcPr>
          <w:p>
            <w:pPr>
              <w:pStyle w:val="TableContents"/>
              <w:spacing w:before="0" w:after="0" w:line="240" w:lineRule="atLeast"/>
            </w:pPr>
            <w:r>
              <w:rPr>
                <w:rFonts w:ascii="Arial" w:hAnsi="Arial" w:cs="Arial" w:eastAsia="Arial"/>
                <w:sz w:val="16"/>
                <w:szCs w:val="16"/>
              </w:rPr>
              <w:t>Quarterly</w:t>
            </w:r>
          </w:p>
        </w:tc>
        <w:tc>
          <w:tcPr>
            <w:tcW w:type="dxa" w:w="2256"/>
          </w:tcPr>
          <w:p>
            <w:pPr>
              <w:pStyle w:val="TableContents"/>
              <w:spacing w:before="0" w:after="0" w:line="240" w:lineRule="atLeast"/>
            </w:pPr>
            <w:r>
              <w:rPr>
                <w:rFonts w:ascii="Arial" w:hAnsi="Arial" w:cs="Arial" w:eastAsia="Arial"/>
                <w:sz w:val="16"/>
                <w:szCs w:val="16"/>
              </w:rPr>
              <w:t>HSESC Manager</w:t>
            </w:r>
          </w:p>
        </w:tc>
        <w:tc>
          <w:tcPr>
            <w:tcW w:type="dxa" w:w="2258"/>
          </w:tcPr>
          <w:p>
            <w:pPr>
              <w:pStyle w:val="TableContents"/>
              <w:spacing w:before="0" w:after="0" w:line="240" w:lineRule="atLeast"/>
            </w:pPr>
            <w:r>
              <w:rPr>
                <w:rFonts w:ascii="Arial" w:hAnsi="Arial" w:cs="Arial" w:eastAsia="Arial"/>
                <w:b/>
                <w:bCs/>
                <w:color w:val="0059D1"/>
                <w:sz w:val="16"/>
                <w:szCs w:val="16"/>
              </w:rPr>
              <w:t>[INSERT: Document management system reference]</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monitoring activity]</w:t>
            </w:r>
          </w:p>
        </w:tc>
        <w:tc>
          <w:tcPr>
            <w:tcW w:type="dxa" w:w="2256"/>
          </w:tcPr>
          <w:p>
            <w:pPr>
              <w:pStyle w:val="TableContents"/>
              <w:spacing w:before="0" w:after="0" w:line="240" w:lineRule="atLeast"/>
            </w:pPr>
            <w:r>
              <w:rPr>
                <w:rFonts w:ascii="Arial" w:hAnsi="Arial" w:cs="Arial" w:eastAsia="Arial"/>
                <w:b/>
                <w:bCs/>
                <w:color w:val="0059D1"/>
                <w:sz w:val="16"/>
                <w:szCs w:val="16"/>
              </w:rPr>
              <w:t>[INSERT: Frequency]</w:t>
            </w:r>
          </w:p>
        </w:tc>
        <w:tc>
          <w:tcPr>
            <w:tcW w:type="dxa" w:w="2256"/>
          </w:tcPr>
          <w:p>
            <w:pPr>
              <w:pStyle w:val="TableContents"/>
              <w:spacing w:before="0" w:after="0" w:line="240" w:lineRule="atLeast"/>
            </w:pPr>
            <w:r>
              <w:rPr>
                <w:rFonts w:ascii="Arial" w:hAnsi="Arial" w:cs="Arial" w:eastAsia="Arial"/>
                <w:b/>
                <w:bCs/>
                <w:color w:val="0059D1"/>
                <w:sz w:val="16"/>
                <w:szCs w:val="16"/>
              </w:rPr>
              <w:t>[INSERT: Responsible role]</w:t>
            </w:r>
          </w:p>
        </w:tc>
        <w:tc>
          <w:tcPr>
            <w:tcW w:type="dxa" w:w="2258"/>
          </w:tcPr>
          <w:p>
            <w:pPr>
              <w:pStyle w:val="TableContents"/>
              <w:spacing w:before="0" w:after="0" w:line="240" w:lineRule="atLeast"/>
            </w:pPr>
            <w:r>
              <w:rPr>
                <w:rFonts w:ascii="Arial" w:hAnsi="Arial" w:cs="Arial" w:eastAsia="Arial"/>
                <w:b/>
                <w:bCs/>
                <w:color w:val="0059D1"/>
                <w:sz w:val="16"/>
                <w:szCs w:val="16"/>
              </w:rPr>
              <w:t>[INSERT: Record location]</w:t>
            </w:r>
          </w:p>
        </w:tc>
      </w:tr>
    </w:tbl>
    <w:p>
      <w:pPr>
        <w:pStyle w:val="NormalNumberedtext"/>
      </w:pPr>
    </w:p>
    <w:p>
      <w:pPr>
        <w:pStyle w:val="Heading2Numbered"/>
        <w:numPr>
          <w:ilvl w:val="1"/>
          <w:numId w:val="1"/>
        </w:numPr>
      </w:pPr>
      <w:r>
        <w:rPr>
          <w:rFonts w:ascii="Arial" w:hAnsi="Arial" w:cs="Arial" w:eastAsia="Arial"/>
        </w:rPr>
        <w:t>Contractor HSESC Performance Rating and Escalation</w:t>
      </w:r>
    </w:p>
    <w:p>
      <w:pPr>
        <w:pStyle w:val="NormalNumberedtext"/>
      </w:pPr>
      <w:r>
        <w:t>This section defines the contractor HSESC performance rating process and the escalating responses triggered by non-compliance.</w:t>
      </w:r>
    </w:p>
    <w:p>
      <w:pPr>
        <w:pStyle w:val="NormalNumberedtext"/>
      </w:pPr>
      <w:r>
        <w:t>The project defines a contractor HSESC performance rating process that triggers escalating responses to non-compliance. Escalation progresses from corrective action plans through to work suspension, with defined thresholds for each escalation level. Thresholds are documented based on the project risk profile and are set before contractor mobilisation.</w:t>
      </w:r>
    </w:p>
    <w:p>
      <w:pPr>
        <w:pStyle w:val="NormalNumberedtext"/>
      </w:pPr>
      <w:r>
        <w:t>The project-specific non-compliance escalation matrix, defining what triggers a verbal warning, a written notice, a corrective action plan, and suspension of work, is inserted below:</w:t>
      </w:r>
    </w:p>
    <w:p>
      <w:pPr>
        <w:pStyle w:val="NormalNumberedtext"/>
      </w:pPr>
      <w:r>
        <w:rPr>
          <w:b/>
          <w:bCs/>
          <w:color w:val="0059D1"/>
        </w:rPr>
        <w:t>[INSERT: non_compliance_escalation_matrix] — Define the contractor HSESC non-compliance escalation matrix: what triggers a verbal warning vs written notice vs corrective action plan vs suspension of work. The procedure requires this to be documented — insert the project-specific matrix, including defined thresholds and response timeframes.</w:t>
      </w:r>
    </w:p>
    <w:p>
      <w:pPr>
        <w:pStyle w:val="NormalNumberedtext"/>
      </w:pPr>
      <w:r>
        <w:t>Table 4: Contractor HSESC Non-Compliance Escalation Framework</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Escalation Level</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Trigger Condition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Required Response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Response Timeframe</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Authorising Role</w:t>
            </w:r>
          </w:p>
        </w:tc>
      </w:tr>
      <w:tr>
        <w:tc>
          <w:tcPr>
            <w:tcW w:type="dxa" w:w="1805"/>
          </w:tcPr>
          <w:p>
            <w:pPr>
              <w:pStyle w:val="TableContents"/>
              <w:spacing w:before="0" w:after="0" w:line="240" w:lineRule="atLeast"/>
            </w:pPr>
            <w:r>
              <w:rPr>
                <w:rFonts w:ascii="Arial" w:hAnsi="Arial" w:cs="Arial" w:eastAsia="Arial"/>
                <w:sz w:val="16"/>
                <w:szCs w:val="16"/>
              </w:rPr>
              <w:t>Level 1 - Verbal Notice</w:t>
            </w:r>
          </w:p>
        </w:tc>
        <w:tc>
          <w:tcPr>
            <w:tcW w:type="dxa" w:w="1805"/>
          </w:tcPr>
          <w:p>
            <w:pPr>
              <w:pStyle w:val="TableContents"/>
              <w:spacing w:before="0" w:after="0" w:line="240" w:lineRule="atLeast"/>
            </w:pPr>
            <w:r>
              <w:rPr>
                <w:rFonts w:ascii="Arial" w:hAnsi="Arial" w:cs="Arial" w:eastAsia="Arial"/>
                <w:sz w:val="16"/>
                <w:szCs w:val="16"/>
              </w:rPr>
              <w:t>First or minor non-conformance with a low-risk control requirement</w:t>
            </w:r>
          </w:p>
        </w:tc>
        <w:tc>
          <w:tcPr>
            <w:tcW w:type="dxa" w:w="1805"/>
          </w:tcPr>
          <w:p>
            <w:pPr>
              <w:pStyle w:val="TableContents"/>
              <w:spacing w:before="0" w:after="0" w:line="240" w:lineRule="atLeast"/>
            </w:pPr>
            <w:r>
              <w:rPr>
                <w:rFonts w:ascii="Arial" w:hAnsi="Arial" w:cs="Arial" w:eastAsia="Arial"/>
                <w:sz w:val="16"/>
                <w:szCs w:val="16"/>
              </w:rPr>
              <w:t>Verbal notice issued to contractor HSESC Representative with corrective action agreed</w:t>
            </w:r>
          </w:p>
        </w:tc>
        <w:tc>
          <w:tcPr>
            <w:tcW w:type="dxa" w:w="1805"/>
          </w:tcPr>
          <w:p>
            <w:pPr>
              <w:pStyle w:val="TableContents"/>
              <w:spacing w:before="0" w:after="0" w:line="240" w:lineRule="atLeast"/>
            </w:pPr>
            <w:r>
              <w:rPr>
                <w:rFonts w:ascii="Arial" w:hAnsi="Arial" w:cs="Arial" w:eastAsia="Arial"/>
                <w:b/>
                <w:bCs/>
                <w:color w:val="0059D1"/>
                <w:sz w:val="16"/>
                <w:szCs w:val="16"/>
              </w:rPr>
              <w:t>[INSERT: e.g., resolved within 24 hours]</w:t>
            </w:r>
          </w:p>
        </w:tc>
        <w:tc>
          <w:tcPr>
            <w:tcW w:type="dxa" w:w="1806"/>
          </w:tcPr>
          <w:p>
            <w:pPr>
              <w:pStyle w:val="TableContents"/>
              <w:spacing w:before="0" w:after="0" w:line="240" w:lineRule="atLeast"/>
            </w:pPr>
            <w:r>
              <w:rPr>
                <w:rFonts w:ascii="Arial" w:hAnsi="Arial" w:cs="Arial" w:eastAsia="Arial"/>
                <w:sz w:val="16"/>
                <w:szCs w:val="16"/>
              </w:rPr>
              <w:t>HSESC Advisor</w:t>
            </w:r>
          </w:p>
        </w:tc>
      </w:tr>
      <w:tr>
        <w:tc>
          <w:tcPr>
            <w:tcW w:type="dxa" w:w="1805"/>
          </w:tcPr>
          <w:p>
            <w:pPr>
              <w:pStyle w:val="TableContents"/>
              <w:spacing w:before="0" w:after="0" w:line="240" w:lineRule="atLeast"/>
            </w:pPr>
            <w:r>
              <w:rPr>
                <w:rFonts w:ascii="Arial" w:hAnsi="Arial" w:cs="Arial" w:eastAsia="Arial"/>
                <w:sz w:val="16"/>
                <w:szCs w:val="16"/>
              </w:rPr>
              <w:t>Level 2 - Written Notice</w:t>
            </w:r>
          </w:p>
        </w:tc>
        <w:tc>
          <w:tcPr>
            <w:tcW w:type="dxa" w:w="1805"/>
          </w:tcPr>
          <w:p>
            <w:pPr>
              <w:pStyle w:val="TableContents"/>
              <w:spacing w:before="0" w:after="0" w:line="240" w:lineRule="atLeast"/>
            </w:pPr>
            <w:r>
              <w:rPr>
                <w:rFonts w:ascii="Arial" w:hAnsi="Arial" w:cs="Arial" w:eastAsia="Arial"/>
                <w:sz w:val="16"/>
                <w:szCs w:val="16"/>
              </w:rPr>
              <w:t>Repeated minor non-conformance or a single non-conformance with a significant control requirement</w:t>
            </w:r>
          </w:p>
        </w:tc>
        <w:tc>
          <w:tcPr>
            <w:tcW w:type="dxa" w:w="1805"/>
          </w:tcPr>
          <w:p>
            <w:pPr>
              <w:pStyle w:val="TableContents"/>
              <w:spacing w:before="0" w:after="0" w:line="240" w:lineRule="atLeast"/>
            </w:pPr>
            <w:r>
              <w:rPr>
                <w:rFonts w:ascii="Arial" w:hAnsi="Arial" w:cs="Arial" w:eastAsia="Arial"/>
                <w:sz w:val="16"/>
                <w:szCs w:val="16"/>
              </w:rPr>
              <w:t>Written notice issued and corrective action plan required</w:t>
            </w:r>
          </w:p>
        </w:tc>
        <w:tc>
          <w:tcPr>
            <w:tcW w:type="dxa" w:w="1805"/>
          </w:tcPr>
          <w:p>
            <w:pPr>
              <w:pStyle w:val="TableContents"/>
              <w:spacing w:before="0" w:after="0" w:line="240" w:lineRule="atLeast"/>
            </w:pPr>
            <w:r>
              <w:rPr>
                <w:rFonts w:ascii="Arial" w:hAnsi="Arial" w:cs="Arial" w:eastAsia="Arial"/>
                <w:b/>
                <w:bCs/>
                <w:color w:val="0059D1"/>
                <w:sz w:val="16"/>
                <w:szCs w:val="16"/>
              </w:rPr>
              <w:t>[INSERT: e.g., corrective action plan submitted within 48 hours]</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sz w:val="16"/>
                <w:szCs w:val="16"/>
              </w:rPr>
              <w:t>Level 3 - Corrective Action Plan</w:t>
            </w:r>
          </w:p>
        </w:tc>
        <w:tc>
          <w:tcPr>
            <w:tcW w:type="dxa" w:w="1805"/>
          </w:tcPr>
          <w:p>
            <w:pPr>
              <w:pStyle w:val="TableContents"/>
              <w:spacing w:before="0" w:after="0" w:line="240" w:lineRule="atLeast"/>
            </w:pPr>
            <w:r>
              <w:rPr>
                <w:rFonts w:ascii="Arial" w:hAnsi="Arial" w:cs="Arial" w:eastAsia="Arial"/>
                <w:sz w:val="16"/>
                <w:szCs w:val="16"/>
              </w:rPr>
              <w:t>Systemic non-conformance or failure to close Level 2 actions within the required timeframe</w:t>
            </w:r>
          </w:p>
        </w:tc>
        <w:tc>
          <w:tcPr>
            <w:tcW w:type="dxa" w:w="1805"/>
          </w:tcPr>
          <w:p>
            <w:pPr>
              <w:pStyle w:val="TableContents"/>
              <w:spacing w:before="0" w:after="0" w:line="240" w:lineRule="atLeast"/>
            </w:pPr>
            <w:r>
              <w:rPr>
                <w:rFonts w:ascii="Arial" w:hAnsi="Arial" w:cs="Arial" w:eastAsia="Arial"/>
                <w:sz w:val="16"/>
                <w:szCs w:val="16"/>
              </w:rPr>
              <w:t>Formal corrective action plan reviewed and approved by HSESC Manager before work continues</w:t>
            </w:r>
          </w:p>
        </w:tc>
        <w:tc>
          <w:tcPr>
            <w:tcW w:type="dxa" w:w="1805"/>
          </w:tcPr>
          <w:p>
            <w:pPr>
              <w:pStyle w:val="TableContents"/>
              <w:spacing w:before="0" w:after="0" w:line="240" w:lineRule="atLeast"/>
            </w:pPr>
            <w:r>
              <w:rPr>
                <w:rFonts w:ascii="Arial" w:hAnsi="Arial" w:cs="Arial" w:eastAsia="Arial"/>
                <w:b/>
                <w:bCs/>
                <w:color w:val="0059D1"/>
                <w:sz w:val="16"/>
                <w:szCs w:val="16"/>
              </w:rPr>
              <w:t>[INSERT: e.g., plan submitted within 5 business days]</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sz w:val="16"/>
                <w:szCs w:val="16"/>
              </w:rPr>
              <w:t>Level 4 - Work Suspension</w:t>
            </w:r>
          </w:p>
        </w:tc>
        <w:tc>
          <w:tcPr>
            <w:tcW w:type="dxa" w:w="1805"/>
          </w:tcPr>
          <w:p>
            <w:pPr>
              <w:pStyle w:val="TableContents"/>
              <w:spacing w:before="0" w:after="0" w:line="240" w:lineRule="atLeast"/>
            </w:pPr>
            <w:r>
              <w:rPr>
                <w:rFonts w:ascii="Arial" w:hAnsi="Arial" w:cs="Arial" w:eastAsia="Arial"/>
                <w:sz w:val="16"/>
                <w:szCs w:val="16"/>
              </w:rPr>
              <w:t>Imminent risk to life, critical control failure, or failure to implement an approved corrective action plan</w:t>
            </w:r>
          </w:p>
        </w:tc>
        <w:tc>
          <w:tcPr>
            <w:tcW w:type="dxa" w:w="1805"/>
          </w:tcPr>
          <w:p>
            <w:pPr>
              <w:pStyle w:val="TableContents"/>
              <w:spacing w:before="0" w:after="0" w:line="240" w:lineRule="atLeast"/>
            </w:pPr>
            <w:r>
              <w:rPr>
                <w:rFonts w:ascii="Arial" w:hAnsi="Arial" w:cs="Arial" w:eastAsia="Arial"/>
                <w:sz w:val="16"/>
                <w:szCs w:val="16"/>
              </w:rPr>
              <w:t>Work activity suspended until controls are verified as restored</w:t>
            </w:r>
          </w:p>
        </w:tc>
        <w:tc>
          <w:tcPr>
            <w:tcW w:type="dxa" w:w="1805"/>
          </w:tcPr>
          <w:p>
            <w:pPr>
              <w:pStyle w:val="TableContents"/>
              <w:spacing w:before="0" w:after="0" w:line="240" w:lineRule="atLeast"/>
            </w:pPr>
            <w:r>
              <w:rPr>
                <w:rFonts w:ascii="Arial" w:hAnsi="Arial" w:cs="Arial" w:eastAsia="Arial"/>
                <w:b/>
                <w:bCs/>
                <w:color w:val="0059D1"/>
                <w:sz w:val="16"/>
                <w:szCs w:val="16"/>
              </w:rPr>
              <w:t>[INSERT: Immediate — work does not resume until HSESC Manager confirms controls are in place]</w:t>
            </w:r>
          </w:p>
        </w:tc>
        <w:tc>
          <w:tcPr>
            <w:tcW w:type="dxa" w:w="1806"/>
          </w:tcPr>
          <w:p>
            <w:pPr>
              <w:pStyle w:val="TableContents"/>
              <w:spacing w:before="0" w:after="0" w:line="240" w:lineRule="atLeast"/>
            </w:pPr>
            <w:r>
              <w:rPr>
                <w:rFonts w:ascii="Arial" w:hAnsi="Arial" w:cs="Arial" w:eastAsia="Arial"/>
                <w:sz w:val="16"/>
                <w:szCs w:val="16"/>
              </w:rPr>
              <w:t>Project Director</w:t>
            </w:r>
          </w:p>
        </w:tc>
      </w:tr>
      <w:tr>
        <w:tc>
          <w:tcPr>
            <w:tcW w:type="dxa" w:w="1805"/>
          </w:tcPr>
          <w:p>
            <w:pPr>
              <w:pStyle w:val="TableContents"/>
              <w:spacing w:before="0" w:after="0" w:line="240" w:lineRule="atLeast"/>
            </w:pPr>
            <w:r>
              <w:rPr>
                <w:rFonts w:ascii="Arial" w:hAnsi="Arial" w:cs="Arial" w:eastAsia="Arial"/>
                <w:b/>
                <w:bCs/>
                <w:color w:val="0059D1"/>
                <w:sz w:val="16"/>
                <w:szCs w:val="16"/>
              </w:rPr>
              <w:t>[INSERT: Additional escalation level]</w:t>
            </w:r>
          </w:p>
        </w:tc>
        <w:tc>
          <w:tcPr>
            <w:tcW w:type="dxa" w:w="1805"/>
          </w:tcPr>
          <w:p>
            <w:pPr>
              <w:pStyle w:val="TableContents"/>
              <w:spacing w:before="0" w:after="0" w:line="240" w:lineRule="atLeast"/>
            </w:pPr>
            <w:r>
              <w:rPr>
                <w:rFonts w:ascii="Arial" w:hAnsi="Arial" w:cs="Arial" w:eastAsia="Arial"/>
                <w:b/>
                <w:bCs/>
                <w:color w:val="0059D1"/>
                <w:sz w:val="16"/>
                <w:szCs w:val="16"/>
              </w:rPr>
              <w:t>[INSERT: Trigger condition]</w:t>
            </w:r>
          </w:p>
        </w:tc>
        <w:tc>
          <w:tcPr>
            <w:tcW w:type="dxa" w:w="1805"/>
          </w:tcPr>
          <w:p>
            <w:pPr>
              <w:pStyle w:val="TableContents"/>
              <w:spacing w:before="0" w:after="0" w:line="240" w:lineRule="atLeast"/>
            </w:pPr>
            <w:r>
              <w:rPr>
                <w:rFonts w:ascii="Arial" w:hAnsi="Arial" w:cs="Arial" w:eastAsia="Arial"/>
                <w:b/>
                <w:bCs/>
                <w:color w:val="0059D1"/>
                <w:sz w:val="16"/>
                <w:szCs w:val="16"/>
              </w:rPr>
              <w:t>[INSERT: Required response]</w:t>
            </w:r>
          </w:p>
        </w:tc>
        <w:tc>
          <w:tcPr>
            <w:tcW w:type="dxa" w:w="1805"/>
          </w:tcPr>
          <w:p>
            <w:pPr>
              <w:pStyle w:val="TableContents"/>
              <w:spacing w:before="0" w:after="0" w:line="240" w:lineRule="atLeast"/>
            </w:pPr>
            <w:r>
              <w:rPr>
                <w:rFonts w:ascii="Arial" w:hAnsi="Arial" w:cs="Arial" w:eastAsia="Arial"/>
                <w:b/>
                <w:bCs/>
                <w:color w:val="0059D1"/>
                <w:sz w:val="16"/>
                <w:szCs w:val="16"/>
              </w:rPr>
              <w:t>[INSERT: Timeframe]</w:t>
            </w:r>
          </w:p>
        </w:tc>
        <w:tc>
          <w:tcPr>
            <w:tcW w:type="dxa" w:w="1806"/>
          </w:tcPr>
          <w:p>
            <w:pPr>
              <w:pStyle w:val="TableContents"/>
              <w:spacing w:before="0" w:after="0" w:line="240" w:lineRule="atLeast"/>
            </w:pPr>
            <w:r>
              <w:rPr>
                <w:rFonts w:ascii="Arial" w:hAnsi="Arial" w:cs="Arial" w:eastAsia="Arial"/>
                <w:b/>
                <w:bCs/>
                <w:color w:val="0059D1"/>
                <w:sz w:val="16"/>
                <w:szCs w:val="16"/>
              </w:rPr>
              <w:t>[INSERT: Authorising role]</w:t>
            </w:r>
          </w:p>
        </w:tc>
      </w:tr>
    </w:tbl>
    <w:p>
      <w:pPr>
        <w:pStyle w:val="NormalNumberedtext"/>
      </w:pPr>
    </w:p>
    <w:p>
      <w:pPr>
        <w:pStyle w:val="Heading1Numbered"/>
        <w:numPr>
          <w:ilvl w:val="0"/>
          <w:numId w:val="1"/>
        </w:numPr>
      </w:pPr>
      <w:r>
        <w:rPr>
          <w:rFonts w:ascii="Arial" w:hAnsi="Arial" w:cs="Arial" w:eastAsia="Arial"/>
        </w:rPr>
        <w:t>Supplier Management</w:t>
      </w:r>
    </w:p>
    <w:p>
      <w:pPr>
        <w:pStyle w:val="NormalNumberedtext"/>
      </w:pPr>
      <w:r>
        <w:t>This section defines the HSESC due diligence requirements for suppliers, the risk-based approach to identifying and managing supply chain HSESC risks, and the minimum requirements for high-risk supplier categories.</w:t>
      </w:r>
    </w:p>
    <w:p>
      <w:pPr>
        <w:pStyle w:val="NormalNumberedtext"/>
      </w:pPr>
    </w:p>
    <w:p>
      <w:pPr>
        <w:pStyle w:val="Heading2Numbered"/>
        <w:numPr>
          <w:ilvl w:val="1"/>
          <w:numId w:val="1"/>
        </w:numPr>
      </w:pPr>
      <w:r>
        <w:rPr>
          <w:rFonts w:ascii="Arial" w:hAnsi="Arial" w:cs="Arial" w:eastAsia="Arial"/>
        </w:rPr>
        <w:t>Supplier HSESC Risk Identification</w:t>
      </w:r>
    </w:p>
    <w:p>
      <w:pPr>
        <w:pStyle w:val="NormalNumberedtext"/>
      </w:pPr>
      <w:r>
        <w:t>This section defines how HSESC risks associated with procurement of materials, equipment, services, and labour are identified and managed.</w:t>
      </w:r>
    </w:p>
    <w:p>
      <w:pPr>
        <w:pStyle w:val="NormalNumberedtext"/>
      </w:pPr>
      <w:r>
        <w:t>Suppliers of products and services are outside the Appendix C contractor framework. A separate HSESC risk management approach is applied to procurement activities to identify and manage HSESC risks associated with the procurement of materials, equipment, services, and labour.</w:t>
      </w:r>
    </w:p>
    <w:p>
      <w:pPr>
        <w:pStyle w:val="NormalNumberedtext"/>
      </w:pPr>
      <w:r>
        <w:t>Primary supply chain HSESC risks are identified and documented before procurement approval. Where significant occupational health and safety issues are associated with specific suppliers or supplier categories, processes are established to address those risks proportionate to the level of supply chain control available to the project.</w:t>
      </w:r>
    </w:p>
    <w:p>
      <w:pPr>
        <w:pStyle w:val="NormalNumberedtext"/>
      </w:pPr>
      <w:r>
        <w:t>The risk identification process for procurement activities is conducted using the methodology defined in [INSERT: Project Document Number]. Risk categorisation determines the level of due diligence required before procurement approval.</w:t>
      </w:r>
    </w:p>
    <w:p>
      <w:pPr>
        <w:pStyle w:val="NormalNumberedtext"/>
      </w:pPr>
    </w:p>
    <w:p>
      <w:pPr>
        <w:pStyle w:val="Heading2Numbered"/>
        <w:numPr>
          <w:ilvl w:val="1"/>
          <w:numId w:val="1"/>
        </w:numPr>
      </w:pPr>
      <w:r>
        <w:rPr>
          <w:rFonts w:ascii="Arial" w:hAnsi="Arial" w:cs="Arial" w:eastAsia="Arial"/>
        </w:rPr>
        <w:t>Supplier HSESC Due Diligence Requirements</w:t>
      </w:r>
    </w:p>
    <w:p>
      <w:pPr>
        <w:pStyle w:val="NormalNumberedtext"/>
      </w:pPr>
      <w:r>
        <w:t>This section defines the minimum HSESC due diligence requirements for high-risk supplier categories before procurement approval.</w:t>
      </w:r>
    </w:p>
    <w:p>
      <w:pPr>
        <w:pStyle w:val="NormalNumberedtext"/>
      </w:pPr>
      <w:r>
        <w:t>Minimum HSESC due diligence requirements are defined for high-risk suppliers before procurement approval. The information to be collected, assessed, and documented for each high-risk supplier category is specified in the project supplier due diligence register.</w:t>
      </w:r>
    </w:p>
    <w:p>
      <w:pPr>
        <w:pStyle w:val="NormalNumberedtext"/>
      </w:pPr>
      <w:r>
        <w:t>The key suppliers for this project with elevated HSESC risk and the specific due diligence requirements for each category are defined below:</w:t>
      </w:r>
    </w:p>
    <w:p>
      <w:pPr>
        <w:pStyle w:val="NormalNumberedtext"/>
      </w:pPr>
      <w:r>
        <w:rPr>
          <w:b/>
          <w:bCs/>
          <w:color w:val="0059D1"/>
        </w:rPr>
        <w:t>[INSERT: high_risk_supplier_categories] — List the key suppliers for this project with elevated HSESC risk (e.g., explosives, scaffolding systems, heavy lift contractors, hazardous materials, lifting equipment) and define the specific due diligence requirements for each category — including the information to be collected, assessed, and documented before procurement approval.</w:t>
      </w:r>
    </w:p>
    <w:p>
      <w:pPr>
        <w:pStyle w:val="NormalNumberedtext"/>
      </w:pPr>
      <w:r>
        <w:t>Table 5: High-Risk Supplier HSESC Due Diligence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Supplier Category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HSESC Risk Basis</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Due Diligence Information Required</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Approving Authority</w:t>
            </w:r>
          </w:p>
        </w:tc>
      </w:tr>
      <w:tr>
        <w:tc>
          <w:tcPr>
            <w:tcW w:type="dxa" w:w="2256"/>
          </w:tcPr>
          <w:p>
            <w:pPr>
              <w:pStyle w:val="TableContents"/>
              <w:spacing w:before="0" w:after="0" w:line="240" w:lineRule="atLeast"/>
            </w:pPr>
            <w:r>
              <w:rPr>
                <w:rFonts w:ascii="Arial" w:hAnsi="Arial" w:cs="Arial" w:eastAsia="Arial"/>
                <w:sz w:val="16"/>
                <w:szCs w:val="16"/>
              </w:rPr>
              <w:t>Explosives supplier</w:t>
            </w:r>
          </w:p>
        </w:tc>
        <w:tc>
          <w:tcPr>
            <w:tcW w:type="dxa" w:w="2256"/>
          </w:tcPr>
          <w:p>
            <w:pPr>
              <w:pStyle w:val="TableContents"/>
              <w:spacing w:before="0" w:after="0" w:line="240" w:lineRule="atLeast"/>
            </w:pPr>
            <w:r>
              <w:rPr>
                <w:rFonts w:ascii="Arial" w:hAnsi="Arial" w:cs="Arial" w:eastAsia="Arial"/>
                <w:sz w:val="16"/>
                <w:szCs w:val="16"/>
              </w:rPr>
              <w:t>Hazardous materials handling, transport, storage, and detonation risks</w:t>
            </w:r>
          </w:p>
        </w:tc>
        <w:tc>
          <w:tcPr>
            <w:tcW w:type="dxa" w:w="2256"/>
          </w:tcPr>
          <w:p>
            <w:pPr>
              <w:pStyle w:val="TableContents"/>
              <w:spacing w:before="0" w:after="0" w:line="240" w:lineRule="atLeast"/>
            </w:pPr>
            <w:r>
              <w:rPr>
                <w:rFonts w:ascii="Arial" w:hAnsi="Arial" w:cs="Arial" w:eastAsia="Arial"/>
                <w:sz w:val="16"/>
                <w:szCs w:val="16"/>
              </w:rPr>
              <w:t>Regulatory licence and permit status; incident history; transport safety management; storage compliance records</w:t>
            </w:r>
          </w:p>
        </w:tc>
        <w:tc>
          <w:tcPr>
            <w:tcW w:type="dxa" w:w="2258"/>
          </w:tcPr>
          <w:p>
            <w:pPr>
              <w:pStyle w:val="TableContents"/>
              <w:spacing w:before="0" w:after="0" w:line="240" w:lineRule="atLeast"/>
            </w:pPr>
            <w:r>
              <w:rPr>
                <w:rFonts w:ascii="Arial" w:hAnsi="Arial" w:cs="Arial" w:eastAsia="Arial"/>
                <w:sz w:val="16"/>
                <w:szCs w:val="16"/>
              </w:rPr>
              <w:t>HSESC Manager and Package Manager</w:t>
            </w:r>
          </w:p>
        </w:tc>
      </w:tr>
      <w:tr>
        <w:tc>
          <w:tcPr>
            <w:tcW w:type="dxa" w:w="2256"/>
          </w:tcPr>
          <w:p>
            <w:pPr>
              <w:pStyle w:val="TableContents"/>
              <w:spacing w:before="0" w:after="0" w:line="240" w:lineRule="atLeast"/>
            </w:pPr>
            <w:r>
              <w:rPr>
                <w:rFonts w:ascii="Arial" w:hAnsi="Arial" w:cs="Arial" w:eastAsia="Arial"/>
                <w:sz w:val="16"/>
                <w:szCs w:val="16"/>
              </w:rPr>
              <w:t>Scaffolding system supplier</w:t>
            </w:r>
          </w:p>
        </w:tc>
        <w:tc>
          <w:tcPr>
            <w:tcW w:type="dxa" w:w="2256"/>
          </w:tcPr>
          <w:p>
            <w:pPr>
              <w:pStyle w:val="TableContents"/>
              <w:spacing w:before="0" w:after="0" w:line="240" w:lineRule="atLeast"/>
            </w:pPr>
            <w:r>
              <w:rPr>
                <w:rFonts w:ascii="Arial" w:hAnsi="Arial" w:cs="Arial" w:eastAsia="Arial"/>
                <w:sz w:val="16"/>
                <w:szCs w:val="16"/>
              </w:rPr>
              <w:t>Structural integrity risk, working at height fatality hazard</w:t>
            </w:r>
          </w:p>
        </w:tc>
        <w:tc>
          <w:tcPr>
            <w:tcW w:type="dxa" w:w="2256"/>
          </w:tcPr>
          <w:p>
            <w:pPr>
              <w:pStyle w:val="TableContents"/>
              <w:spacing w:before="0" w:after="0" w:line="240" w:lineRule="atLeast"/>
            </w:pPr>
            <w:r>
              <w:rPr>
                <w:rFonts w:ascii="Arial" w:hAnsi="Arial" w:cs="Arial" w:eastAsia="Arial"/>
                <w:sz w:val="16"/>
                <w:szCs w:val="16"/>
              </w:rPr>
              <w:t>Product certification and load ratings; inspection and testing records; supplier incident history</w:t>
            </w:r>
          </w:p>
        </w:tc>
        <w:tc>
          <w:tcPr>
            <w:tcW w:type="dxa" w:w="2258"/>
          </w:tcPr>
          <w:p>
            <w:pPr>
              <w:pStyle w:val="TableContents"/>
              <w:spacing w:before="0" w:after="0" w:line="240" w:lineRule="atLeast"/>
            </w:pPr>
            <w:r>
              <w:rPr>
                <w:rFonts w:ascii="Arial" w:hAnsi="Arial" w:cs="Arial" w:eastAsia="Arial"/>
                <w:sz w:val="16"/>
                <w:szCs w:val="16"/>
              </w:rPr>
              <w:t>HSESC Manager and Package Manager</w:t>
            </w:r>
          </w:p>
        </w:tc>
      </w:tr>
      <w:tr>
        <w:tc>
          <w:tcPr>
            <w:tcW w:type="dxa" w:w="2256"/>
          </w:tcPr>
          <w:p>
            <w:pPr>
              <w:pStyle w:val="TableContents"/>
              <w:spacing w:before="0" w:after="0" w:line="240" w:lineRule="atLeast"/>
            </w:pPr>
            <w:r>
              <w:rPr>
                <w:rFonts w:ascii="Arial" w:hAnsi="Arial" w:cs="Arial" w:eastAsia="Arial"/>
                <w:sz w:val="16"/>
                <w:szCs w:val="16"/>
              </w:rPr>
              <w:t>Lifting equipment supplier</w:t>
            </w:r>
          </w:p>
        </w:tc>
        <w:tc>
          <w:tcPr>
            <w:tcW w:type="dxa" w:w="2256"/>
          </w:tcPr>
          <w:p>
            <w:pPr>
              <w:pStyle w:val="TableContents"/>
              <w:spacing w:before="0" w:after="0" w:line="240" w:lineRule="atLeast"/>
            </w:pPr>
            <w:r>
              <w:rPr>
                <w:rFonts w:ascii="Arial" w:hAnsi="Arial" w:cs="Arial" w:eastAsia="Arial"/>
                <w:sz w:val="16"/>
                <w:szCs w:val="16"/>
              </w:rPr>
              <w:t>Dropped object and structural failure risk</w:t>
            </w:r>
          </w:p>
        </w:tc>
        <w:tc>
          <w:tcPr>
            <w:tcW w:type="dxa" w:w="2256"/>
          </w:tcPr>
          <w:p>
            <w:pPr>
              <w:pStyle w:val="TableContents"/>
              <w:spacing w:before="0" w:after="0" w:line="240" w:lineRule="atLeast"/>
            </w:pPr>
            <w:r>
              <w:rPr>
                <w:rFonts w:ascii="Arial" w:hAnsi="Arial" w:cs="Arial" w:eastAsia="Arial"/>
                <w:sz w:val="16"/>
                <w:szCs w:val="16"/>
              </w:rPr>
              <w:t>Equipment certification, current inspection records, load test documentation</w:t>
            </w:r>
          </w:p>
        </w:tc>
        <w:tc>
          <w:tcPr>
            <w:tcW w:type="dxa" w:w="2258"/>
          </w:tcPr>
          <w:p>
            <w:pPr>
              <w:pStyle w:val="TableContents"/>
              <w:spacing w:before="0" w:after="0" w:line="240" w:lineRule="atLeast"/>
            </w:pPr>
            <w:r>
              <w:rPr>
                <w:rFonts w:ascii="Arial" w:hAnsi="Arial" w:cs="Arial" w:eastAsia="Arial"/>
                <w:sz w:val="16"/>
                <w:szCs w:val="16"/>
              </w:rPr>
              <w:t>HSESC Manager and Package Manager</w:t>
            </w:r>
          </w:p>
        </w:tc>
      </w:tr>
      <w:tr>
        <w:tc>
          <w:tcPr>
            <w:tcW w:type="dxa" w:w="2256"/>
          </w:tcPr>
          <w:p>
            <w:pPr>
              <w:pStyle w:val="TableContents"/>
              <w:spacing w:before="0" w:after="0" w:line="240" w:lineRule="atLeast"/>
            </w:pPr>
            <w:r>
              <w:rPr>
                <w:rFonts w:ascii="Arial" w:hAnsi="Arial" w:cs="Arial" w:eastAsia="Arial"/>
                <w:sz w:val="16"/>
                <w:szCs w:val="16"/>
              </w:rPr>
              <w:t>Hazardous chemical supplier</w:t>
            </w:r>
          </w:p>
        </w:tc>
        <w:tc>
          <w:tcPr>
            <w:tcW w:type="dxa" w:w="2256"/>
          </w:tcPr>
          <w:p>
            <w:pPr>
              <w:pStyle w:val="TableContents"/>
              <w:spacing w:before="0" w:after="0" w:line="240" w:lineRule="atLeast"/>
            </w:pPr>
            <w:r>
              <w:rPr>
                <w:rFonts w:ascii="Arial" w:hAnsi="Arial" w:cs="Arial" w:eastAsia="Arial"/>
                <w:sz w:val="16"/>
                <w:szCs w:val="16"/>
              </w:rPr>
              <w:t>Toxic exposure, spill, and environmental contamination risk</w:t>
            </w:r>
          </w:p>
        </w:tc>
        <w:tc>
          <w:tcPr>
            <w:tcW w:type="dxa" w:w="2256"/>
          </w:tcPr>
          <w:p>
            <w:pPr>
              <w:pStyle w:val="TableContents"/>
              <w:spacing w:before="0" w:after="0" w:line="240" w:lineRule="atLeast"/>
            </w:pPr>
            <w:r>
              <w:rPr>
                <w:rFonts w:ascii="Arial" w:hAnsi="Arial" w:cs="Arial" w:eastAsia="Arial"/>
                <w:sz w:val="16"/>
                <w:szCs w:val="16"/>
              </w:rPr>
              <w:t>Safety Data Sheets, transport documentation, storage and handling requirements, regulatory compliance status</w:t>
            </w:r>
          </w:p>
        </w:tc>
        <w:tc>
          <w:tcPr>
            <w:tcW w:type="dxa" w:w="2258"/>
          </w:tcPr>
          <w:p>
            <w:pPr>
              <w:pStyle w:val="TableContents"/>
              <w:spacing w:before="0" w:after="0" w:line="240" w:lineRule="atLeast"/>
            </w:pPr>
            <w:r>
              <w:rPr>
                <w:rFonts w:ascii="Arial" w:hAnsi="Arial" w:cs="Arial" w:eastAsia="Arial"/>
                <w:sz w:val="16"/>
                <w:szCs w:val="16"/>
              </w:rPr>
              <w:t>HSESC Manager and Package Manager</w:t>
            </w:r>
          </w:p>
        </w:tc>
      </w:tr>
      <w:tr>
        <w:tc>
          <w:tcPr>
            <w:tcW w:type="dxa" w:w="2256"/>
          </w:tcPr>
          <w:p>
            <w:pPr>
              <w:pStyle w:val="TableContents"/>
              <w:spacing w:before="0" w:after="0" w:line="240" w:lineRule="atLeast"/>
            </w:pPr>
            <w:r>
              <w:rPr>
                <w:rFonts w:ascii="Arial" w:hAnsi="Arial" w:cs="Arial" w:eastAsia="Arial"/>
                <w:b/>
                <w:bCs/>
                <w:color w:val="0059D1"/>
                <w:sz w:val="16"/>
                <w:szCs w:val="16"/>
              </w:rPr>
              <w:t>[INSERT: Supplier category]</w:t>
            </w:r>
          </w:p>
        </w:tc>
        <w:tc>
          <w:tcPr>
            <w:tcW w:type="dxa" w:w="2256"/>
          </w:tcPr>
          <w:p>
            <w:pPr>
              <w:pStyle w:val="TableContents"/>
              <w:spacing w:before="0" w:after="0" w:line="240" w:lineRule="atLeast"/>
            </w:pPr>
            <w:r>
              <w:rPr>
                <w:rFonts w:ascii="Arial" w:hAnsi="Arial" w:cs="Arial" w:eastAsia="Arial"/>
                <w:b/>
                <w:bCs/>
                <w:color w:val="0059D1"/>
                <w:sz w:val="16"/>
                <w:szCs w:val="16"/>
              </w:rPr>
              <w:t>[INSERT: HSESC risk basis]</w:t>
            </w:r>
          </w:p>
        </w:tc>
        <w:tc>
          <w:tcPr>
            <w:tcW w:type="dxa" w:w="2256"/>
          </w:tcPr>
          <w:p>
            <w:pPr>
              <w:pStyle w:val="TableContents"/>
              <w:spacing w:before="0" w:after="0" w:line="240" w:lineRule="atLeast"/>
            </w:pPr>
            <w:r>
              <w:rPr>
                <w:rFonts w:ascii="Arial" w:hAnsi="Arial" w:cs="Arial" w:eastAsia="Arial"/>
                <w:b/>
                <w:bCs/>
                <w:color w:val="0059D1"/>
                <w:sz w:val="16"/>
                <w:szCs w:val="16"/>
              </w:rPr>
              <w:t>[INSERT: Due diligence information required]</w:t>
            </w:r>
          </w:p>
        </w:tc>
        <w:tc>
          <w:tcPr>
            <w:tcW w:type="dxa" w:w="2258"/>
          </w:tcPr>
          <w:p>
            <w:pPr>
              <w:pStyle w:val="TableContents"/>
              <w:spacing w:before="0" w:after="0" w:line="240" w:lineRule="atLeast"/>
            </w:pPr>
            <w:r>
              <w:rPr>
                <w:rFonts w:ascii="Arial" w:hAnsi="Arial" w:cs="Arial" w:eastAsia="Arial"/>
                <w:b/>
                <w:bCs/>
                <w:color w:val="0059D1"/>
                <w:sz w:val="16"/>
                <w:szCs w:val="16"/>
              </w:rPr>
              <w:t>[INSERT: Approving authority]</w:t>
            </w:r>
          </w:p>
        </w:tc>
      </w:tr>
    </w:tbl>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Security &amp; Community - the integrated discipline framework governing all aspects of health, safety, environmental protection, and security and community obligations on Rio Tinto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steps and requirements that must be followed to achieve a specific outcome within the management system.</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owner-led project delivery function within Rio Tinto responsible for the execution of major capital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combined discipline addressing workforce health, workplace safety, and environmental stewardship.</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a documented plan that defines the procedures, roles, and resources required to respond effectively to emergency events on a project site.</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materials group under whose standards, policies, and procedures all project management system documents are developed and maintained.</w:t>
            </w:r>
          </w:p>
        </w:tc>
      </w:tr>
      <w:tr>
        <w:tc>
          <w:tcPr>
            <w:tcW w:type="dxa" w:w="4888"/>
          </w:tcPr>
          <w:p>
            <w:pPr>
              <w:pStyle w:val="TableContents"/>
              <w:spacing w:before="0" w:after="0" w:line="240" w:lineRule="atLeast"/>
            </w:pPr>
            <w:r>
              <w:rPr>
                <w:rFonts w:ascii="Arial" w:hAnsi="Arial" w:cs="Arial" w:eastAsia="Arial"/>
                <w:sz w:val="16"/>
                <w:szCs w:val="16"/>
              </w:rPr>
              <w:t>HSEMS</w:t>
            </w:r>
          </w:p>
        </w:tc>
        <w:tc>
          <w:tcPr>
            <w:tcW w:type="dxa" w:w="4889"/>
          </w:tcPr>
          <w:p>
            <w:pPr>
              <w:pStyle w:val="TableContents"/>
              <w:spacing w:before="0" w:after="0" w:line="240" w:lineRule="atLeast"/>
            </w:pPr>
            <w:r>
              <w:rPr>
                <w:rFonts w:ascii="Arial" w:hAnsi="Arial" w:cs="Arial" w:eastAsia="Arial"/>
                <w:sz w:val="16"/>
                <w:szCs w:val="16"/>
              </w:rPr>
              <w:t>Health, Safety, and Environment Management System - the structured framework of policies, standards, procedures, and plans used to manage HSE risks and obligations across Rio Tinto projects.</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performance of a supplier or contractor against defined HSESC and contractual requirements over time.</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 that describes a high-risk construction activity, the hazards associated with it, and the control measures to be applied, required to be submitted by contractors prior to commencing relevant work.</w:t>
            </w:r>
          </w:p>
        </w:tc>
      </w:tr>
      <w:tr>
        <w:tc>
          <w:tcPr>
            <w:tcW w:type="dxa" w:w="4888"/>
          </w:tcPr>
          <w:p>
            <w:pPr>
              <w:pStyle w:val="TableContents"/>
              <w:spacing w:before="0" w:after="0" w:line="240" w:lineRule="atLeast"/>
            </w:pPr>
            <w:r>
              <w:rPr>
                <w:rFonts w:ascii="Arial" w:hAnsi="Arial" w:cs="Arial" w:eastAsia="Arial"/>
                <w:sz w:val="16"/>
                <w:szCs w:val="16"/>
              </w:rPr>
              <w:t>JSA</w:t>
            </w:r>
          </w:p>
        </w:tc>
        <w:tc>
          <w:tcPr>
            <w:tcW w:type="dxa" w:w="4889"/>
          </w:tcPr>
          <w:p>
            <w:pPr>
              <w:pStyle w:val="TableContents"/>
              <w:spacing w:before="0" w:after="0" w:line="240" w:lineRule="atLeast"/>
            </w:pPr>
            <w:r>
              <w:rPr>
                <w:rFonts w:ascii="Arial" w:hAnsi="Arial" w:cs="Arial" w:eastAsia="Arial"/>
                <w:sz w:val="16"/>
                <w:szCs w:val="16"/>
              </w:rPr>
              <w:t>Job Safety Analysis - a systematic process for identifying hazards associated with specific tasks and determining appropriate control measures, typically produced by a contractor before commencing work.</w:t>
            </w:r>
          </w:p>
        </w:tc>
      </w:tr>
      <w:tr>
        <w:tc>
          <w:tcPr>
            <w:tcW w:type="dxa" w:w="4888"/>
          </w:tcPr>
          <w:p>
            <w:pPr>
              <w:pStyle w:val="TableContents"/>
              <w:spacing w:before="0" w:after="0" w:line="240" w:lineRule="atLeast"/>
            </w:pPr>
            <w:r>
              <w:rPr>
                <w:rFonts w:ascii="Arial" w:hAnsi="Arial" w:cs="Arial" w:eastAsia="Arial"/>
                <w:sz w:val="16"/>
                <w:szCs w:val="16"/>
              </w:rPr>
              <w:t>HSECP</w:t>
            </w:r>
          </w:p>
        </w:tc>
        <w:tc>
          <w:tcPr>
            <w:tcW w:type="dxa" w:w="4889"/>
          </w:tcPr>
          <w:p>
            <w:pPr>
              <w:pStyle w:val="TableContents"/>
              <w:spacing w:before="0" w:after="0" w:line="240" w:lineRule="atLeast"/>
            </w:pPr>
            <w:r>
              <w:rPr>
                <w:rFonts w:ascii="Arial" w:hAnsi="Arial" w:cs="Arial" w:eastAsia="Arial"/>
                <w:sz w:val="16"/>
                <w:szCs w:val="16"/>
              </w:rPr>
              <w:t>Health, Safety, and Environment Construction Plan - a contractor-specific plan that describes how the contractor will manage HSE obligations and comply with project requirements during the execution phase.</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documented system used to control high-risk activities on site, ensuring that appropriate authorisations, controls, and communication are in place before work commences.</w:t>
            </w:r>
          </w:p>
        </w:tc>
      </w:tr>
      <w:tr>
        <w:tc>
          <w:tcPr>
            <w:tcW w:type="dxa" w:w="4888"/>
          </w:tcPr>
          <w:p>
            <w:pPr>
              <w:pStyle w:val="TableContents"/>
              <w:spacing w:before="0" w:after="0" w:line="240" w:lineRule="atLeast"/>
            </w:pPr>
            <w:r>
              <w:rPr>
                <w:rFonts w:ascii="Arial" w:hAnsi="Arial" w:cs="Arial" w:eastAsia="Arial"/>
                <w:sz w:val="16"/>
                <w:szCs w:val="16"/>
              </w:rPr>
              <w:t>ICT</w:t>
            </w:r>
          </w:p>
        </w:tc>
        <w:tc>
          <w:tcPr>
            <w:tcW w:type="dxa" w:w="4889"/>
          </w:tcPr>
          <w:p>
            <w:pPr>
              <w:pStyle w:val="TableContents"/>
              <w:spacing w:before="0" w:after="0" w:line="240" w:lineRule="atLeast"/>
            </w:pPr>
            <w:r>
              <w:rPr>
                <w:rFonts w:ascii="Arial" w:hAnsi="Arial" w:cs="Arial" w:eastAsia="Arial"/>
                <w:sz w:val="16"/>
                <w:szCs w:val="16"/>
              </w:rPr>
              <w:t>Information and Communications Technology - the systems, networks, and infrastructure used to manage, process, and communicate data and information across the project and supply chain.</w:t>
            </w:r>
          </w:p>
        </w:tc>
      </w:tr>
      <w:tr>
        <w:tc>
          <w:tcPr>
            <w:tcW w:type="dxa" w:w="4888"/>
          </w:tcPr>
          <w:p>
            <w:pPr>
              <w:pStyle w:val="TableContents"/>
              <w:spacing w:before="0" w:after="0" w:line="240" w:lineRule="atLeast"/>
            </w:pPr>
            <w:r>
              <w:rPr>
                <w:rFonts w:ascii="Arial" w:hAnsi="Arial" w:cs="Arial" w:eastAsia="Arial"/>
                <w:sz w:val="16"/>
                <w:szCs w:val="16"/>
              </w:rPr>
              <w:t>SME</w:t>
            </w:r>
          </w:p>
        </w:tc>
        <w:tc>
          <w:tcPr>
            <w:tcW w:type="dxa" w:w="4889"/>
          </w:tcPr>
          <w:p>
            <w:pPr>
              <w:pStyle w:val="TableContents"/>
              <w:spacing w:before="0" w:after="0" w:line="240" w:lineRule="atLeast"/>
            </w:pPr>
            <w:r>
              <w:rPr>
                <w:rFonts w:ascii="Arial" w:hAnsi="Arial" w:cs="Arial" w:eastAsia="Arial"/>
                <w:sz w:val="16"/>
                <w:szCs w:val="16"/>
              </w:rPr>
              <w:t>Subject Matter Expert - an individual with specialised knowledge or expertise in a specific technical or functional discipline relevant to the management of suppliers and contractors.</w:t>
            </w:r>
          </w:p>
        </w:tc>
      </w:tr>
      <w:tr>
        <w:tc>
          <w:tcPr>
            <w:tcW w:type="dxa" w:w="4888"/>
          </w:tcPr>
          <w:p>
            <w:pPr>
              <w:pStyle w:val="TableContents"/>
              <w:spacing w:before="0" w:after="0" w:line="240" w:lineRule="atLeast"/>
            </w:pPr>
            <w:r>
              <w:rPr>
                <w:rFonts w:ascii="Arial" w:hAnsi="Arial" w:cs="Arial" w:eastAsia="Arial"/>
                <w:sz w:val="16"/>
                <w:szCs w:val="16"/>
              </w:rPr>
              <w:t>RFT</w:t>
            </w:r>
          </w:p>
        </w:tc>
        <w:tc>
          <w:tcPr>
            <w:tcW w:type="dxa" w:w="4889"/>
          </w:tcPr>
          <w:p>
            <w:pPr>
              <w:pStyle w:val="TableContents"/>
              <w:spacing w:before="0" w:after="0" w:line="240" w:lineRule="atLeast"/>
            </w:pPr>
            <w:r>
              <w:rPr>
                <w:rFonts w:ascii="Arial" w:hAnsi="Arial" w:cs="Arial" w:eastAsia="Arial"/>
                <w:sz w:val="16"/>
                <w:szCs w:val="16"/>
              </w:rPr>
              <w:t>Request for Tender - a formal procurement document issued to potential suppliers or contractors inviting them to submit a proposal or bid for the supply of goods or services against defined project requirements.</w:t>
            </w:r>
          </w:p>
        </w:tc>
      </w:tr>
      <w:tr>
        <w:tc>
          <w:tcPr>
            <w:tcW w:type="dxa" w:w="4888"/>
          </w:tcPr>
          <w:p>
            <w:pPr>
              <w:pStyle w:val="TableContents"/>
              <w:spacing w:before="0" w:after="0" w:line="240" w:lineRule="atLeast"/>
            </w:pPr>
            <w:r>
              <w:rPr>
                <w:rFonts w:ascii="Arial" w:hAnsi="Arial" w:cs="Arial" w:eastAsia="Arial"/>
                <w:sz w:val="16"/>
                <w:szCs w:val="16"/>
              </w:rPr>
              <w:t>ITT</w:t>
            </w:r>
          </w:p>
        </w:tc>
        <w:tc>
          <w:tcPr>
            <w:tcW w:type="dxa" w:w="4889"/>
          </w:tcPr>
          <w:p>
            <w:pPr>
              <w:pStyle w:val="TableContents"/>
              <w:spacing w:before="0" w:after="0" w:line="240" w:lineRule="atLeast"/>
            </w:pPr>
            <w:r>
              <w:rPr>
                <w:rFonts w:ascii="Arial" w:hAnsi="Arial" w:cs="Arial" w:eastAsia="Arial"/>
                <w:sz w:val="16"/>
                <w:szCs w:val="16"/>
              </w:rPr>
              <w:t>Invitation to Tender - a formal process by which Rio Tinto Projects invites pre-qualified suppliers or contractors to submit competitive bids for scopes of work including HSESC requirements.</w:t>
            </w:r>
          </w:p>
        </w:tc>
      </w:tr>
      <w:tr>
        <w:tc>
          <w:tcPr>
            <w:tcW w:type="dxa" w:w="4888"/>
          </w:tcPr>
          <w:p>
            <w:pPr>
              <w:pStyle w:val="TableContents"/>
              <w:spacing w:before="0" w:after="0" w:line="240" w:lineRule="atLeast"/>
            </w:pPr>
            <w:r>
              <w:rPr>
                <w:rFonts w:ascii="Arial" w:hAnsi="Arial" w:cs="Arial" w:eastAsia="Arial"/>
                <w:sz w:val="16"/>
                <w:szCs w:val="16"/>
              </w:rPr>
              <w:t>NCR</w:t>
            </w:r>
          </w:p>
        </w:tc>
        <w:tc>
          <w:tcPr>
            <w:tcW w:type="dxa" w:w="4889"/>
          </w:tcPr>
          <w:p>
            <w:pPr>
              <w:pStyle w:val="TableContents"/>
              <w:spacing w:before="0" w:after="0" w:line="240" w:lineRule="atLeast"/>
            </w:pPr>
            <w:r>
              <w:rPr>
                <w:rFonts w:ascii="Arial" w:hAnsi="Arial" w:cs="Arial" w:eastAsia="Arial"/>
                <w:sz w:val="16"/>
                <w:szCs w:val="16"/>
              </w:rPr>
              <w:t>Non-Conformance Report - a documented record raised when a supplier or contractor fails to meet specified HSESC, quality, or contractual requirements, triggering a defined corrective action process.</w:t>
            </w:r>
          </w:p>
        </w:tc>
      </w:tr>
      <w:tr>
        <w:tc>
          <w:tcPr>
            <w:tcW w:type="dxa" w:w="4888"/>
          </w:tcPr>
          <w:p>
            <w:pPr>
              <w:pStyle w:val="TableContents"/>
              <w:spacing w:before="0" w:after="0" w:line="240" w:lineRule="atLeast"/>
            </w:pPr>
            <w:r>
              <w:rPr>
                <w:rFonts w:ascii="Arial" w:hAnsi="Arial" w:cs="Arial" w:eastAsia="Arial"/>
                <w:sz w:val="16"/>
                <w:szCs w:val="16"/>
              </w:rPr>
              <w:t>CAPA</w:t>
            </w:r>
          </w:p>
        </w:tc>
        <w:tc>
          <w:tcPr>
            <w:tcW w:type="dxa" w:w="4889"/>
          </w:tcPr>
          <w:p>
            <w:pPr>
              <w:pStyle w:val="TableContents"/>
              <w:spacing w:before="0" w:after="0" w:line="240" w:lineRule="atLeast"/>
            </w:pPr>
            <w:r>
              <w:rPr>
                <w:rFonts w:ascii="Arial" w:hAnsi="Arial" w:cs="Arial" w:eastAsia="Arial"/>
                <w:sz w:val="16"/>
                <w:szCs w:val="16"/>
              </w:rPr>
              <w:t>Corrective Action and Preventive Action - a structured process used to investigate the root cause of non-conformances and implement actions to correct the issue and prevent recurrence.</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field of practice concerned with the safety, health, and welfare of people engaged in work, used in applicable legislative references.</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governing occupational health and safety in Australian jurisdictions, applicable to project sites and supply chain obligations.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workers to minimise exposure to hazards that could cause injury or illness, required to meet standards specified in project HSESC documentation.</w:t>
            </w:r>
          </w:p>
        </w:tc>
      </w:tr>
      <w:tr>
        <w:tc>
          <w:tcPr>
            <w:tcW w:type="dxa" w:w="4888"/>
          </w:tcPr>
          <w:p>
            <w:pPr>
              <w:pStyle w:val="TableContents"/>
              <w:spacing w:before="0" w:after="0" w:line="240" w:lineRule="atLeast"/>
            </w:pPr>
            <w:r>
              <w:rPr>
                <w:rFonts w:ascii="Arial" w:hAnsi="Arial" w:cs="Arial" w:eastAsia="Arial"/>
                <w:sz w:val="16"/>
                <w:szCs w:val="16"/>
              </w:rPr>
              <w:t>LTI</w:t>
            </w:r>
          </w:p>
        </w:tc>
        <w:tc>
          <w:tcPr>
            <w:tcW w:type="dxa" w:w="4889"/>
          </w:tcPr>
          <w:p>
            <w:pPr>
              <w:pStyle w:val="TableContents"/>
              <w:spacing w:before="0" w:after="0" w:line="240" w:lineRule="atLeast"/>
            </w:pPr>
            <w:r>
              <w:rPr>
                <w:rFonts w:ascii="Arial" w:hAnsi="Arial" w:cs="Arial" w:eastAsia="Arial"/>
                <w:sz w:val="16"/>
                <w:szCs w:val="16"/>
              </w:rPr>
              <w:t>Lost Time Injury - a work-related injury or illness that results in an employee or contractor being unable to perform their normal duties for one or more full shifts beyond the shift on which the incident occurred.</w:t>
            </w:r>
          </w:p>
        </w:tc>
      </w:tr>
      <w:tr>
        <w:tc>
          <w:tcPr>
            <w:tcW w:type="dxa" w:w="4888"/>
          </w:tcPr>
          <w:p>
            <w:pPr>
              <w:pStyle w:val="TableContents"/>
              <w:spacing w:before="0" w:after="0" w:line="240" w:lineRule="atLeast"/>
            </w:pPr>
            <w:r>
              <w:rPr>
                <w:rFonts w:ascii="Arial" w:hAnsi="Arial" w:cs="Arial" w:eastAsia="Arial"/>
                <w:sz w:val="16"/>
                <w:szCs w:val="16"/>
              </w:rPr>
              <w:t>TRIFR</w:t>
            </w:r>
          </w:p>
        </w:tc>
        <w:tc>
          <w:tcPr>
            <w:tcW w:type="dxa" w:w="4889"/>
          </w:tcPr>
          <w:p>
            <w:pPr>
              <w:pStyle w:val="TableContents"/>
              <w:spacing w:before="0" w:after="0" w:line="240" w:lineRule="atLeast"/>
            </w:pPr>
            <w:r>
              <w:rPr>
                <w:rFonts w:ascii="Arial" w:hAnsi="Arial" w:cs="Arial" w:eastAsia="Arial"/>
                <w:sz w:val="16"/>
                <w:szCs w:val="16"/>
              </w:rPr>
              <w:t>Total Recordable Injury Frequency Rate - a safety performance metric expressing the number of recordable injuries per million hours worked, used to benchmark contractor HSESC performance during pre-qualification and ongoing monitoring.</w:t>
            </w:r>
          </w:p>
        </w:tc>
      </w:tr>
      <w:tr>
        <w:tc>
          <w:tcPr>
            <w:tcW w:type="dxa" w:w="4888"/>
          </w:tcPr>
          <w:p>
            <w:pPr>
              <w:pStyle w:val="TableContents"/>
              <w:spacing w:before="0" w:after="0" w:line="240" w:lineRule="atLeast"/>
            </w:pPr>
            <w:r>
              <w:rPr>
                <w:rFonts w:ascii="Arial" w:hAnsi="Arial" w:cs="Arial" w:eastAsia="Arial"/>
                <w:sz w:val="16"/>
                <w:szCs w:val="16"/>
              </w:rPr>
              <w:t>LTIFR</w:t>
            </w:r>
          </w:p>
        </w:tc>
        <w:tc>
          <w:tcPr>
            <w:tcW w:type="dxa" w:w="4889"/>
          </w:tcPr>
          <w:p>
            <w:pPr>
              <w:pStyle w:val="TableContents"/>
              <w:spacing w:before="0" w:after="0" w:line="240" w:lineRule="atLeast"/>
            </w:pPr>
            <w:r>
              <w:rPr>
                <w:rFonts w:ascii="Arial" w:hAnsi="Arial" w:cs="Arial" w:eastAsia="Arial"/>
                <w:sz w:val="16"/>
                <w:szCs w:val="16"/>
              </w:rPr>
              <w:t>Lost Time Injury Frequency Rate - a safety performance metric expressing the number of lost time injuries per million hours worked, used as part of contractor pre-qualification and performance monitoring criteria.</w:t>
            </w:r>
          </w:p>
        </w:tc>
      </w:tr>
      <w:tr>
        <w:tc>
          <w:tcPr>
            <w:tcW w:type="dxa" w:w="4888"/>
          </w:tcPr>
          <w:p>
            <w:pPr>
              <w:pStyle w:val="TableContents"/>
              <w:spacing w:before="0" w:after="0" w:line="240" w:lineRule="atLeast"/>
            </w:pPr>
            <w:r>
              <w:rPr>
                <w:rFonts w:ascii="Arial" w:hAnsi="Arial" w:cs="Arial" w:eastAsia="Arial"/>
                <w:sz w:val="16"/>
                <w:szCs w:val="16"/>
              </w:rPr>
              <w:t>S&amp;C</w:t>
            </w:r>
          </w:p>
        </w:tc>
        <w:tc>
          <w:tcPr>
            <w:tcW w:type="dxa" w:w="4889"/>
          </w:tcPr>
          <w:p>
            <w:pPr>
              <w:pStyle w:val="TableContents"/>
              <w:spacing w:before="0" w:after="0" w:line="240" w:lineRule="atLeast"/>
            </w:pPr>
            <w:r>
              <w:rPr>
                <w:rFonts w:ascii="Arial" w:hAnsi="Arial" w:cs="Arial" w:eastAsia="Arial"/>
                <w:sz w:val="16"/>
                <w:szCs w:val="16"/>
              </w:rPr>
              <w:t>Security and Community - the combined discipline within the HSESC framework addressing physical security risks and community relations obligations associated with project activities and supply chain engagement.</w:t>
            </w:r>
          </w:p>
        </w:tc>
      </w:tr>
      <w:tr>
        <w:tc>
          <w:tcPr>
            <w:tcW w:type="dxa" w:w="4888"/>
          </w:tcPr>
          <w:p>
            <w:pPr>
              <w:pStyle w:val="TableContents"/>
              <w:spacing w:before="0" w:after="0" w:line="240" w:lineRule="atLeast"/>
            </w:pPr>
            <w:r>
              <w:rPr>
                <w:rFonts w:ascii="Arial" w:hAnsi="Arial" w:cs="Arial" w:eastAsia="Arial"/>
                <w:sz w:val="16"/>
                <w:szCs w:val="16"/>
              </w:rPr>
              <w:t>PM</w:t>
            </w:r>
          </w:p>
        </w:tc>
        <w:tc>
          <w:tcPr>
            <w:tcW w:type="dxa" w:w="4889"/>
          </w:tcPr>
          <w:p>
            <w:pPr>
              <w:pStyle w:val="TableContents"/>
              <w:spacing w:before="0" w:after="0" w:line="240" w:lineRule="atLeast"/>
            </w:pPr>
            <w:r>
              <w:rPr>
                <w:rFonts w:ascii="Arial" w:hAnsi="Arial" w:cs="Arial" w:eastAsia="Arial"/>
                <w:sz w:val="16"/>
                <w:szCs w:val="16"/>
              </w:rPr>
              <w:t>Project Manager - the individual accountable for overall project delivery within Rio Tinto Projects, including ensuring supplier and contractor management obligations under this procedure are fulfilled.</w:t>
            </w:r>
          </w:p>
        </w:tc>
      </w:tr>
      <w:tr>
        <w:tc>
          <w:tcPr>
            <w:tcW w:type="dxa" w:w="4888"/>
          </w:tcPr>
          <w:p>
            <w:pPr>
              <w:pStyle w:val="TableContents"/>
              <w:spacing w:before="0" w:after="0" w:line="240" w:lineRule="atLeast"/>
            </w:pPr>
            <w:r>
              <w:rPr>
                <w:rFonts w:ascii="Arial" w:hAnsi="Arial" w:cs="Arial" w:eastAsia="Arial"/>
                <w:sz w:val="16"/>
                <w:szCs w:val="16"/>
              </w:rPr>
              <w:t>SCM</w:t>
            </w:r>
          </w:p>
        </w:tc>
        <w:tc>
          <w:tcPr>
            <w:tcW w:type="dxa" w:w="4889"/>
          </w:tcPr>
          <w:p>
            <w:pPr>
              <w:pStyle w:val="TableContents"/>
              <w:spacing w:before="0" w:after="0" w:line="240" w:lineRule="atLeast"/>
            </w:pPr>
            <w:r>
              <w:rPr>
                <w:rFonts w:ascii="Arial" w:hAnsi="Arial" w:cs="Arial" w:eastAsia="Arial"/>
                <w:sz w:val="16"/>
                <w:szCs w:val="16"/>
              </w:rPr>
              <w:t>Supply Chain Manager - the designated project role responsible for leading the procurement, pre-qualification, contract management, and ongoing performance monitoring of suppliers and contractors.</w:t>
            </w:r>
          </w:p>
        </w:tc>
      </w:tr>
      <w:tr>
        <w:tc>
          <w:tcPr>
            <w:tcW w:type="dxa" w:w="4888"/>
          </w:tcPr>
          <w:p>
            <w:pPr>
              <w:pStyle w:val="TableContents"/>
              <w:spacing w:before="0" w:after="0" w:line="240" w:lineRule="atLeast"/>
            </w:pPr>
            <w:r>
              <w:rPr>
                <w:rFonts w:ascii="Arial" w:hAnsi="Arial" w:cs="Arial" w:eastAsia="Arial"/>
                <w:sz w:val="16"/>
                <w:szCs w:val="16"/>
              </w:rPr>
              <w:t>HSESC Lead</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Community Lead - the project role responsible for providing specialist advice and oversight on all HSESC matters related to contractor selection, onboarding, and compliance monitoring.</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Document Control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Business Resilience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Policy</w:t>
            </w:r>
          </w:p>
        </w:tc>
        <w:tc>
          <w:tcPr>
            <w:tcW w:type="dxa" w:w="3259"/>
          </w:tcPr>
          <w:p>
            <w:pPr>
              <w:pStyle w:val="TableContents"/>
              <w:spacing w:before="0" w:after="0" w:line="240" w:lineRule="atLeast"/>
            </w:pPr>
            <w:r>
              <w:rPr>
                <w:rFonts w:ascii="Arial" w:hAnsi="Arial" w:cs="Arial" w:eastAsia="Arial"/>
                <w:sz w:val="16"/>
                <w:szCs w:val="16"/>
              </w:rPr>
              <w:t>RT HSE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Supplier and Contractor Management Standard</w:t>
            </w:r>
          </w:p>
        </w:tc>
        <w:tc>
          <w:tcPr>
            <w:tcW w:type="dxa" w:w="3259"/>
          </w:tcPr>
          <w:p>
            <w:pPr>
              <w:pStyle w:val="TableContents"/>
              <w:spacing w:before="0" w:after="0" w:line="240" w:lineRule="atLeast"/>
            </w:pPr>
            <w:r>
              <w:rPr>
                <w:rFonts w:ascii="Arial" w:hAnsi="Arial" w:cs="Arial" w:eastAsia="Arial"/>
                <w:sz w:val="16"/>
                <w:szCs w:val="16"/>
              </w:rPr>
              <w:t>RT Supplier and Contractor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Code of Business Conduct and Ethics</w:t>
            </w:r>
          </w:p>
        </w:tc>
        <w:tc>
          <w:tcPr>
            <w:tcW w:type="dxa" w:w="3259"/>
          </w:tcPr>
          <w:p>
            <w:pPr>
              <w:pStyle w:val="TableContents"/>
              <w:spacing w:before="0" w:after="0" w:line="240" w:lineRule="atLeast"/>
            </w:pPr>
            <w:r>
              <w:rPr>
                <w:rFonts w:ascii="Arial" w:hAnsi="Arial" w:cs="Arial" w:eastAsia="Arial"/>
                <w:sz w:val="16"/>
                <w:szCs w:val="16"/>
              </w:rPr>
              <w:t>RT CoBC</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ISO 45001 - Occupational Health and Safety Management Systems: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14001 - Environmental Management Systems: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31000 - Risk Management: Guidelines</w:t>
            </w:r>
          </w:p>
        </w:tc>
        <w:tc>
          <w:tcPr>
            <w:tcW w:type="dxa" w:w="3259"/>
          </w:tcPr>
          <w:p>
            <w:pPr>
              <w:pStyle w:val="TableContents"/>
              <w:spacing w:before="0" w:after="0" w:line="240" w:lineRule="atLeast"/>
            </w:pPr>
            <w:r>
              <w:rPr>
                <w:rFonts w:ascii="Arial" w:hAnsi="Arial" w:cs="Arial" w:eastAsia="Arial"/>
                <w:sz w:val="16"/>
                <w:szCs w:val="16"/>
              </w:rPr>
              <w:t>ISO 31000:2018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Act</w:t>
            </w:r>
          </w:p>
        </w:tc>
        <w:tc>
          <w:tcPr>
            <w:tcW w:type="dxa" w:w="3259"/>
          </w:tcPr>
          <w:p>
            <w:pPr>
              <w:pStyle w:val="TableContents"/>
              <w:spacing w:before="0" w:after="0" w:line="240" w:lineRule="atLeast"/>
            </w:pPr>
            <w:r>
              <w:rPr>
                <w:rFonts w:ascii="Arial" w:hAnsi="Arial" w:cs="Arial" w:eastAsia="Arial"/>
                <w:sz w:val="16"/>
                <w:szCs w:val="16"/>
              </w:rPr>
              <w:t>WHS Act (jurisdiction-applicable)</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Regulations</w:t>
            </w:r>
          </w:p>
        </w:tc>
        <w:tc>
          <w:tcPr>
            <w:tcW w:type="dxa" w:w="3259"/>
          </w:tcPr>
          <w:p>
            <w:pPr>
              <w:pStyle w:val="TableContents"/>
              <w:spacing w:before="0" w:after="0" w:line="240" w:lineRule="atLeast"/>
            </w:pPr>
            <w:r>
              <w:rPr>
                <w:rFonts w:ascii="Arial" w:hAnsi="Arial" w:cs="Arial" w:eastAsia="Arial"/>
                <w:sz w:val="16"/>
                <w:szCs w:val="16"/>
              </w:rPr>
              <w:t>WHS Regulations (jurisdiction-applicable)</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§22.5</w:t>
            </w:r>
          </w:p>
        </w:tc>
        <w:tc>
          <w:tcPr>
            <w:tcW w:type="dxa" w:w="2256"/>
          </w:tcPr>
          <w:p>
            <w:pPr>
              <w:pStyle w:val="TableContents"/>
              <w:spacing w:before="0" w:after="0" w:line="240" w:lineRule="atLeast"/>
            </w:pPr>
            <w:r>
              <w:rPr>
                <w:rFonts w:ascii="Arial" w:hAnsi="Arial" w:cs="Arial" w:eastAsia="Arial"/>
                <w:sz w:val="16"/>
                <w:szCs w:val="16"/>
              </w:rPr>
              <w:t>Requires documented HSESC evaluation of all proposed contractors before award, defines minimum evaluation criteria, and requires contractor HSESC plans to be aligned with the project management system before work commences, including integration of contractor ERPs.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§22.6</w:t>
            </w:r>
          </w:p>
        </w:tc>
        <w:tc>
          <w:tcPr>
            <w:tcW w:type="dxa" w:w="2256"/>
          </w:tcPr>
          <w:p>
            <w:pPr>
              <w:pStyle w:val="TableContents"/>
              <w:spacing w:before="0" w:after="0" w:line="240" w:lineRule="atLeast"/>
            </w:pPr>
            <w:r>
              <w:rPr>
                <w:rFonts w:ascii="Arial" w:hAnsi="Arial" w:cs="Arial" w:eastAsia="Arial"/>
                <w:sz w:val="16"/>
                <w:szCs w:val="16"/>
              </w:rPr>
              <w:t>Requires a dedicated HSESC risk management approach for procurement of materials, equipment, services, and labour, as suppliers are outside the Appendix C framework.</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§22.6.1</w:t>
            </w:r>
          </w:p>
        </w:tc>
        <w:tc>
          <w:tcPr>
            <w:tcW w:type="dxa" w:w="2256"/>
          </w:tcPr>
          <w:p>
            <w:pPr>
              <w:pStyle w:val="TableContents"/>
              <w:spacing w:before="0" w:after="0" w:line="240" w:lineRule="atLeast"/>
            </w:pPr>
            <w:r>
              <w:rPr>
                <w:rFonts w:ascii="Arial" w:hAnsi="Arial" w:cs="Arial" w:eastAsia="Arial"/>
                <w:sz w:val="16"/>
                <w:szCs w:val="16"/>
              </w:rPr>
              <w:t>Confirms that suppliers are excluded from the Appendix C framework and requires a separate HSESC risk management approach for all procurement activities.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§22.3.1</w:t>
            </w:r>
          </w:p>
        </w:tc>
        <w:tc>
          <w:tcPr>
            <w:tcW w:type="dxa" w:w="2256"/>
          </w:tcPr>
          <w:p>
            <w:pPr>
              <w:pStyle w:val="TableContents"/>
              <w:spacing w:before="0" w:after="0" w:line="240" w:lineRule="atLeast"/>
            </w:pPr>
            <w:r>
              <w:rPr>
                <w:rFonts w:ascii="Arial" w:hAnsi="Arial" w:cs="Arial" w:eastAsia="Arial"/>
                <w:sz w:val="16"/>
                <w:szCs w:val="16"/>
              </w:rPr>
              <w:t>Requires preparation and implementation of an HSESC Execution Readiness Plan for all locations where work is performed, agreed with the Company before work commences.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§34</w:t>
            </w:r>
          </w:p>
        </w:tc>
        <w:tc>
          <w:tcPr>
            <w:tcW w:type="dxa" w:w="2256"/>
          </w:tcPr>
          <w:p>
            <w:pPr>
              <w:pStyle w:val="TableContents"/>
              <w:spacing w:before="0" w:after="0" w:line="240" w:lineRule="atLeast"/>
            </w:pPr>
            <w:r>
              <w:rPr>
                <w:rFonts w:ascii="Arial" w:hAnsi="Arial" w:cs="Arial" w:eastAsia="Arial"/>
                <w:sz w:val="16"/>
                <w:szCs w:val="16"/>
              </w:rPr>
              <w:t>Requires monitoring of contractor HSESC compliance through regular performance reviews and inspections, with all compliance activities documented.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§34.1</w:t>
            </w:r>
          </w:p>
        </w:tc>
        <w:tc>
          <w:tcPr>
            <w:tcW w:type="dxa" w:w="2256"/>
          </w:tcPr>
          <w:p>
            <w:pPr>
              <w:pStyle w:val="TableContents"/>
              <w:spacing w:before="0" w:after="0" w:line="240" w:lineRule="atLeast"/>
            </w:pPr>
            <w:r>
              <w:rPr>
                <w:rFonts w:ascii="Arial" w:hAnsi="Arial" w:cs="Arial" w:eastAsia="Arial"/>
                <w:sz w:val="16"/>
                <w:szCs w:val="16"/>
              </w:rPr>
              <w:t>Requires that all Appendix C requirements are communicated to subcontractors during onboarding and that subcontractor HSESC plans are aligned with the project HSESCMP before work commences.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§34.3</w:t>
            </w:r>
          </w:p>
        </w:tc>
        <w:tc>
          <w:tcPr>
            <w:tcW w:type="dxa" w:w="2256"/>
          </w:tcPr>
          <w:p>
            <w:pPr>
              <w:pStyle w:val="TableContents"/>
              <w:spacing w:before="0" w:after="0" w:line="240" w:lineRule="atLeast"/>
            </w:pPr>
            <w:r>
              <w:rPr>
                <w:rFonts w:ascii="Arial" w:hAnsi="Arial" w:cs="Arial" w:eastAsia="Arial"/>
                <w:sz w:val="16"/>
                <w:szCs w:val="16"/>
              </w:rPr>
              <w:t>Requires monitoring of subcontractor compliance with HSESC requirements through regular performance reviews and inspections, with all compliance activities documented.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§21 and Guidance Note §GN36</w:t>
            </w:r>
          </w:p>
        </w:tc>
        <w:tc>
          <w:tcPr>
            <w:tcW w:type="dxa" w:w="2256"/>
          </w:tcPr>
          <w:p>
            <w:pPr>
              <w:pStyle w:val="TableContents"/>
              <w:spacing w:before="0" w:after="0" w:line="240" w:lineRule="atLeast"/>
            </w:pPr>
            <w:r>
              <w:rPr>
                <w:rFonts w:ascii="Arial" w:hAnsi="Arial" w:cs="Arial" w:eastAsia="Arial"/>
                <w:sz w:val="16"/>
                <w:szCs w:val="16"/>
              </w:rPr>
              <w:t>Requires that HSESC obligations communicated to contractors are proportionate to the risks of their scope of work, with high-risk scopes requiring more extensive obligations.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Guidance Note §GN33</w:t>
            </w:r>
          </w:p>
        </w:tc>
        <w:tc>
          <w:tcPr>
            <w:tcW w:type="dxa" w:w="2256"/>
          </w:tcPr>
          <w:p>
            <w:pPr>
              <w:pStyle w:val="TableContents"/>
              <w:spacing w:before="0" w:after="0" w:line="240" w:lineRule="atLeast"/>
            </w:pPr>
            <w:r>
              <w:rPr>
                <w:rFonts w:ascii="Arial" w:hAnsi="Arial" w:cs="Arial" w:eastAsia="Arial"/>
                <w:sz w:val="16"/>
                <w:szCs w:val="16"/>
              </w:rPr>
              <w:t>Requires HSESC obligations to be embedded in contractual terms, including compliance with the project management system, participation in audits, and mandatory incident reporting.</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PS2 §25</w:t>
            </w:r>
          </w:p>
        </w:tc>
        <w:tc>
          <w:tcPr>
            <w:tcW w:type="dxa" w:w="2256"/>
          </w:tcPr>
          <w:p>
            <w:pPr>
              <w:pStyle w:val="TableContents"/>
              <w:spacing w:before="0" w:after="0" w:line="240" w:lineRule="atLeast"/>
            </w:pPr>
            <w:r>
              <w:rPr>
                <w:rFonts w:ascii="Arial" w:hAnsi="Arial" w:cs="Arial" w:eastAsia="Arial"/>
                <w:sz w:val="16"/>
                <w:szCs w:val="16"/>
              </w:rPr>
              <w:t>Requires policies and procedures for managing and monitoring the performance of contracted workers in relation to the project management system requirements.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PS2 §27-30</w:t>
            </w:r>
          </w:p>
        </w:tc>
        <w:tc>
          <w:tcPr>
            <w:tcW w:type="dxa" w:w="2256"/>
          </w:tcPr>
          <w:p>
            <w:pPr>
              <w:pStyle w:val="TableContents"/>
              <w:spacing w:before="0" w:after="0" w:line="240" w:lineRule="atLeast"/>
            </w:pPr>
            <w:r>
              <w:rPr>
                <w:rFonts w:ascii="Arial" w:hAnsi="Arial" w:cs="Arial" w:eastAsia="Arial"/>
                <w:sz w:val="16"/>
                <w:szCs w:val="16"/>
              </w:rPr>
              <w:t>Requires identification of primary supply chain risks and, where significant OHS issues exist with suppliers, processes to address those risks proportionate to the level of supply chain control.</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Safe, Healthy and Respectful Workplaces Protocol, Indicator SH1</w:t>
            </w:r>
          </w:p>
        </w:tc>
        <w:tc>
          <w:tcPr>
            <w:tcW w:type="dxa" w:w="2256"/>
          </w:tcPr>
          <w:p>
            <w:pPr>
              <w:pStyle w:val="TableContents"/>
              <w:spacing w:before="0" w:after="0" w:line="240" w:lineRule="atLeast"/>
            </w:pPr>
            <w:r>
              <w:rPr>
                <w:rFonts w:ascii="Arial" w:hAnsi="Arial" w:cs="Arial" w:eastAsia="Arial"/>
                <w:sz w:val="16"/>
                <w:szCs w:val="16"/>
              </w:rPr>
              <w:t>Requires that accountability for the safety and health performance of contracted workers is retained at the project owner level.</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RP 2016 - Multiemployer Worksites</w:t>
            </w:r>
          </w:p>
        </w:tc>
        <w:tc>
          <w:tcPr>
            <w:tcW w:type="dxa" w:w="2256"/>
          </w:tcPr>
          <w:p>
            <w:pPr>
              <w:pStyle w:val="TableContents"/>
              <w:spacing w:before="0" w:after="0" w:line="240" w:lineRule="atLeast"/>
            </w:pPr>
            <w:r>
              <w:rPr>
                <w:rFonts w:ascii="Arial" w:hAnsi="Arial" w:cs="Arial" w:eastAsia="Arial"/>
                <w:sz w:val="16"/>
                <w:szCs w:val="16"/>
              </w:rPr>
              <w:t>Defines the project's role as the controlling employer, responsible for ensuring all contractors comply with HSESC requirements and that contractor workers are protected from hazards created by any employer on site.</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