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Documentation and Document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Documentation and Document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how HSESC documents are created, reviewed, approved, distributed, controlled, revised, and retained across the owner-led project management system. All RT project team members and contractor organisations operating under the system are subject to this procedure.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documentation and document control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document control domains it governs, and the lifecycle phases across which it applies from project Execution through to Handover.</w:t>
      </w:r>
    </w:p>
    <w:p>
      <w:pPr>
        <w:pStyle w:val="Heading2Numbered"/>
      </w:pPr>
      <w:r>
        <w:t>3.1  Purpose of This Document</w:t>
      </w:r>
    </w:p>
    <w:p>
      <w:pPr>
        <w:pStyle w:val="NormalNumberedtext"/>
      </w:pPr>
      <w:r>
        <w:t>This section states the purpose of this procedure and the document control requirements it establishes for the project.</w:t>
      </w:r>
    </w:p>
    <w:p>
      <w:pPr>
        <w:pStyle w:val="NormalNumberedtext"/>
      </w:pPr>
      <w:r>
        <w:t>This procedure meets the following purpose requirements:</w:t>
      </w:r>
    </w:p>
    <w:p>
      <w:pPr>
        <w:pStyle w:val="NormalNumberedtext"/>
      </w:pPr>
      <w:r>
        <w:t>This procedure governs the identification, preparation, review, approval, distribution, version control, and retention of all HSESC documents produced on this project:</w:t>
      </w:r>
    </w:p>
    <w:p>
      <w:pPr>
        <w:pStyle w:val="NumberedBulletL1"/>
      </w:pPr>
      <w:r>
        <w:t>This procedure applies the document control framework defined for the project and supports [INSERT: project name].</w:t>
      </w:r>
    </w:p>
    <w:p>
      <w:pPr>
        <w:pStyle w:val="NumberedBulletL1"/>
      </w:pPr>
      <w:r>
        <w:t>This procedure operationalises Rio Tinto Group document control requirements into a documented, project-specific process for maintaining a controlled and accessible HSESC documentation system.</w:t>
      </w:r>
    </w:p>
    <w:p>
      <w:pPr>
        <w:pStyle w:val="NumberedBulletL1"/>
      </w:pPr>
      <w:r>
        <w:t>This procedure defines requirements from project Execution through to Handover and closure, covering all health, safety, environment, security, and community documentation in one integrated system.</w:t>
      </w:r>
    </w:p>
    <w:p>
      <w:pPr>
        <w:pStyle w:val="Heading2Numbered"/>
      </w:pPr>
      <w:r>
        <w:t>3.2  Scope of This Document</w:t>
      </w:r>
    </w:p>
    <w:p>
      <w:pPr>
        <w:pStyle w:val="NormalNumberedtext"/>
      </w:pPr>
      <w:r>
        <w:t>This section defines which document types, lifecycle phases, and personnel are governed by this procedure.</w:t>
      </w:r>
    </w:p>
    <w:p>
      <w:pPr>
        <w:pStyle w:val="NormalNumberedtext"/>
      </w:pPr>
      <w:r>
        <w:t>This procedure applies the following scope requirements:</w:t>
      </w:r>
    </w:p>
    <w:p>
      <w:pPr>
        <w:pStyle w:val="NormalNumberedtext"/>
      </w:pPr>
      <w:r>
        <w:t>This procedure applies to:</w:t>
      </w:r>
    </w:p>
    <w:p>
      <w:pPr>
        <w:pStyle w:val="NumberedBulletL1"/>
      </w:pPr>
      <w:r>
        <w:t>All HSESC documents produced, received, or maintained under this project management system, across all four tiers of the document hierarchy.</w:t>
      </w:r>
    </w:p>
    <w:p>
      <w:pPr>
        <w:pStyle w:val="NumberedBulletL1"/>
      </w:pPr>
      <w:r>
        <w:t>All Rio Tinto project personnel, all contractor organisations, and any subcontractor operating within the project boundary who produces or uses controlled HSESC documentation.</w:t>
      </w:r>
    </w:p>
    <w:p>
      <w:pPr>
        <w:pStyle w:val="NumberedBulletL1"/>
      </w:pPr>
      <w:r>
        <w:t>All project lifecycle phases from Execution to Commissioning and Handover.</w:t>
      </w:r>
    </w:p>
    <w:p>
      <w:pPr>
        <w:pStyle w:val="NumberedBulletL1"/>
      </w:pPr>
      <w:r>
        <w:t>External origin documents — including applicable legislation, regulatory guidance, permits, approvals, consent conditions, and Company standards — that are relevant to this project and required to be identified and incorporated into the document control system.</w:t>
      </w:r>
    </w:p>
    <w:p>
      <w:pPr>
        <w:pStyle w:val="Heading1Numbered"/>
      </w:pPr>
      <w:r>
        <w:t>4  Document Hierarchy and Identification</w:t>
      </w:r>
    </w:p>
    <w:p>
      <w:pPr>
        <w:pStyle w:val="NormalNumberedtext"/>
      </w:pPr>
      <w:r>
        <w:t>This section defines the four-tier document hierarchy, the document naming and numbering convention, the Document Register requirements, and the treatment of external origin documents.</w:t>
      </w:r>
    </w:p>
    <w:p>
      <w:pPr>
        <w:pStyle w:val="Heading2Numbered"/>
      </w:pPr>
      <w:r>
        <w:t>4.1  Four-Tier Document Hierarchy</w:t>
      </w:r>
    </w:p>
    <w:p>
      <w:pPr>
        <w:pStyle w:val="NormalNumberedtext"/>
      </w:pPr>
      <w:r>
        <w:t>This section defines each tier of the project document hierarchy and the document types that sit within each tier.</w:t>
      </w:r>
    </w:p>
    <w:p>
      <w:pPr>
        <w:pStyle w:val="NormalNumberedtext"/>
      </w:pPr>
      <w:r>
        <w:t>All HSESC documents on this project are classified within a four-tier hierarchy that reflects the level of authority, scope, and specificity of each document type. Key management commitments — including policies, management plans, and monitoring commitments — are documented and accessible to relevant project participants and stakeholders consistent with IFC Performance Standard 1.</w:t>
      </w:r>
    </w:p>
    <w:p>
      <w:pPr>
        <w:pStyle w:val="NormalNumberedtext"/>
      </w:pPr>
      <w:r>
        <w:t>Table 1: HSESC Document Hierarchy</w:t>
      </w:r>
    </w:p>
    <w:tbl>
      <w:tblPr>
        <w:tblStyle w:val="TableOption2"/>
        <w:tblW w:type="pct" w:w="5000"/>
      </w:tblPr>
      <w:tr>
        <w:trPr>
          <w:tblHeader/>
        </w:trPr>
        <w:tc>
          <w:tcPr>
            <w:shd w:val="clear" w:color="auto" w:fill="1F3864"/>
          </w:tcPr>
          <w:p>
            <w:pPr>
              <w:pStyle w:val="TableContents"/>
            </w:pPr>
            <w:r>
              <w:rPr>
                <w:b/>
                <w:bCs/>
                <w:color w:val="FFFFFF"/>
              </w:rPr>
              <w:t>Tier</w:t>
            </w:r>
          </w:p>
        </w:tc>
        <w:tc>
          <w:tcPr>
            <w:shd w:val="clear" w:color="auto" w:fill="1F3864"/>
          </w:tcPr>
          <w:p>
            <w:pPr>
              <w:pStyle w:val="TableContents"/>
            </w:pPr>
            <w:r>
              <w:rPr>
                <w:b/>
                <w:bCs/>
                <w:color w:val="FFFFFF"/>
              </w:rPr>
              <w:t>Document Type</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Approval Authority</w:t>
            </w:r>
          </w:p>
        </w:tc>
      </w:tr>
      <w:tr>
        <w:tc>
          <w:tcPr/>
          <w:p>
            <w:pPr>
              <w:pStyle w:val="TableContents"/>
            </w:pPr>
            <w:r>
              <w:t>Tier 1</w:t>
            </w:r>
          </w:p>
        </w:tc>
        <w:tc>
          <w:tcPr/>
          <w:p>
            <w:pPr>
              <w:pStyle w:val="TableContents"/>
            </w:pPr>
            <w:r>
              <w:t>Policies</w:t>
            </w:r>
          </w:p>
        </w:tc>
        <w:tc>
          <w:tcPr/>
          <w:p>
            <w:pPr>
              <w:pStyle w:val="TableContents"/>
            </w:pPr>
            <w:r>
              <w:t>Overarching statements of Rio Tinto commitment, applicable across all projects and assets. Tier 1 documents are issued by Rio Tinto Group and are not modified at project level.</w:t>
            </w:r>
          </w:p>
        </w:tc>
        <w:tc>
          <w:tcPr/>
          <w:p>
            <w:pPr>
              <w:pStyle w:val="TableContents"/>
            </w:pPr>
            <w:r>
              <w:t>Rio Tinto Group Executive</w:t>
            </w:r>
          </w:p>
        </w:tc>
      </w:tr>
      <w:tr>
        <w:tc>
          <w:tcPr/>
          <w:p>
            <w:pPr>
              <w:pStyle w:val="TableContents"/>
            </w:pPr>
            <w:r>
              <w:t>Tier 2</w:t>
            </w:r>
          </w:p>
        </w:tc>
        <w:tc>
          <w:tcPr/>
          <w:p>
            <w:pPr>
              <w:pStyle w:val="TableContents"/>
            </w:pPr>
            <w:r>
              <w:t>Plans and Standards</w:t>
            </w:r>
          </w:p>
        </w:tc>
        <w:tc>
          <w:tcPr/>
          <w:p>
            <w:pPr>
              <w:pStyle w:val="TableContents"/>
            </w:pPr>
            <w:r>
              <w:t>Project-level management plans and technical standards that operationalise Tier 1 policies for this project. Tier 2 documents define what will be done and to what standard.</w:t>
            </w:r>
          </w:p>
        </w:tc>
        <w:tc>
          <w:tcPr/>
          <w:p>
            <w:pPr>
              <w:pStyle w:val="TableContents"/>
            </w:pPr>
            <w:r>
              <w:rPr>
                <w:b/>
                <w:bCs/>
                <w:color w:val="0059D1"/>
              </w:rPr>
              <w:t>[INSERT: Approval authority for Tier 2 documents — refer Section 3.2 approval matrix]</w:t>
            </w:r>
          </w:p>
        </w:tc>
      </w:tr>
      <w:tr>
        <w:tc>
          <w:tcPr/>
          <w:p>
            <w:pPr>
              <w:pStyle w:val="TableContents"/>
            </w:pPr>
            <w:r>
              <w:t>Tier 3</w:t>
            </w:r>
          </w:p>
        </w:tc>
        <w:tc>
          <w:tcPr/>
          <w:p>
            <w:pPr>
              <w:pStyle w:val="TableContents"/>
            </w:pPr>
            <w:r>
              <w:t>Procedures and Protocols</w:t>
            </w:r>
          </w:p>
        </w:tc>
        <w:tc>
          <w:tcPr/>
          <w:p>
            <w:pPr>
              <w:pStyle w:val="TableContents"/>
            </w:pPr>
            <w:r>
              <w:t>Step-by-step operational documents defining how specific activities are to be carried out. Tier 3 documents are used by the project team and contractor personnel conducting work.</w:t>
            </w:r>
          </w:p>
        </w:tc>
        <w:tc>
          <w:tcPr/>
          <w:p>
            <w:pPr>
              <w:pStyle w:val="TableContents"/>
            </w:pPr>
            <w:r>
              <w:rPr>
                <w:b/>
                <w:bCs/>
                <w:color w:val="0059D1"/>
              </w:rPr>
              <w:t>[INSERT: Approval authority for Tier 3 documents — refer Section 3.2 approval matrix]</w:t>
            </w:r>
          </w:p>
        </w:tc>
      </w:tr>
      <w:tr>
        <w:tc>
          <w:tcPr/>
          <w:p>
            <w:pPr>
              <w:pStyle w:val="TableContents"/>
            </w:pPr>
            <w:r>
              <w:t>Tier 4</w:t>
            </w:r>
          </w:p>
        </w:tc>
        <w:tc>
          <w:tcPr/>
          <w:p>
            <w:pPr>
              <w:pStyle w:val="TableContents"/>
            </w:pPr>
            <w:r>
              <w:t>Forms, Registers, and Records</w:t>
            </w:r>
          </w:p>
        </w:tc>
        <w:tc>
          <w:tcPr/>
          <w:p>
            <w:pPr>
              <w:pStyle w:val="TableContents"/>
            </w:pPr>
            <w:r>
              <w:t>Completed instruments used to capture, track, and evidence compliance with Tier 2 and Tier 3 requirements. Tier 4 documents are generated continuously throughout the project.</w:t>
            </w:r>
          </w:p>
        </w:tc>
        <w:tc>
          <w:tcPr/>
          <w:p>
            <w:pPr>
              <w:pStyle w:val="TableContents"/>
            </w:pPr>
            <w:r>
              <w:rPr>
                <w:b/>
                <w:bCs/>
                <w:color w:val="0059D1"/>
              </w:rPr>
              <w:t>[INSERT: Approval authority for Tier 4 documents — refer Section 3.2 approval matrix]</w:t>
            </w:r>
          </w:p>
        </w:tc>
      </w:tr>
    </w:tbl>
    <w:p>
      <w:pPr>
        <w:pStyle w:val="Default"/>
      </w:pPr>
    </w:p>
    <w:p>
      <w:pPr>
        <w:pStyle w:val="NormalNumberedtext"/>
      </w:pPr>
      <w:r>
        <w:t>All documents within the four-tier hierarchy must carry a unique document number, a revision number, and a scheduled review date. Documents without these identifiers are not considered controlled and must not be issued or used as reference documents on this project.</w:t>
      </w:r>
    </w:p>
    <w:p>
      <w:pPr>
        <w:pStyle w:val="Heading2Numbered"/>
      </w:pPr>
      <w:r>
        <w:t>4.2  Document Naming and Numbering Convention</w:t>
      </w:r>
    </w:p>
    <w:p>
      <w:pPr>
        <w:pStyle w:val="NormalNumberedtext"/>
      </w:pPr>
      <w:r>
        <w:t>This section defines the document numbering and naming convention applied to all controlled documents on this project.</w:t>
      </w:r>
    </w:p>
    <w:tbl>
      <w:tblPr>
        <w:tblStyle w:val="TableOption1"/>
        <w:tblW w:type="pct" w:w="5000"/>
      </w:tblPr>
      <w:tr>
        <w:tc>
          <w:tcPr>
            <w:shd w:val="clear" w:color="auto" w:fill="FFF2CC"/>
          </w:tcPr>
          <w:p>
            <w:pPr>
              <w:pStyle w:val="Instructions"/>
            </w:pPr>
            <w:r>
              <w:rPr>
                <w:b/>
                <w:bCs/>
                <w:color w:val="C55A11"/>
              </w:rPr>
              <w:t>CRITICAL — Before any document is issued under this system, the project team must define and confirm the document numbering convention below and populate the Document Register (RTPR-HSE-REG-0002). All 47 procedures require a project-specific document number in addition to the system reference number. Replace all [INSERT:] placeholders in this section before issue.</w:t>
            </w:r>
          </w:p>
        </w:tc>
      </w:tr>
    </w:tbl>
    <w:p>
      <w:pPr>
        <w:pStyle w:val="Default"/>
      </w:pPr>
    </w:p>
    <w:p>
      <w:pPr>
        <w:pStyle w:val="NormalNumberedtext"/>
      </w:pPr>
      <w:r>
        <w:t>All controlled HSESC documents on this project are assigned a unique identifier constructed from the following fields:</w:t>
      </w:r>
    </w:p>
    <w:p>
      <w:pPr>
        <w:pStyle w:val="NormalNumberedtext"/>
      </w:pPr>
      <w:r>
        <w:t>Table 2: Document Numbering Convention</w:t>
      </w:r>
    </w:p>
    <w:tbl>
      <w:tblPr>
        <w:tblStyle w:val="TableOption2"/>
        <w:tblW w:type="pct" w:w="5000"/>
      </w:tblPr>
      <w:tr>
        <w:trPr>
          <w:tblHeader/>
        </w:trPr>
        <w:tc>
          <w:tcPr>
            <w:shd w:val="clear" w:color="auto" w:fill="1F3864"/>
          </w:tcPr>
          <w:p>
            <w:pPr>
              <w:pStyle w:val="TableContents"/>
            </w:pPr>
            <w:r>
              <w:rPr>
                <w:b/>
                <w:bCs/>
                <w:color w:val="FFFFFF"/>
              </w:rPr>
              <w:t>Field</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Example</w:t>
            </w:r>
          </w:p>
        </w:tc>
      </w:tr>
      <w:tr>
        <w:tc>
          <w:tcPr/>
          <w:p>
            <w:pPr>
              <w:pStyle w:val="TableContents"/>
            </w:pPr>
            <w:r>
              <w:t>Project Code</w:t>
            </w:r>
          </w:p>
        </w:tc>
        <w:tc>
          <w:tcPr/>
          <w:p>
            <w:pPr>
              <w:pStyle w:val="TableContents"/>
            </w:pPr>
            <w:r>
              <w:t>Short alphanumeric code identifying this project.</w:t>
            </w:r>
          </w:p>
        </w:tc>
        <w:tc>
          <w:tcPr/>
          <w:p>
            <w:pPr>
              <w:pStyle w:val="TableContents"/>
            </w:pPr>
            <w:r>
              <w:rPr>
                <w:b/>
                <w:bCs/>
                <w:color w:val="0059D1"/>
              </w:rPr>
              <w:t>[INSERT: e.g. RTPR]</w:t>
            </w:r>
          </w:p>
        </w:tc>
      </w:tr>
      <w:tr>
        <w:tc>
          <w:tcPr/>
          <w:p>
            <w:pPr>
              <w:pStyle w:val="TableContents"/>
            </w:pPr>
            <w:r>
              <w:t>Discipline Code</w:t>
            </w:r>
          </w:p>
        </w:tc>
        <w:tc>
          <w:tcPr/>
          <w:p>
            <w:pPr>
              <w:pStyle w:val="TableContents"/>
            </w:pPr>
            <w:r>
              <w:t>Two to four letter code identifying the management domain.</w:t>
            </w:r>
          </w:p>
        </w:tc>
        <w:tc>
          <w:tcPr/>
          <w:p>
            <w:pPr>
              <w:pStyle w:val="TableContents"/>
            </w:pPr>
            <w:r>
              <w:t>HSE — Health, Safety and Environment; SEC — Security; COM — Community</w:t>
            </w:r>
          </w:p>
        </w:tc>
      </w:tr>
      <w:tr>
        <w:tc>
          <w:tcPr/>
          <w:p>
            <w:pPr>
              <w:pStyle w:val="TableContents"/>
            </w:pPr>
            <w:r>
              <w:t>Document Type Code</w:t>
            </w:r>
          </w:p>
        </w:tc>
        <w:tc>
          <w:tcPr/>
          <w:p>
            <w:pPr>
              <w:pStyle w:val="TableContents"/>
            </w:pPr>
            <w:r>
              <w:t>Three letter code identifying the document tier and type.</w:t>
            </w:r>
          </w:p>
        </w:tc>
        <w:tc>
          <w:tcPr/>
          <w:p>
            <w:pPr>
              <w:pStyle w:val="TableContents"/>
            </w:pPr>
            <w:r>
              <w:t>POL — Policy; PLN — Plan; PRO — Procedure; FRM — Form; REG — Register</w:t>
            </w:r>
          </w:p>
        </w:tc>
      </w:tr>
      <w:tr>
        <w:tc>
          <w:tcPr/>
          <w:p>
            <w:pPr>
              <w:pStyle w:val="TableContents"/>
            </w:pPr>
            <w:r>
              <w:t>Sequential Number</w:t>
            </w:r>
          </w:p>
        </w:tc>
        <w:tc>
          <w:tcPr/>
          <w:p>
            <w:pPr>
              <w:pStyle w:val="TableContents"/>
            </w:pPr>
            <w:r>
              <w:t>Four digit sequential number unique within the document type and discipline.</w:t>
            </w:r>
          </w:p>
        </w:tc>
        <w:tc>
          <w:tcPr/>
          <w:p>
            <w:pPr>
              <w:pStyle w:val="TableContents"/>
            </w:pPr>
            <w:r>
              <w:rPr>
                <w:b/>
                <w:bCs/>
                <w:color w:val="0059D1"/>
              </w:rPr>
              <w:t>[INSERT: e.g. 0001, 0010, 0043]</w:t>
            </w:r>
          </w:p>
        </w:tc>
      </w:tr>
      <w:tr>
        <w:tc>
          <w:tcPr/>
          <w:p>
            <w:pPr>
              <w:pStyle w:val="TableContents"/>
            </w:pPr>
            <w:r>
              <w:t>Full Example</w:t>
            </w:r>
          </w:p>
        </w:tc>
        <w:tc>
          <w:tcPr/>
          <w:p>
            <w:pPr>
              <w:pStyle w:val="TableContents"/>
            </w:pPr>
            <w:r>
              <w:t>Assembled document number.</w:t>
            </w:r>
          </w:p>
        </w:tc>
        <w:tc>
          <w:tcPr/>
          <w:p>
            <w:pPr>
              <w:pStyle w:val="TableContents"/>
            </w:pPr>
            <w:r>
              <w:rPr>
                <w:b/>
                <w:bCs/>
                <w:color w:val="0059D1"/>
              </w:rPr>
              <w:t>[INSERT: e.g. RTPR-HSE-PRO-0010]</w:t>
            </w:r>
          </w:p>
        </w:tc>
      </w:tr>
    </w:tbl>
    <w:p>
      <w:pPr>
        <w:pStyle w:val="Default"/>
      </w:pPr>
    </w:p>
    <w:p>
      <w:pPr>
        <w:pStyle w:val="NormalNumberedtext"/>
      </w:pPr>
      <w:r>
        <w:rPr>
          <w:color w:val="C55A11"/>
        </w:rPr>
        <w:t>The document title is stated in full following the document number on the cover page, header, and Document Register entry. Abbreviations in titles are not permitted except where a term is defined within the document.</w:t>
      </w:r>
    </w:p>
    <w:p>
      <w:pPr>
        <w:pStyle w:val="NormalNumberedtext"/>
      </w:pPr>
      <w:r>
        <w:rPr>
          <w:b/>
          <w:bCs/>
          <w:color w:val="0059D1"/>
        </w:rPr>
        <w:t>[INSERT: document_numbering_convention_confirmation] — Confirm the full document numbering convention for this project and confirm the Document Register RTPR-HSE-REG-0002 has been populated before any documents are issued.</w:t>
      </w:r>
    </w:p>
    <w:p>
      <w:pPr>
        <w:pStyle w:val="Heading2Numbered"/>
      </w:pPr>
      <w:r>
        <w:t>4.3  Document Register</w:t>
      </w:r>
    </w:p>
    <w:p>
      <w:pPr>
        <w:pStyle w:val="NormalNumberedtext"/>
      </w:pPr>
      <w:r>
        <w:t>This section defines the Document Register requirements, including what must be recorded, who maintains it, and how it is accessed.</w:t>
      </w:r>
    </w:p>
    <w:p>
      <w:pPr>
        <w:pStyle w:val="NormalNumberedtext"/>
      </w:pPr>
      <w:r>
        <w:t>The HSESC Manager maintains a Document Register — RTPR-HSE-REG-0002 — tracking all controlled documents within this system. The Document Register is the single authoritative record of all current, superseded, and archived HSESC documents on this project.</w:t>
      </w:r>
    </w:p>
    <w:p>
      <w:pPr>
        <w:pStyle w:val="NormalNumberedtext"/>
      </w:pPr>
      <w:r>
        <w:t>The Document Register records the following fields for every controlled document:</w:t>
      </w:r>
    </w:p>
    <w:p>
      <w:pPr>
        <w:pStyle w:val="NumberedBulletL1"/>
      </w:pPr>
      <w:r>
        <w:t>Unique document number.</w:t>
      </w:r>
    </w:p>
    <w:p>
      <w:pPr>
        <w:pStyle w:val="NumberedBulletL1"/>
      </w:pPr>
      <w:r>
        <w:t>Document title.</w:t>
      </w:r>
    </w:p>
    <w:p>
      <w:pPr>
        <w:pStyle w:val="NumberedBulletL1"/>
      </w:pPr>
      <w:r>
        <w:t>Document tier and type.</w:t>
      </w:r>
    </w:p>
    <w:p>
      <w:pPr>
        <w:pStyle w:val="NumberedBulletL1"/>
      </w:pPr>
      <w:r>
        <w:t>Current revision number and revision date.</w:t>
      </w:r>
    </w:p>
    <w:p>
      <w:pPr>
        <w:pStyle w:val="NumberedBulletL1"/>
      </w:pPr>
      <w:r>
        <w:t>Document owner by role.</w:t>
      </w:r>
    </w:p>
    <w:p>
      <w:pPr>
        <w:pStyle w:val="NumberedBulletL1"/>
      </w:pPr>
      <w:r>
        <w:t>Scheduled review date.</w:t>
      </w:r>
    </w:p>
    <w:p>
      <w:pPr>
        <w:pStyle w:val="NumberedBulletL1"/>
      </w:pPr>
      <w:r>
        <w:t>Approval authority by role.</w:t>
      </w:r>
    </w:p>
    <w:p>
      <w:pPr>
        <w:pStyle w:val="NumberedBulletL1"/>
      </w:pPr>
      <w:r>
        <w:t>Current status — Draft, Under Review, Approved, Superseded, or Archived.</w:t>
      </w:r>
    </w:p>
    <w:p>
      <w:pPr>
        <w:pStyle w:val="NumberedBulletL1"/>
      </w:pPr>
      <w:r>
        <w:rPr>
          <w:color w:val="C55A11"/>
        </w:rPr>
        <w:t>Distribution list or access location within the project document management system.</w:t>
      </w:r>
    </w:p>
    <w:p>
      <w:pPr>
        <w:pStyle w:val="NormalNumberedtext"/>
      </w:pPr>
      <w:r>
        <w:t>The Document Register is stored in [INSERT: document management system name and location] and is accessible to all project personnel and to the project owner on request. The HSESC Manager updates the register within five business days of any document being issued, revised, or archived.</w:t>
      </w:r>
    </w:p>
    <w:p>
      <w:pPr>
        <w:pStyle w:val="NormalNumberedtext"/>
      </w:pPr>
      <w:r>
        <w:rPr>
          <w:b/>
          <w:bCs/>
          <w:color w:val="0059D1"/>
        </w:rPr>
        <w:t>[INSERT: document_register_location] — Insert the name and access path of the document management system where RTPR-HSE-REG-0002 is stored and maintained.</w:t>
      </w:r>
    </w:p>
    <w:p>
      <w:pPr>
        <w:pStyle w:val="Heading2Numbered"/>
      </w:pPr>
      <w:r>
        <w:t>4.4  External Origin Documents</w:t>
      </w:r>
    </w:p>
    <w:p>
      <w:pPr>
        <w:pStyle w:val="NormalNumberedtext"/>
      </w:pPr>
      <w:r>
        <w:t>This section defines the process for identifying, reviewing, and incorporating external origin documents into the project document control system.</w:t>
      </w:r>
    </w:p>
    <w:p>
      <w:pPr>
        <w:pStyle w:val="NormalNumberedtext"/>
      </w:pPr>
      <w:r>
        <w:t>The HSESC Manager identifies all external origin documents relevant to this project and incorporates them into the document control system. External origin documents are not modified by the project team and are classified separately within the Document Register.</w:t>
      </w:r>
    </w:p>
    <w:p>
      <w:pPr>
        <w:pStyle w:val="NormalNumberedtext"/>
      </w:pPr>
      <w:r>
        <w:t>External origin documents include:</w:t>
      </w:r>
    </w:p>
    <w:p>
      <w:pPr>
        <w:pStyle w:val="NumberedBulletL1"/>
      </w:pPr>
      <w:r>
        <w:t>Applicable legislation and regulatory codes of practice.</w:t>
      </w:r>
    </w:p>
    <w:p>
      <w:pPr>
        <w:pStyle w:val="NumberedBulletL1"/>
      </w:pPr>
      <w:r>
        <w:t>Permits, approvals, and consent conditions issued by regulatory authorities.</w:t>
      </w:r>
    </w:p>
    <w:p>
      <w:pPr>
        <w:pStyle w:val="NumberedBulletL1"/>
      </w:pPr>
      <w:r>
        <w:t>Rio Tinto Group standards, guidelines, and technical specifications.</w:t>
      </w:r>
    </w:p>
    <w:p>
      <w:pPr>
        <w:pStyle w:val="NumberedBulletL1"/>
      </w:pPr>
      <w:r>
        <w:t>Industry standards and codes referenced in project specifications.</w:t>
      </w:r>
    </w:p>
    <w:p>
      <w:pPr>
        <w:pStyle w:val="NumberedBulletL1"/>
      </w:pPr>
      <w:r>
        <w:rPr>
          <w:color w:val="C55A11"/>
        </w:rPr>
        <w:t>Environmental and social impact assessment commitments referenced in permit conditions or IFC Performance Standard obligations.</w:t>
      </w:r>
    </w:p>
    <w:p>
      <w:pPr>
        <w:pStyle w:val="NormalNumberedtext"/>
      </w:pPr>
      <w:r>
        <w:t>The HSESC Manager reviews the currency of all external origin documents at each scheduled document review cycle and whenever a regulatory change, permit variation, or Company standard update is notified. Updated versions replace the previous entry in the Document Register without delay.</w:t>
      </w:r>
    </w:p>
    <w:p>
      <w:pPr>
        <w:pStyle w:val="Heading1Numbered"/>
      </w:pPr>
      <w:r>
        <w:t>5  Preparation, Review and Approval</w:t>
      </w:r>
    </w:p>
    <w:p>
      <w:pPr>
        <w:pStyle w:val="NormalNumberedtext"/>
      </w:pPr>
      <w:r>
        <w:t>This section defines the roles responsible for drafting, reviewing, and approving each document type, the approval authority matrix, and the accessibility requirements for workforce-facing documents.</w:t>
      </w:r>
    </w:p>
    <w:p>
      <w:pPr>
        <w:pStyle w:val="Heading2Numbered"/>
      </w:pPr>
      <w:r>
        <w:t>5.1  Document Preparation Responsibilities</w:t>
      </w:r>
    </w:p>
    <w:p>
      <w:pPr>
        <w:pStyle w:val="NormalNumberedtext"/>
      </w:pPr>
      <w:r>
        <w:t>This section assigns preparation responsibilities by document tier and defines the minimum content requirements for documents submitted for review.</w:t>
      </w:r>
    </w:p>
    <w:p>
      <w:pPr>
        <w:pStyle w:val="NormalNumberedtext"/>
      </w:pPr>
      <w:r>
        <w:t>All controlled documents are prepared by a nominated document owner before being submitted for review. The document owner is responsible for ensuring the document is accurate, complete, and consistent with applicable legislative and Rio Tinto requirements before submission.</w:t>
      </w:r>
    </w:p>
    <w:p>
      <w:pPr>
        <w:pStyle w:val="NormalNumberedtext"/>
      </w:pPr>
      <w:r>
        <w:t>Table 3: Document Preparation Responsibilities by Tier</w:t>
      </w:r>
    </w:p>
    <w:tbl>
      <w:tblPr>
        <w:tblStyle w:val="TableOption2"/>
        <w:tblW w:type="pct" w:w="5000"/>
      </w:tblPr>
      <w:tr>
        <w:trPr>
          <w:tblHeader/>
        </w:trPr>
        <w:tc>
          <w:tcPr>
            <w:shd w:val="clear" w:color="auto" w:fill="1F3864"/>
          </w:tcPr>
          <w:p>
            <w:pPr>
              <w:pStyle w:val="TableContents"/>
            </w:pPr>
            <w:r>
              <w:rPr>
                <w:b/>
                <w:bCs/>
                <w:color w:val="FFFFFF"/>
              </w:rPr>
              <w:t>Tier</w:t>
            </w:r>
          </w:p>
        </w:tc>
        <w:tc>
          <w:tcPr>
            <w:shd w:val="clear" w:color="auto" w:fill="1F3864"/>
          </w:tcPr>
          <w:p>
            <w:pPr>
              <w:pStyle w:val="TableContents"/>
            </w:pPr>
            <w:r>
              <w:rPr>
                <w:b/>
                <w:bCs/>
                <w:color w:val="FFFFFF"/>
              </w:rPr>
              <w:t>Document Type</w:t>
            </w:r>
          </w:p>
        </w:tc>
        <w:tc>
          <w:tcPr>
            <w:shd w:val="clear" w:color="auto" w:fill="1F3864"/>
          </w:tcPr>
          <w:p>
            <w:pPr>
              <w:pStyle w:val="TableContents"/>
            </w:pPr>
            <w:r>
              <w:rPr>
                <w:b/>
                <w:bCs/>
                <w:color w:val="FFFFFF"/>
              </w:rPr>
              <w:t>Prepared By</w:t>
            </w:r>
          </w:p>
        </w:tc>
        <w:tc>
          <w:tcPr>
            <w:shd w:val="clear" w:color="auto" w:fill="1F3864"/>
          </w:tcPr>
          <w:p>
            <w:pPr>
              <w:pStyle w:val="TableContents"/>
            </w:pPr>
            <w:r>
              <w:rPr>
                <w:b/>
                <w:bCs/>
                <w:color w:val="FFFFFF"/>
              </w:rPr>
              <w:t>Reviewed By</w:t>
            </w:r>
          </w:p>
        </w:tc>
        <w:tc>
          <w:tcPr>
            <w:shd w:val="clear" w:color="auto" w:fill="1F3864"/>
          </w:tcPr>
          <w:p>
            <w:pPr>
              <w:pStyle w:val="TableContents"/>
            </w:pPr>
            <w:r>
              <w:rPr>
                <w:b/>
                <w:bCs/>
                <w:color w:val="FFFFFF"/>
              </w:rPr>
              <w:t>Approved By</w:t>
            </w:r>
          </w:p>
        </w:tc>
      </w:tr>
      <w:tr>
        <w:tc>
          <w:tcPr/>
          <w:p>
            <w:pPr>
              <w:pStyle w:val="TableContents"/>
            </w:pPr>
            <w:r>
              <w:t>Tier 1</w:t>
            </w:r>
          </w:p>
        </w:tc>
        <w:tc>
          <w:tcPr/>
          <w:p>
            <w:pPr>
              <w:pStyle w:val="TableContents"/>
            </w:pPr>
            <w:r>
              <w:t>Policies</w:t>
            </w:r>
          </w:p>
        </w:tc>
        <w:tc>
          <w:tcPr/>
          <w:p>
            <w:pPr>
              <w:pStyle w:val="TableContents"/>
            </w:pPr>
            <w:r>
              <w:t>Rio Tinto Group — not prepared at project level.</w:t>
            </w:r>
          </w:p>
        </w:tc>
        <w:tc>
          <w:tcPr/>
          <w:p>
            <w:pPr>
              <w:pStyle w:val="TableContents"/>
            </w:pPr>
            <w:r>
              <w:t>N/A</w:t>
            </w:r>
          </w:p>
        </w:tc>
        <w:tc>
          <w:tcPr/>
          <w:p>
            <w:pPr>
              <w:pStyle w:val="TableContents"/>
            </w:pPr>
            <w:r>
              <w:t>Rio Tinto Group Executive</w:t>
            </w:r>
          </w:p>
        </w:tc>
      </w:tr>
      <w:tr>
        <w:tc>
          <w:tcPr/>
          <w:p>
            <w:pPr>
              <w:pStyle w:val="TableContents"/>
            </w:pPr>
            <w:r>
              <w:t>Tier 2</w:t>
            </w:r>
          </w:p>
        </w:tc>
        <w:tc>
          <w:tcPr/>
          <w:p>
            <w:pPr>
              <w:pStyle w:val="TableContents"/>
            </w:pPr>
            <w:r>
              <w:t>Plans and Standards</w:t>
            </w:r>
          </w:p>
        </w:tc>
        <w:tc>
          <w:tcPr/>
          <w:p>
            <w:pPr>
              <w:pStyle w:val="TableContents"/>
            </w:pPr>
            <w:r>
              <w:rPr>
                <w:b/>
                <w:bCs/>
                <w:color w:val="0059D1"/>
              </w:rPr>
              <w:t>[INSERT: Role responsible for preparing Tier 2 documents, e.g. HSESC Manager]</w:t>
            </w:r>
          </w:p>
        </w:tc>
        <w:tc>
          <w:tcPr/>
          <w:p>
            <w:pPr>
              <w:pStyle w:val="TableContents"/>
            </w:pPr>
            <w:r>
              <w:t>HSESC Manager</w:t>
            </w:r>
          </w:p>
        </w:tc>
        <w:tc>
          <w:tcPr/>
          <w:p>
            <w:pPr>
              <w:pStyle w:val="TableContents"/>
            </w:pPr>
            <w:r>
              <w:rPr>
                <w:b/>
                <w:bCs/>
                <w:color w:val="0059D1"/>
              </w:rPr>
              <w:t>[INSERT: Approval authority for Tier 2 — refer approval matrix Table 4]</w:t>
            </w:r>
          </w:p>
        </w:tc>
      </w:tr>
      <w:tr>
        <w:tc>
          <w:tcPr/>
          <w:p>
            <w:pPr>
              <w:pStyle w:val="TableContents"/>
            </w:pPr>
            <w:r>
              <w:t>Tier 3</w:t>
            </w:r>
          </w:p>
        </w:tc>
        <w:tc>
          <w:tcPr/>
          <w:p>
            <w:pPr>
              <w:pStyle w:val="TableContents"/>
            </w:pPr>
            <w:r>
              <w:t>Procedures and Protocols</w:t>
            </w:r>
          </w:p>
        </w:tc>
        <w:tc>
          <w:tcPr/>
          <w:p>
            <w:pPr>
              <w:pStyle w:val="TableContents"/>
            </w:pPr>
            <w:r>
              <w:rPr>
                <w:b/>
                <w:bCs/>
                <w:color w:val="0059D1"/>
              </w:rPr>
              <w:t>[INSERT: Role responsible for preparing Tier 3 documents, e.g. HSESC Advisor or discipline lead]</w:t>
            </w:r>
          </w:p>
        </w:tc>
        <w:tc>
          <w:tcPr/>
          <w:p>
            <w:pPr>
              <w:pStyle w:val="TableContents"/>
            </w:pPr>
            <w:r>
              <w:t>HSESC Manager</w:t>
            </w:r>
          </w:p>
        </w:tc>
        <w:tc>
          <w:tcPr/>
          <w:p>
            <w:pPr>
              <w:pStyle w:val="TableContents"/>
            </w:pPr>
            <w:r>
              <w:rPr>
                <w:b/>
                <w:bCs/>
                <w:color w:val="0059D1"/>
              </w:rPr>
              <w:t>[INSERT: Approval authority for Tier 3 — refer approval matrix Table 4]</w:t>
            </w:r>
          </w:p>
        </w:tc>
      </w:tr>
      <w:tr>
        <w:tc>
          <w:tcPr/>
          <w:p>
            <w:pPr>
              <w:pStyle w:val="TableContents"/>
            </w:pPr>
            <w:r>
              <w:t>Tier 4</w:t>
            </w:r>
          </w:p>
        </w:tc>
        <w:tc>
          <w:tcPr/>
          <w:p>
            <w:pPr>
              <w:pStyle w:val="TableContents"/>
            </w:pPr>
            <w:r>
              <w:t>Forms, Registers, Records</w:t>
            </w:r>
          </w:p>
        </w:tc>
        <w:tc>
          <w:tcPr/>
          <w:p>
            <w:pPr>
              <w:pStyle w:val="TableContents"/>
            </w:pPr>
            <w:r>
              <w:rPr>
                <w:b/>
                <w:bCs/>
                <w:color w:val="0059D1"/>
              </w:rPr>
              <w:t>[INSERT: Role responsible for preparing Tier 4 templates, e.g. HSESC Coordinator]</w:t>
            </w:r>
          </w:p>
        </w:tc>
        <w:tc>
          <w:tcPr/>
          <w:p>
            <w:pPr>
              <w:pStyle w:val="TableContents"/>
            </w:pPr>
            <w:r>
              <w:t>HSESC Manager</w:t>
            </w:r>
          </w:p>
        </w:tc>
        <w:tc>
          <w:tcPr/>
          <w:p>
            <w:pPr>
              <w:pStyle w:val="TableContents"/>
            </w:pPr>
            <w:r>
              <w:rPr>
                <w:b/>
                <w:bCs/>
                <w:color w:val="0059D1"/>
              </w:rPr>
              <w:t>[INSERT: Approval authority for Tier 4 — refer approval matrix Table 4]</w:t>
            </w:r>
          </w:p>
        </w:tc>
      </w:tr>
    </w:tbl>
    <w:p>
      <w:pPr>
        <w:pStyle w:val="Default"/>
      </w:pPr>
    </w:p>
    <w:p>
      <w:pPr>
        <w:pStyle w:val="Heading2Numbered"/>
      </w:pPr>
      <w:r>
        <w:t>5.2  Approval Authority Matrix</w:t>
      </w:r>
    </w:p>
    <w:p>
      <w:pPr>
        <w:pStyle w:val="NormalNumberedtext"/>
      </w:pPr>
      <w:r>
        <w:t>This section defines the approval authority for each document type and identifies which documents require project owner approval before issuance.</w:t>
      </w:r>
    </w:p>
    <w:tbl>
      <w:tblPr>
        <w:tblStyle w:val="TableOption1"/>
        <w:tblW w:type="pct" w:w="5000"/>
      </w:tblPr>
      <w:tr>
        <w:tc>
          <w:tcPr>
            <w:shd w:val="clear" w:color="auto" w:fill="FFF2CC"/>
          </w:tcPr>
          <w:p>
            <w:pPr>
              <w:pStyle w:val="Instructions"/>
            </w:pPr>
            <w:r>
              <w:rPr>
                <w:b/>
                <w:bCs/>
                <w:color w:val="C55A11"/>
              </w:rPr>
              <w:t>Before this procedure is issued, define the approval authority matrix for this project in the table below. Confirm which documents require submission to the project owner for approval versus internal approval only. Cross-check against the project Deliverables Schedule and the approval authority framework in RTPR-HSE-PRO-0003.</w:t>
            </w:r>
          </w:p>
        </w:tc>
      </w:tr>
    </w:tbl>
    <w:p>
      <w:pPr>
        <w:pStyle w:val="Default"/>
      </w:pPr>
    </w:p>
    <w:p>
      <w:pPr>
        <w:pStyle w:val="NormalNumberedtext"/>
      </w:pPr>
      <w:r>
        <w:t>The HSESC Manager confirms that no document is issued without review by the HSESC Manager and approval at the authority level defined in Table 4. Approval by a role lower than the defined authority level renders the document uncontrolled. Approval authority by role is defined in RTPR-HSE-PRO-0003 — Organisational Resources.</w:t>
      </w:r>
    </w:p>
    <w:p>
      <w:pPr>
        <w:pStyle w:val="NormalNumberedtext"/>
      </w:pPr>
      <w:r>
        <w:t>Table 4: Approval Authority Matrix</w:t>
      </w:r>
    </w:p>
    <w:tbl>
      <w:tblPr>
        <w:tblStyle w:val="TableOption2"/>
        <w:tblW w:type="pct" w:w="5000"/>
      </w:tblPr>
      <w:tr>
        <w:trPr>
          <w:tblHeader/>
        </w:trPr>
        <w:tc>
          <w:tcPr>
            <w:shd w:val="clear" w:color="auto" w:fill="1F3864"/>
          </w:tcPr>
          <w:p>
            <w:pPr>
              <w:pStyle w:val="TableContents"/>
            </w:pPr>
            <w:r>
              <w:rPr>
                <w:b/>
                <w:bCs/>
                <w:color w:val="FFFFFF"/>
              </w:rPr>
              <w:t>Tier</w:t>
            </w:r>
          </w:p>
        </w:tc>
        <w:tc>
          <w:tcPr>
            <w:shd w:val="clear" w:color="auto" w:fill="1F3864"/>
          </w:tcPr>
          <w:p>
            <w:pPr>
              <w:pStyle w:val="TableContents"/>
            </w:pPr>
            <w:r>
              <w:rPr>
                <w:b/>
                <w:bCs/>
                <w:color w:val="FFFFFF"/>
              </w:rPr>
              <w:t>Document Type</w:t>
            </w:r>
          </w:p>
        </w:tc>
        <w:tc>
          <w:tcPr>
            <w:shd w:val="clear" w:color="auto" w:fill="1F3864"/>
          </w:tcPr>
          <w:p>
            <w:pPr>
              <w:pStyle w:val="TableContents"/>
            </w:pPr>
            <w:r>
              <w:rPr>
                <w:b/>
                <w:bCs/>
                <w:color w:val="FFFFFF"/>
              </w:rPr>
              <w:t>Internal Approval Authority</w:t>
            </w:r>
          </w:p>
        </w:tc>
        <w:tc>
          <w:tcPr>
            <w:shd w:val="clear" w:color="auto" w:fill="1F3864"/>
          </w:tcPr>
          <w:p>
            <w:pPr>
              <w:pStyle w:val="TableContents"/>
            </w:pPr>
            <w:r>
              <w:rPr>
                <w:b/>
                <w:bCs/>
                <w:color w:val="FFFFFF"/>
              </w:rPr>
              <w:t>Project Owner Approval Required</w:t>
            </w:r>
          </w:p>
        </w:tc>
        <w:tc>
          <w:tcPr>
            <w:shd w:val="clear" w:color="auto" w:fill="1F3864"/>
          </w:tcPr>
          <w:p>
            <w:pPr>
              <w:pStyle w:val="TableContents"/>
            </w:pPr>
            <w:r>
              <w:rPr>
                <w:b/>
                <w:bCs/>
                <w:color w:val="FFFFFF"/>
              </w:rPr>
              <w:t>Notes</w:t>
            </w:r>
          </w:p>
        </w:tc>
      </w:tr>
      <w:tr>
        <w:tc>
          <w:tcPr/>
          <w:p>
            <w:pPr>
              <w:pStyle w:val="TableContents"/>
            </w:pPr>
            <w:r>
              <w:t>Tier 2</w:t>
            </w:r>
          </w:p>
        </w:tc>
        <w:tc>
          <w:tcPr/>
          <w:p>
            <w:pPr>
              <w:pStyle w:val="TableContents"/>
            </w:pPr>
            <w:r>
              <w:t>HSESC Management Plan</w:t>
            </w:r>
          </w:p>
        </w:tc>
        <w:tc>
          <w:tcPr/>
          <w:p>
            <w:pPr>
              <w:pStyle w:val="TableContents"/>
            </w:pPr>
            <w:r>
              <w:rPr>
                <w:b/>
                <w:bCs/>
                <w:color w:val="0059D1"/>
              </w:rPr>
              <w:t>[INSERT: e.g. Project Director]</w:t>
            </w:r>
          </w:p>
        </w:tc>
        <w:tc>
          <w:tcPr/>
          <w:p>
            <w:pPr>
              <w:pStyle w:val="TableContents"/>
            </w:pPr>
            <w:r>
              <w:rPr>
                <w:b/>
                <w:bCs/>
                <w:color w:val="0059D1"/>
              </w:rPr>
              <w:t>[INSERT: Yes / No — confirm against Deliverables Schedule]</w:t>
            </w:r>
          </w:p>
        </w:tc>
        <w:tc>
          <w:tcPr/>
          <w:p>
            <w:pPr>
              <w:pStyle w:val="TableContents"/>
            </w:pPr>
            <w:r>
              <w:rPr>
                <w:b/>
                <w:bCs/>
                <w:color w:val="0059D1"/>
              </w:rPr>
              <w:t>[INSERT: Insert any conditions or exceptions]</w:t>
            </w:r>
          </w:p>
        </w:tc>
      </w:tr>
      <w:tr>
        <w:tc>
          <w:tcPr/>
          <w:p>
            <w:pPr>
              <w:pStyle w:val="TableContents"/>
            </w:pPr>
            <w:r>
              <w:t>Tier 2</w:t>
            </w:r>
          </w:p>
        </w:tc>
        <w:tc>
          <w:tcPr/>
          <w:p>
            <w:pPr>
              <w:pStyle w:val="TableContents"/>
            </w:pPr>
            <w:r>
              <w:t>Sub-Plans (e.g. Emergency Response Plan, Environmental Management Plan)</w:t>
            </w:r>
          </w:p>
        </w:tc>
        <w:tc>
          <w:tcPr/>
          <w:p>
            <w:pPr>
              <w:pStyle w:val="TableContents"/>
            </w:pPr>
            <w:r>
              <w:rPr>
                <w:b/>
                <w:bCs/>
                <w:color w:val="0059D1"/>
              </w:rPr>
              <w:t>[INSERT: e.g. Project Director or HSESC Manager]</w:t>
            </w:r>
          </w:p>
        </w:tc>
        <w:tc>
          <w:tcPr/>
          <w:p>
            <w:pPr>
              <w:pStyle w:val="TableContents"/>
            </w:pPr>
            <w:r>
              <w:rPr>
                <w:b/>
                <w:bCs/>
                <w:color w:val="0059D1"/>
              </w:rPr>
              <w:t>[INSERT: Yes / No]</w:t>
            </w:r>
          </w:p>
        </w:tc>
        <w:tc>
          <w:tcPr/>
          <w:p>
            <w:pPr>
              <w:pStyle w:val="TableContents"/>
            </w:pPr>
            <w:r>
              <w:rPr>
                <w:b/>
                <w:bCs/>
                <w:color w:val="0059D1"/>
              </w:rPr>
              <w:t>[INSERT: Insert any conditions or exceptions]</w:t>
            </w:r>
          </w:p>
        </w:tc>
      </w:tr>
      <w:tr>
        <w:tc>
          <w:tcPr/>
          <w:p>
            <w:pPr>
              <w:pStyle w:val="TableContents"/>
            </w:pPr>
            <w:r>
              <w:t>Tier 3</w:t>
            </w:r>
          </w:p>
        </w:tc>
        <w:tc>
          <w:tcPr/>
          <w:p>
            <w:pPr>
              <w:pStyle w:val="TableContents"/>
            </w:pPr>
            <w:r>
              <w:t>Procedures and Protocols</w:t>
            </w:r>
          </w:p>
        </w:tc>
        <w:tc>
          <w:tcPr/>
          <w:p>
            <w:pPr>
              <w:pStyle w:val="TableContents"/>
            </w:pPr>
            <w:r>
              <w:rPr>
                <w:b/>
                <w:bCs/>
                <w:color w:val="0059D1"/>
              </w:rPr>
              <w:t>[INSERT: e.g. HSESC Manager]</w:t>
            </w:r>
          </w:p>
        </w:tc>
        <w:tc>
          <w:tcPr/>
          <w:p>
            <w:pPr>
              <w:pStyle w:val="TableContents"/>
            </w:pPr>
            <w:r>
              <w:rPr>
                <w:b/>
                <w:bCs/>
                <w:color w:val="0059D1"/>
              </w:rPr>
              <w:t>[INSERT: Yes / No — confirm against Deliverables Schedule]</w:t>
            </w:r>
          </w:p>
        </w:tc>
        <w:tc>
          <w:tcPr/>
          <w:p>
            <w:pPr>
              <w:pStyle w:val="TableContents"/>
            </w:pPr>
            <w:r>
              <w:rPr>
                <w:b/>
                <w:bCs/>
                <w:color w:val="0059D1"/>
              </w:rPr>
              <w:t>[INSERT: Insert any conditions or exceptions]</w:t>
            </w:r>
          </w:p>
        </w:tc>
      </w:tr>
      <w:tr>
        <w:tc>
          <w:tcPr/>
          <w:p>
            <w:pPr>
              <w:pStyle w:val="TableContents"/>
            </w:pPr>
            <w:r>
              <w:t>Tier 4</w:t>
            </w:r>
          </w:p>
        </w:tc>
        <w:tc>
          <w:tcPr/>
          <w:p>
            <w:pPr>
              <w:pStyle w:val="TableContents"/>
            </w:pPr>
            <w:r>
              <w:t>Forms and Register Templates</w:t>
            </w:r>
          </w:p>
        </w:tc>
        <w:tc>
          <w:tcPr/>
          <w:p>
            <w:pPr>
              <w:pStyle w:val="TableContents"/>
            </w:pPr>
            <w:r>
              <w:rPr>
                <w:b/>
                <w:bCs/>
                <w:color w:val="0059D1"/>
              </w:rPr>
              <w:t>[INSERT: e.g. HSESC Manager]</w:t>
            </w:r>
          </w:p>
        </w:tc>
        <w:tc>
          <w:tcPr/>
          <w:p>
            <w:pPr>
              <w:pStyle w:val="TableContents"/>
            </w:pPr>
            <w:r>
              <w:t>No — internal approval only</w:t>
            </w:r>
          </w:p>
        </w:tc>
        <w:tc>
          <w:tcPr/>
          <w:p>
            <w:pPr>
              <w:pStyle w:val="TableContents"/>
            </w:pPr>
          </w:p>
        </w:tc>
      </w:tr>
      <w:tr>
        <w:tc>
          <w:tcPr/>
          <w:p>
            <w:pPr>
              <w:pStyle w:val="TableContents"/>
            </w:pPr>
            <w:r>
              <w:rPr>
                <w:b/>
                <w:bCs/>
                <w:color w:val="0059D1"/>
              </w:rPr>
              <w:t>[INSERT: Additional document type]</w:t>
            </w:r>
          </w:p>
        </w:tc>
        <w:tc>
          <w:tcPr/>
          <w:p>
            <w:pPr>
              <w:pStyle w:val="TableContents"/>
            </w:pPr>
            <w:r>
              <w:rPr>
                <w:b/>
                <w:bCs/>
                <w:color w:val="0059D1"/>
              </w:rPr>
              <w:t>[INSERT:]</w:t>
            </w:r>
          </w:p>
        </w:tc>
        <w:tc>
          <w:tcPr/>
          <w:p>
            <w:pPr>
              <w:pStyle w:val="TableContents"/>
            </w:pPr>
            <w:r>
              <w:rPr>
                <w:b/>
                <w:bCs/>
                <w:color w:val="0059D1"/>
              </w:rPr>
              <w:t>[INSERT:]</w:t>
            </w:r>
          </w:p>
        </w:tc>
        <w:tc>
          <w:tcPr/>
          <w:p>
            <w:pPr>
              <w:pStyle w:val="TableContents"/>
            </w:pPr>
            <w:r>
              <w:rPr>
                <w:b/>
                <w:bCs/>
                <w:color w:val="0059D1"/>
              </w:rPr>
              <w:t>[INSERT:]</w:t>
            </w:r>
          </w:p>
        </w:tc>
        <w:tc>
          <w:tcPr/>
          <w:p>
            <w:pPr>
              <w:pStyle w:val="TableContents"/>
            </w:pPr>
            <w:r>
              <w:rPr>
                <w:b/>
                <w:bCs/>
                <w:color w:val="0059D1"/>
              </w:rPr>
              <w:t>[INSERT:]</w:t>
            </w:r>
          </w:p>
        </w:tc>
      </w:tr>
    </w:tbl>
    <w:p>
      <w:pPr>
        <w:pStyle w:val="Default"/>
      </w:pPr>
    </w:p>
    <w:p>
      <w:pPr>
        <w:pStyle w:val="NormalNumberedtext"/>
      </w:pPr>
      <w:r>
        <w:t>Documents that require project owner approval are submitted through [INSERT: submission channel or system] with a cover transmittal confirming the document number, revision, and purpose of submission. No document requiring owner approval is issued for use before written approval is received and recorded in the Document Register.</w:t>
      </w:r>
    </w:p>
    <w:p>
      <w:pPr>
        <w:pStyle w:val="NormalNumberedtext"/>
      </w:pPr>
      <w:r>
        <w:rPr>
          <w:b/>
          <w:bCs/>
          <w:color w:val="0059D1"/>
        </w:rPr>
        <w:t>[INSERT: owner_approval_submission_process] — Define the submission channel and transmittal process for documents requiring project owner approval.</w:t>
      </w:r>
    </w:p>
    <w:p>
      <w:pPr>
        <w:pStyle w:val="Heading2Numbered"/>
      </w:pPr>
      <w:r>
        <w:t>5.3  Workforce Accessibility and Language Requirements</w:t>
      </w:r>
    </w:p>
    <w:p>
      <w:pPr>
        <w:pStyle w:val="NormalNumberedtext"/>
      </w:pPr>
      <w:r>
        <w:t>This section defines the language, literacy, and accessibility standards that apply to procedures and safe work documentation.</w:t>
      </w:r>
    </w:p>
    <w:p>
      <w:pPr>
        <w:pStyle w:val="NormalNumberedtext"/>
      </w:pPr>
      <w:r>
        <w:t>All Tier 3 procedures and safe work documentation are written at the language and literacy level of the workforce that will use them. The HSESC Manager confirms this requirement is met before any procedure is approved and issued.</w:t>
      </w:r>
    </w:p>
    <w:p>
      <w:pPr>
        <w:pStyle w:val="NormalNumberedtext"/>
      </w:pPr>
      <w:r>
        <w:t>Where the workforce includes personnel whose primary language is not the language of the document, or whose literacy level requires additional support, the following measures apply:</w:t>
      </w:r>
    </w:p>
    <w:p>
      <w:pPr>
        <w:pStyle w:val="NumberedBulletL1"/>
      </w:pPr>
      <w:r>
        <w:t>Visual aids — including diagrams, photographs, and pictograms — are incorporated into procedures where they materially improve comprehension.</w:t>
      </w:r>
    </w:p>
    <w:p>
      <w:pPr>
        <w:pStyle w:val="NumberedBulletL1"/>
      </w:pPr>
      <w:r>
        <w:rPr>
          <w:color w:val="C55A11"/>
        </w:rPr>
        <w:t>Translations into the primary languages of the workforce are prepared for all Tier 3 procedures used at the workface. The HSESC Manager confirms translation accuracy before issue.</w:t>
      </w:r>
    </w:p>
    <w:p>
      <w:pPr>
        <w:pStyle w:val="NumberedBulletL1"/>
      </w:pPr>
      <w:r>
        <w:t>The HSESC team conducts verbal briefings to communicate the content of new or revised procedures to the work group before the procedure is applied.</w:t>
      </w:r>
    </w:p>
    <w:p>
      <w:pPr>
        <w:pStyle w:val="NumberedBulletL1"/>
      </w:pPr>
      <w:r>
        <w:rPr>
          <w:color w:val="C55A11"/>
        </w:rPr>
        <w:t>Pre-start briefings use plain language summaries of applicable procedures rather than reading full documents to the workforce.</w:t>
      </w:r>
    </w:p>
    <w:p>
      <w:pPr>
        <w:pStyle w:val="NormalNumberedtext"/>
      </w:pPr>
      <w:r>
        <w:rPr>
          <w:b/>
          <w:bCs/>
          <w:color w:val="0059D1"/>
        </w:rPr>
        <w:t>[INSERT: workforce_language_requirements] — Identify the primary languages of the project workforce and confirm which procedures require translation or visual aid supplements before issue.</w:t>
      </w:r>
    </w:p>
    <w:p>
      <w:pPr>
        <w:pStyle w:val="Heading1Numbered"/>
      </w:pPr>
      <w:r>
        <w:t>6  Version Control and Distribution</w:t>
      </w:r>
    </w:p>
    <w:p>
      <w:pPr>
        <w:pStyle w:val="NormalNumberedtext"/>
      </w:pPr>
      <w:r>
        <w:t>This section defines version control requirements including major and minor revision classifications, distribution requirements, and the process for removing obsolete documents from use.</w:t>
      </w:r>
    </w:p>
    <w:p>
      <w:pPr>
        <w:pStyle w:val="Heading2Numbered"/>
      </w:pPr>
      <w:r>
        <w:t>6.1  Version Control Requirements</w:t>
      </w:r>
    </w:p>
    <w:p>
      <w:pPr>
        <w:pStyle w:val="NormalNumberedtext"/>
      </w:pPr>
      <w:r>
        <w:t>This section defines what constitutes a major versus minor revision and the version numbering convention applied to all controlled documents.</w:t>
      </w:r>
    </w:p>
    <w:p>
      <w:pPr>
        <w:pStyle w:val="NormalNumberedtext"/>
      </w:pPr>
      <w:r>
        <w:t>All controlled documents are assigned a revision identifier at the time of approval. The revision identifier reflects the nature of the change made and determines whether re-approval at the full authority level is required.</w:t>
      </w:r>
    </w:p>
    <w:p>
      <w:pPr>
        <w:pStyle w:val="NormalNumberedtext"/>
      </w:pPr>
      <w:r>
        <w:t>Table 5: Revision Classification</w:t>
      </w:r>
    </w:p>
    <w:tbl>
      <w:tblPr>
        <w:tblStyle w:val="TableOption2"/>
        <w:tblW w:type="pct" w:w="5000"/>
      </w:tblPr>
      <w:tr>
        <w:trPr>
          <w:tblHeader/>
        </w:trPr>
        <w:tc>
          <w:tcPr>
            <w:shd w:val="clear" w:color="auto" w:fill="1F3864"/>
          </w:tcPr>
          <w:p>
            <w:pPr>
              <w:pStyle w:val="TableContents"/>
            </w:pPr>
            <w:r>
              <w:rPr>
                <w:b/>
                <w:bCs/>
                <w:color w:val="FFFFFF"/>
              </w:rPr>
              <w:t>Revision Type</w:t>
            </w:r>
          </w:p>
        </w:tc>
        <w:tc>
          <w:tcPr>
            <w:shd w:val="clear" w:color="auto" w:fill="1F3864"/>
          </w:tcPr>
          <w:p>
            <w:pPr>
              <w:pStyle w:val="TableContents"/>
            </w:pPr>
            <w:r>
              <w:rPr>
                <w:b/>
                <w:bCs/>
                <w:color w:val="FFFFFF"/>
              </w:rPr>
              <w:t>Identifier Convention</w:t>
            </w:r>
          </w:p>
        </w:tc>
        <w:tc>
          <w:tcPr>
            <w:shd w:val="clear" w:color="auto" w:fill="1F3864"/>
          </w:tcPr>
          <w:p>
            <w:pPr>
              <w:pStyle w:val="TableContents"/>
            </w:pPr>
            <w:r>
              <w:rPr>
                <w:b/>
                <w:bCs/>
                <w:color w:val="FFFFFF"/>
              </w:rPr>
              <w:t>Definition</w:t>
            </w:r>
          </w:p>
        </w:tc>
        <w:tc>
          <w:tcPr>
            <w:shd w:val="clear" w:color="auto" w:fill="1F3864"/>
          </w:tcPr>
          <w:p>
            <w:pPr>
              <w:pStyle w:val="TableContents"/>
            </w:pPr>
            <w:r>
              <w:rPr>
                <w:b/>
                <w:bCs/>
                <w:color w:val="FFFFFF"/>
              </w:rPr>
              <w:t>Re-Approval Requirement</w:t>
            </w:r>
          </w:p>
        </w:tc>
      </w:tr>
      <w:tr>
        <w:tc>
          <w:tcPr/>
          <w:p>
            <w:pPr>
              <w:pStyle w:val="TableContents"/>
            </w:pPr>
            <w:r>
              <w:t>Initial Issue</w:t>
            </w:r>
          </w:p>
        </w:tc>
        <w:tc>
          <w:tcPr/>
          <w:p>
            <w:pPr>
              <w:pStyle w:val="TableContents"/>
            </w:pPr>
            <w:r>
              <w:t>Rev 0 or Version 1.0</w:t>
            </w:r>
          </w:p>
        </w:tc>
        <w:tc>
          <w:tcPr/>
          <w:p>
            <w:pPr>
              <w:pStyle w:val="TableContents"/>
            </w:pPr>
            <w:r>
              <w:t>First approved and issued version of the document.</w:t>
            </w:r>
          </w:p>
        </w:tc>
        <w:tc>
          <w:tcPr/>
          <w:p>
            <w:pPr>
              <w:pStyle w:val="TableContents"/>
            </w:pPr>
            <w:r>
              <w:t>Full approval authority sign-off required.</w:t>
            </w:r>
          </w:p>
        </w:tc>
      </w:tr>
      <w:tr>
        <w:tc>
          <w:tcPr/>
          <w:p>
            <w:pPr>
              <w:pStyle w:val="TableContents"/>
            </w:pPr>
            <w:r>
              <w:t>Minor Revision</w:t>
            </w:r>
          </w:p>
        </w:tc>
        <w:tc>
          <w:tcPr/>
          <w:p>
            <w:pPr>
              <w:pStyle w:val="TableContents"/>
            </w:pPr>
            <w:r>
              <w:t>Version 1.1, 1.2 etc.</w:t>
            </w:r>
          </w:p>
        </w:tc>
        <w:tc>
          <w:tcPr/>
          <w:p>
            <w:pPr>
              <w:pStyle w:val="TableContents"/>
            </w:pPr>
            <w:r>
              <w:t>Correction of typographical errors, clarification of existing intent, or update of cross-references where the substance of the document is unchanged.</w:t>
            </w:r>
          </w:p>
        </w:tc>
        <w:tc>
          <w:tcPr/>
          <w:p>
            <w:pPr>
              <w:pStyle w:val="TableContents"/>
            </w:pPr>
            <w:r>
              <w:rPr>
                <w:b/>
                <w:bCs/>
                <w:color w:val="0059D1"/>
              </w:rPr>
              <w:t>[INSERT: e.g. HSESC Manager approval only]</w:t>
            </w:r>
          </w:p>
        </w:tc>
      </w:tr>
      <w:tr>
        <w:tc>
          <w:tcPr/>
          <w:p>
            <w:pPr>
              <w:pStyle w:val="TableContents"/>
            </w:pPr>
            <w:r>
              <w:t>Major Revision</w:t>
            </w:r>
          </w:p>
        </w:tc>
        <w:tc>
          <w:tcPr/>
          <w:p>
            <w:pPr>
              <w:pStyle w:val="TableContents"/>
            </w:pPr>
            <w:r>
              <w:t>Version 2.0, 3.0 etc.</w:t>
            </w:r>
          </w:p>
        </w:tc>
        <w:tc>
          <w:tcPr/>
          <w:p>
            <w:pPr>
              <w:pStyle w:val="TableContents"/>
            </w:pPr>
            <w:r>
              <w:t>Any change to the scope, purpose, process steps, roles, controls, or requirements of the document that materially alters how the document is applied.</w:t>
            </w:r>
          </w:p>
        </w:tc>
        <w:tc>
          <w:tcPr/>
          <w:p>
            <w:pPr>
              <w:pStyle w:val="TableContents"/>
            </w:pPr>
            <w:r>
              <w:t>Full approval authority sign-off required at the level defined in Table 4.</w:t>
            </w:r>
          </w:p>
        </w:tc>
      </w:tr>
    </w:tbl>
    <w:p>
      <w:pPr>
        <w:pStyle w:val="Default"/>
      </w:pPr>
    </w:p>
    <w:p>
      <w:pPr>
        <w:pStyle w:val="NormalNumberedtext"/>
      </w:pPr>
      <w:r>
        <w:t>The HSESC Manager maintains a revision history log within each document recording the revision identifier, date, nature of the change, and the name of the approving authority. This log is retained as part of the document record.</w:t>
      </w:r>
    </w:p>
    <w:p>
      <w:pPr>
        <w:pStyle w:val="Heading2Numbered"/>
      </w:pPr>
      <w:r>
        <w:t>6.2  Distribution and Access</w:t>
      </w:r>
    </w:p>
    <w:p>
      <w:pPr>
        <w:pStyle w:val="NormalNumberedtext"/>
      </w:pPr>
      <w:r>
        <w:t>This section defines how controlled documents are distributed, where they are stored, and how personnel access current versions.</w:t>
      </w:r>
    </w:p>
    <w:p>
      <w:pPr>
        <w:pStyle w:val="NormalNumberedtext"/>
      </w:pPr>
      <w:r>
        <w:t>All personnel on this project have ready access to the current approved version of all HSESC documents applicable to their work. The HSESC Manager confirms this access is established before mobilisation and is maintained throughout the project.</w:t>
      </w:r>
    </w:p>
    <w:p>
      <w:pPr>
        <w:pStyle w:val="NormalNumberedtext"/>
      </w:pPr>
      <w:r>
        <w:t>Current versions of controlled documents are made available through the following access points:</w:t>
      </w:r>
    </w:p>
    <w:p>
      <w:pPr>
        <w:pStyle w:val="NumberedBulletL1"/>
      </w:pPr>
      <w:r>
        <w:t>The project document management system at [INSERT: system name and access path], accessible to all project personnel with a project network account.</w:t>
      </w:r>
    </w:p>
    <w:p>
      <w:pPr>
        <w:pStyle w:val="NumberedBulletL1"/>
      </w:pPr>
      <w:r>
        <w:rPr>
          <w:color w:val="C55A11"/>
        </w:rPr>
        <w:t>Hardcopy controlled document sets maintained at [INSERT: defined site locations, e.g. site office, main gate, HSESC office]. Hardcopies are marked as controlled, dated, and replaced each time the document is revised.</w:t>
      </w:r>
    </w:p>
    <w:p>
      <w:pPr>
        <w:pStyle w:val="NumberedBulletL1"/>
      </w:pPr>
      <w:r>
        <w:rPr>
          <w:color w:val="C55A11"/>
        </w:rPr>
        <w:t>Laminated or posted summaries of critical Tier 3 procedures displayed at the point of use for high-risk activities, updated at each major revision.</w:t>
      </w:r>
    </w:p>
    <w:p>
      <w:pPr>
        <w:pStyle w:val="NormalNumberedtext"/>
      </w:pPr>
      <w:r>
        <w:t>Environmental and social management documentation required to be disclosed to affected communities under applicable IFC Performance Standards or permit conditions is made accessible through [INSERT: community disclosure mechanism, e.g. community information centre, project website, or public register]. The HSESC Manager confirms disclosure obligations are identified and met before the relevant documents are issued.</w:t>
      </w:r>
    </w:p>
    <w:p>
      <w:pPr>
        <w:pStyle w:val="NormalNumberedtext"/>
      </w:pPr>
      <w:r>
        <w:rPr>
          <w:b/>
          <w:bCs/>
          <w:color w:val="0059D1"/>
        </w:rPr>
        <w:t>[INSERT: community_disclosure_mechanism] — Define the mechanism through which environmental and social management documents are made accessible to affected communities where disclosure is required by IFC PS1 or permit conditions.</w:t>
      </w:r>
    </w:p>
    <w:p>
      <w:pPr>
        <w:pStyle w:val="Heading2Numbered"/>
      </w:pPr>
      <w:r>
        <w:t>6.3  Removal of Obsolete Documents</w:t>
      </w:r>
    </w:p>
    <w:p>
      <w:pPr>
        <w:pStyle w:val="NormalNumberedtext"/>
      </w:pPr>
      <w:r>
        <w:t>This section defines the process for identifying, removing, and archiving obsolete documents from all points of issue and use.</w:t>
      </w:r>
    </w:p>
    <w:p>
      <w:pPr>
        <w:pStyle w:val="NormalNumberedtext"/>
      </w:pPr>
      <w:r>
        <w:t>The HSESC Manager ensures that superseded and obsolete documents are removed from all active distribution systems and points of use within two business days of a new approved version being issued. Superseded documents must not remain accessible as working documents at any point of use.</w:t>
      </w:r>
    </w:p>
    <w:p>
      <w:pPr>
        <w:pStyle w:val="NormalNumberedtext"/>
      </w:pPr>
      <w:r>
        <w:t>The following steps apply when a document is superseded or declared obsolete:</w:t>
      </w:r>
    </w:p>
    <w:p>
      <w:pPr>
        <w:pStyle w:val="NumberedBulletL1"/>
      </w:pPr>
      <w:r>
        <w:t>The HSESC Manager withdraws all hardcopy issues of the superseded document from controlled distribution points and replaces them with the current version.</w:t>
      </w:r>
    </w:p>
    <w:p>
      <w:pPr>
        <w:pStyle w:val="NumberedBulletL1"/>
      </w:pPr>
      <w:r>
        <w:t>The superseded document is marked with the status 'SUPERSEDED — DO NOT USE' in the document management system and moved to the project archive folder.</w:t>
      </w:r>
    </w:p>
    <w:p>
      <w:pPr>
        <w:pStyle w:val="NumberedBulletL1"/>
      </w:pPr>
      <w:r>
        <w:t>The Document Register is updated to reflect the superseded status, the archive location, and the date of archiving.</w:t>
      </w:r>
    </w:p>
    <w:p>
      <w:pPr>
        <w:pStyle w:val="NumberedBulletL1"/>
      </w:pPr>
      <w:r>
        <w:rPr>
          <w:color w:val="C55A11"/>
        </w:rPr>
        <w:t>If a superseded document is retained for reference purposes — for example, to support an incident investigation or a regulatory audit — it is clearly marked on every page as superseded and stored in a restricted archive folder separate from active controlled documents.</w:t>
      </w:r>
    </w:p>
    <w:p>
      <w:pPr>
        <w:pStyle w:val="NumberedBulletL1"/>
      </w:pPr>
      <w:r>
        <w:t>The HSESC Manager notifies all affected personnel of the change, confirming the document number, revision, and the key changes made, through [INSERT: notification method, e.g. toolbox talk, email, document management system alert].</w:t>
      </w:r>
    </w:p>
    <w:p>
      <w:pPr>
        <w:pStyle w:val="Heading1Numbered"/>
      </w:pPr>
      <w:r>
        <w:t>7  Deliverables Schedule</w:t>
      </w:r>
    </w:p>
    <w:p>
      <w:pPr>
        <w:pStyle w:val="NormalNumberedtext"/>
      </w:pPr>
      <w:r>
        <w:t>This section defines the HSESC Deliverables Schedule format, the information it must contain, and the obligations for maintenance and submission throughout the project.</w:t>
      </w:r>
    </w:p>
    <w:p>
      <w:pPr>
        <w:pStyle w:val="Heading2Numbered"/>
      </w:pPr>
      <w:r>
        <w:t>7.1  HSESC Deliverables Schedule Requirements</w:t>
      </w:r>
    </w:p>
    <w:p>
      <w:pPr>
        <w:pStyle w:val="NormalNumberedtext"/>
      </w:pPr>
      <w:r>
        <w:t>This section defines the mandatory content of the HSESC Deliverables Schedule and how it is maintained and made available.</w:t>
      </w:r>
    </w:p>
    <w:tbl>
      <w:tblPr>
        <w:tblStyle w:val="TableOption1"/>
        <w:tblW w:type="pct" w:w="5000"/>
      </w:tblPr>
      <w:tr>
        <w:tc>
          <w:tcPr>
            <w:shd w:val="clear" w:color="auto" w:fill="FFF2CC"/>
          </w:tcPr>
          <w:p>
            <w:pPr>
              <w:pStyle w:val="Instructions"/>
            </w:pPr>
            <w:r>
              <w:rPr>
                <w:b/>
                <w:bCs/>
                <w:color w:val="C55A11"/>
              </w:rPr>
              <w:t>Insert the project-specific Deliverables Schedule (RTPR-HSE-REG-0002) with all submission due dates confirmed against the project programme before this procedure is issued. The schedule must be current at the time of issue and updated continuously throughout the project.</w:t>
            </w:r>
          </w:p>
        </w:tc>
      </w:tr>
    </w:tbl>
    <w:p>
      <w:pPr>
        <w:pStyle w:val="Default"/>
      </w:pPr>
    </w:p>
    <w:p>
      <w:pPr>
        <w:pStyle w:val="NormalNumberedtext"/>
      </w:pPr>
      <w:r>
        <w:t>The HSESC Manager prepares and maintains an HSESC Deliverables Schedule — RTPR-HSE-REG-0002 — tracking all required HSESC submissions for this project. The schedule is aligned with the requirements of Appendix C-9 and the project programme and is available to the project owner at all times.</w:t>
      </w:r>
    </w:p>
    <w:p>
      <w:pPr>
        <w:pStyle w:val="NormalNumberedtext"/>
      </w:pPr>
      <w:r>
        <w:t>The HSESC Deliverables Schedule records the following fields for each required submission:</w:t>
      </w:r>
    </w:p>
    <w:p>
      <w:pPr>
        <w:pStyle w:val="NumberedBulletL1"/>
      </w:pPr>
      <w:r>
        <w:t>Document number and title.</w:t>
      </w:r>
    </w:p>
    <w:p>
      <w:pPr>
        <w:pStyle w:val="NumberedBulletL1"/>
      </w:pPr>
      <w:r>
        <w:t>Document tier and type.</w:t>
      </w:r>
    </w:p>
    <w:p>
      <w:pPr>
        <w:pStyle w:val="NumberedBulletL1"/>
      </w:pPr>
      <w:r>
        <w:t>Contractual or regulatory requirement that triggers the submission.</w:t>
      </w:r>
    </w:p>
    <w:p>
      <w:pPr>
        <w:pStyle w:val="NumberedBulletL1"/>
      </w:pPr>
      <w:r>
        <w:t>Due date for submission, aligned to the project programme.</w:t>
      </w:r>
    </w:p>
    <w:p>
      <w:pPr>
        <w:pStyle w:val="NumberedBulletL1"/>
      </w:pPr>
      <w:r>
        <w:t>Responsible person by role.</w:t>
      </w:r>
    </w:p>
    <w:p>
      <w:pPr>
        <w:pStyle w:val="NumberedBulletL1"/>
      </w:pPr>
      <w:r>
        <w:t>Submission date — actual.</w:t>
      </w:r>
    </w:p>
    <w:p>
      <w:pPr>
        <w:pStyle w:val="NumberedBulletL1"/>
      </w:pPr>
      <w:r>
        <w:t>Submission status — Not Started, In Preparation, Submitted, or Approved.</w:t>
      </w:r>
    </w:p>
    <w:p>
      <w:pPr>
        <w:pStyle w:val="NumberedBulletL1"/>
      </w:pPr>
      <w:r>
        <w:t>Approval status and date of approval.</w:t>
      </w:r>
    </w:p>
    <w:p>
      <w:pPr>
        <w:pStyle w:val="NumberedBulletL1"/>
      </w:pPr>
      <w:r>
        <w:t>Notes on any approved variation to the due date.</w:t>
      </w:r>
    </w:p>
    <w:p>
      <w:pPr>
        <w:pStyle w:val="NormalNumberedtext"/>
      </w:pPr>
      <w:r>
        <w:t>The HSESC Manager updates the Deliverables Schedule continuously throughout the project. The schedule is reviewed at each project governance meeting and any overdue or at-risk submissions are escalated to [INSERT: escalation role, e.g. Project Director] for resolution.</w:t>
      </w:r>
    </w:p>
    <w:p>
      <w:pPr>
        <w:pStyle w:val="NormalNumberedtext"/>
      </w:pPr>
      <w:r>
        <w:t>Table 6: HSESC Deliverables Schedule — Format</w:t>
      </w:r>
    </w:p>
    <w:tbl>
      <w:tblPr>
        <w:tblStyle w:val="TableOption2"/>
        <w:tblW w:type="pct" w:w="5000"/>
      </w:tblPr>
      <w:tr>
        <w:trPr>
          <w:tblHeader/>
        </w:trPr>
        <w:tc>
          <w:tcPr>
            <w:shd w:val="clear" w:color="auto" w:fill="1F3864"/>
          </w:tcPr>
          <w:p>
            <w:pPr>
              <w:pStyle w:val="TableContents"/>
            </w:pPr>
            <w:r>
              <w:rPr>
                <w:b/>
                <w:bCs/>
                <w:color w:val="FFFFFF"/>
              </w:rPr>
              <w:t>Document Number</w:t>
            </w:r>
          </w:p>
        </w:tc>
        <w:tc>
          <w:tcPr>
            <w:shd w:val="clear" w:color="auto" w:fill="1F3864"/>
          </w:tcPr>
          <w:p>
            <w:pPr>
              <w:pStyle w:val="TableContents"/>
            </w:pPr>
            <w:r>
              <w:rPr>
                <w:b/>
                <w:bCs/>
                <w:color w:val="FFFFFF"/>
              </w:rPr>
              <w:t>Document Title</w:t>
            </w:r>
          </w:p>
        </w:tc>
        <w:tc>
          <w:tcPr>
            <w:shd w:val="clear" w:color="auto" w:fill="1F3864"/>
          </w:tcPr>
          <w:p>
            <w:pPr>
              <w:pStyle w:val="TableContents"/>
            </w:pPr>
            <w:r>
              <w:rPr>
                <w:b/>
                <w:bCs/>
                <w:color w:val="FFFFFF"/>
              </w:rPr>
              <w:t>Tier</w:t>
            </w:r>
          </w:p>
        </w:tc>
        <w:tc>
          <w:tcPr>
            <w:shd w:val="clear" w:color="auto" w:fill="1F3864"/>
          </w:tcPr>
          <w:p>
            <w:pPr>
              <w:pStyle w:val="TableContents"/>
            </w:pPr>
            <w:r>
              <w:rPr>
                <w:b/>
                <w:bCs/>
                <w:color w:val="FFFFFF"/>
              </w:rPr>
              <w:t>Triggering Requirement</w:t>
            </w:r>
          </w:p>
        </w:tc>
        <w:tc>
          <w:tcPr>
            <w:shd w:val="clear" w:color="auto" w:fill="1F3864"/>
          </w:tcPr>
          <w:p>
            <w:pPr>
              <w:pStyle w:val="TableContents"/>
            </w:pPr>
            <w:r>
              <w:rPr>
                <w:b/>
                <w:bCs/>
                <w:color w:val="FFFFFF"/>
              </w:rPr>
              <w:t>Due Date</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Submitted Date</w:t>
            </w:r>
          </w:p>
        </w:tc>
        <w:tc>
          <w:tcPr>
            <w:shd w:val="clear" w:color="auto" w:fill="1F3864"/>
          </w:tcPr>
          <w:p>
            <w:pPr>
              <w:pStyle w:val="TableContents"/>
            </w:pPr>
            <w:r>
              <w:rPr>
                <w:b/>
                <w:bCs/>
                <w:color w:val="FFFFFF"/>
              </w:rPr>
              <w:t>Approval Status</w:t>
            </w:r>
          </w:p>
        </w:tc>
        <w:tc>
          <w:tcPr>
            <w:shd w:val="clear" w:color="auto" w:fill="1F3864"/>
          </w:tcPr>
          <w:p>
            <w:pPr>
              <w:pStyle w:val="TableContents"/>
            </w:pPr>
            <w:r>
              <w:rPr>
                <w:b/>
                <w:bCs/>
                <w:color w:val="FFFFFF"/>
              </w:rPr>
              <w:t>Notes</w:t>
            </w:r>
          </w:p>
        </w:tc>
      </w:tr>
      <w:tr>
        <w:tc>
          <w:tcPr/>
          <w:p>
            <w:pPr>
              <w:pStyle w:val="TableContents"/>
            </w:pPr>
            <w:r>
              <w:t>RTPR-HSE-PLN-0001</w:t>
            </w:r>
          </w:p>
        </w:tc>
        <w:tc>
          <w:tcPr/>
          <w:p>
            <w:pPr>
              <w:pStyle w:val="TableContents"/>
            </w:pPr>
            <w:r>
              <w:t>HSESC Management Plan</w:t>
            </w:r>
          </w:p>
        </w:tc>
        <w:tc>
          <w:tcPr/>
          <w:p>
            <w:pPr>
              <w:pStyle w:val="TableContents"/>
            </w:pPr>
            <w:r>
              <w:t>Tier 2</w:t>
            </w:r>
          </w:p>
        </w:tc>
        <w:tc>
          <w:tcPr/>
          <w:p>
            <w:pPr>
              <w:pStyle w:val="TableContents"/>
            </w:pPr>
            <w:r>
              <w:t>APPC Appendix C-9</w:t>
            </w:r>
          </w:p>
        </w:tc>
        <w:tc>
          <w:tcPr/>
          <w:p>
            <w:pPr>
              <w:pStyle w:val="TableContents"/>
            </w:pPr>
            <w:r>
              <w:rPr>
                <w:b/>
                <w:bCs/>
                <w:color w:val="0059D1"/>
              </w:rPr>
              <w:t>[INSERT: due date]</w:t>
            </w:r>
          </w:p>
        </w:tc>
        <w:tc>
          <w:tcPr/>
          <w:p>
            <w:pPr>
              <w:pStyle w:val="TableContents"/>
            </w:pPr>
            <w:r>
              <w:t>HSESC Manager</w:t>
            </w:r>
          </w:p>
        </w:tc>
        <w:tc>
          <w:tcPr/>
          <w:p>
            <w:pPr>
              <w:pStyle w:val="TableContents"/>
            </w:pPr>
            <w:r>
              <w:rPr>
                <w:b/>
                <w:bCs/>
                <w:color w:val="0059D1"/>
              </w:rPr>
              <w:t>[INSERT:]</w:t>
            </w:r>
          </w:p>
        </w:tc>
        <w:tc>
          <w:tcPr/>
          <w:p>
            <w:pPr>
              <w:pStyle w:val="TableContents"/>
            </w:pPr>
            <w:r>
              <w:rPr>
                <w:b/>
                <w:bCs/>
                <w:color w:val="0059D1"/>
              </w:rPr>
              <w:t>[INSERT:]</w:t>
            </w:r>
          </w:p>
        </w:tc>
        <w:tc>
          <w:tcPr/>
          <w:p>
            <w:pPr>
              <w:pStyle w:val="TableContents"/>
            </w:pPr>
          </w:p>
        </w:tc>
      </w:tr>
      <w:tr>
        <w:tc>
          <w:tcPr/>
          <w:p>
            <w:pPr>
              <w:pStyle w:val="TableContents"/>
            </w:pPr>
            <w:r>
              <w:t>RTPR-HSE-PRO-0010</w:t>
            </w:r>
          </w:p>
        </w:tc>
        <w:tc>
          <w:tcPr/>
          <w:p>
            <w:pPr>
              <w:pStyle w:val="TableContents"/>
            </w:pPr>
            <w:r>
              <w:t>Documentation and Document Control Procedure</w:t>
            </w:r>
          </w:p>
        </w:tc>
        <w:tc>
          <w:tcPr/>
          <w:p>
            <w:pPr>
              <w:pStyle w:val="TableContents"/>
            </w:pPr>
            <w:r>
              <w:t>Tier 3</w:t>
            </w:r>
          </w:p>
        </w:tc>
        <w:tc>
          <w:tcPr/>
          <w:p>
            <w:pPr>
              <w:pStyle w:val="TableContents"/>
            </w:pPr>
            <w:r>
              <w:t>APPC Appendix C-1 §45</w:t>
            </w:r>
          </w:p>
        </w:tc>
        <w:tc>
          <w:tcPr/>
          <w:p>
            <w:pPr>
              <w:pStyle w:val="TableContents"/>
            </w:pPr>
            <w:r>
              <w:rPr>
                <w:b/>
                <w:bCs/>
                <w:color w:val="0059D1"/>
              </w:rPr>
              <w:t>[INSERT: due date]</w:t>
            </w:r>
          </w:p>
        </w:tc>
        <w:tc>
          <w:tcPr/>
          <w:p>
            <w:pPr>
              <w:pStyle w:val="TableContents"/>
            </w:pPr>
            <w:r>
              <w:t>HSESC Manager</w:t>
            </w:r>
          </w:p>
        </w:tc>
        <w:tc>
          <w:tcPr/>
          <w:p>
            <w:pPr>
              <w:pStyle w:val="TableContents"/>
            </w:pPr>
            <w:r>
              <w:rPr>
                <w:b/>
                <w:bCs/>
                <w:color w:val="0059D1"/>
              </w:rPr>
              <w:t>[INSERT:]</w:t>
            </w:r>
          </w:p>
        </w:tc>
        <w:tc>
          <w:tcPr/>
          <w:p>
            <w:pPr>
              <w:pStyle w:val="TableContents"/>
            </w:pPr>
            <w:r>
              <w:rPr>
                <w:b/>
                <w:bCs/>
                <w:color w:val="0059D1"/>
              </w:rPr>
              <w:t>[INSERT:]</w:t>
            </w:r>
          </w:p>
        </w:tc>
        <w:tc>
          <w:tcPr/>
          <w:p>
            <w:pPr>
              <w:pStyle w:val="TableContents"/>
            </w:pPr>
          </w:p>
        </w:tc>
      </w:tr>
      <w:tr>
        <w:tc>
          <w:tcPr/>
          <w:p>
            <w:pPr>
              <w:pStyle w:val="TableContents"/>
            </w:pPr>
            <w:r>
              <w:rPr>
                <w:b/>
                <w:bCs/>
                <w:color w:val="0059D1"/>
              </w:rPr>
              <w:t>[INSERT: document number]</w:t>
            </w:r>
          </w:p>
        </w:tc>
        <w:tc>
          <w:tcPr/>
          <w:p>
            <w:pPr>
              <w:pStyle w:val="TableContents"/>
            </w:pPr>
            <w:r>
              <w:rPr>
                <w:b/>
                <w:bCs/>
                <w:color w:val="0059D1"/>
              </w:rPr>
              <w:t>[INSERT: document title]</w:t>
            </w:r>
          </w:p>
        </w:tc>
        <w:tc>
          <w:tcPr/>
          <w:p>
            <w:pPr>
              <w:pStyle w:val="TableContents"/>
            </w:pPr>
            <w:r>
              <w:rPr>
                <w:b/>
                <w:bCs/>
                <w:color w:val="0059D1"/>
              </w:rPr>
              <w:t>[INSERT: tier]</w:t>
            </w:r>
          </w:p>
        </w:tc>
        <w:tc>
          <w:tcPr/>
          <w:p>
            <w:pPr>
              <w:pStyle w:val="TableContents"/>
            </w:pPr>
            <w:r>
              <w:rPr>
                <w:b/>
                <w:bCs/>
                <w:color w:val="0059D1"/>
              </w:rPr>
              <w:t>[INSERT: requirement]</w:t>
            </w:r>
          </w:p>
        </w:tc>
        <w:tc>
          <w:tcPr/>
          <w:p>
            <w:pPr>
              <w:pStyle w:val="TableContents"/>
            </w:pPr>
            <w:r>
              <w:rPr>
                <w:b/>
                <w:bCs/>
                <w:color w:val="0059D1"/>
              </w:rPr>
              <w:t>[INSERT: due date]</w:t>
            </w:r>
          </w:p>
        </w:tc>
        <w:tc>
          <w:tcPr/>
          <w:p>
            <w:pPr>
              <w:pStyle w:val="TableContents"/>
            </w:pPr>
            <w:r>
              <w:rPr>
                <w:b/>
                <w:bCs/>
                <w:color w:val="0059D1"/>
              </w:rPr>
              <w:t>[INSERT: role]</w:t>
            </w:r>
          </w:p>
        </w:tc>
        <w:tc>
          <w:tcPr/>
          <w:p>
            <w:pPr>
              <w:pStyle w:val="TableContents"/>
            </w:pPr>
            <w:r>
              <w:rPr>
                <w:b/>
                <w:bCs/>
                <w:color w:val="0059D1"/>
              </w:rPr>
              <w:t>[INSERT:]</w:t>
            </w:r>
          </w:p>
        </w:tc>
        <w:tc>
          <w:tcPr/>
          <w:p>
            <w:pPr>
              <w:pStyle w:val="TableContents"/>
            </w:pPr>
            <w:r>
              <w:rPr>
                <w:b/>
                <w:bCs/>
                <w:color w:val="0059D1"/>
              </w:rPr>
              <w:t>[INSERT:]</w:t>
            </w:r>
          </w:p>
        </w:tc>
        <w:tc>
          <w:tcPr/>
          <w:p>
            <w:pPr>
              <w:pStyle w:val="TableContents"/>
            </w:pPr>
          </w:p>
        </w:tc>
      </w:tr>
    </w:tbl>
    <w:p>
      <w:pPr>
        <w:pStyle w:val="Default"/>
      </w:pPr>
    </w:p>
    <w:p>
      <w:pPr>
        <w:pStyle w:val="NormalNumberedtext"/>
      </w:pPr>
      <w:r>
        <w:rPr>
          <w:b/>
          <w:bCs/>
          <w:color w:val="0059D1"/>
        </w:rPr>
        <w:t>[INSERT: deliverables_schedule_location] — Confirm the storage location of RTPR-HSE-REG-0002 within the project document management system and confirm the current version has been populated with all due dates before this procedure is issued.</w:t>
      </w:r>
    </w:p>
    <w:p>
      <w:pPr>
        <w:pStyle w:val="Heading1Numbered"/>
      </w:pPr>
      <w:r>
        <w:t>8  Record Retention</w:t>
      </w:r>
    </w:p>
    <w:p>
      <w:pPr>
        <w:pStyle w:val="NormalNumberedtext"/>
      </w:pPr>
      <w:r>
        <w:t>This section defines minimum record retention periods by category, the ownership and storage requirements for project records, and the secure disposal process for records that have reached retention expiry.</w:t>
      </w:r>
    </w:p>
    <w:p>
      <w:pPr>
        <w:pStyle w:val="Heading2Numbered"/>
      </w:pPr>
      <w:r>
        <w:t>8.1  Retention Periods by Record Category</w:t>
      </w:r>
    </w:p>
    <w:p>
      <w:pPr>
        <w:pStyle w:val="NormalNumberedtext"/>
      </w:pPr>
      <w:r>
        <w:t>This section defines the minimum retention period for each HSESC record category maintained under this project.</w:t>
      </w:r>
    </w:p>
    <w:p>
      <w:pPr>
        <w:pStyle w:val="NormalNumberedtext"/>
      </w:pPr>
      <w:r>
        <w:t>The HSESC Manager ensures all project records are retained for no less than the minimum periods defined in Table 7. Where applicable legislation or permit conditions impose a longer retention period for a specific record category, the longer period applies. Confirmation of project-specific legislative retention requirements is recorded in the notes column of Table 7.</w:t>
      </w:r>
    </w:p>
    <w:tbl>
      <w:tblPr>
        <w:tblStyle w:val="TableOption1"/>
        <w:tblW w:type="pct" w:w="5000"/>
      </w:tblPr>
      <w:tr>
        <w:tc>
          <w:tcPr>
            <w:shd w:val="clear" w:color="auto" w:fill="FFF2CC"/>
          </w:tcPr>
          <w:p>
            <w:pPr>
              <w:pStyle w:val="Instructions"/>
            </w:pPr>
            <w:r>
              <w:rPr>
                <w:b/>
                <w:bCs/>
                <w:color w:val="C55A11"/>
              </w:rPr>
              <w:t>Confirm any project-specific record retention requirements that exceed the minimums in Table 7. Some project jurisdictions impose longer legislative retention requirements. Insert confirmed periods and applicable legislative reference in the Notes column before this procedure is issued.</w:t>
            </w:r>
          </w:p>
        </w:tc>
      </w:tr>
    </w:tbl>
    <w:p>
      <w:pPr>
        <w:pStyle w:val="Default"/>
      </w:pPr>
    </w:p>
    <w:p>
      <w:pPr>
        <w:pStyle w:val="NormalNumberedtext"/>
      </w:pPr>
      <w:r>
        <w:t>Table 7: Minimum Record Retention Periods</w:t>
      </w:r>
    </w:p>
    <w:tbl>
      <w:tblPr>
        <w:tblStyle w:val="TableOption2"/>
        <w:tblW w:type="pct" w:w="5000"/>
      </w:tblPr>
      <w:tr>
        <w:trPr>
          <w:tblHeader/>
        </w:trPr>
        <w:tc>
          <w:tcPr>
            <w:shd w:val="clear" w:color="auto" w:fill="1F3864"/>
          </w:tcPr>
          <w:p>
            <w:pPr>
              <w:pStyle w:val="TableContents"/>
            </w:pPr>
            <w:r>
              <w:rPr>
                <w:b/>
                <w:bCs/>
                <w:color w:val="FFFFFF"/>
              </w:rPr>
              <w:t>Record Category</w:t>
            </w:r>
          </w:p>
        </w:tc>
        <w:tc>
          <w:tcPr>
            <w:shd w:val="clear" w:color="auto" w:fill="1F3864"/>
          </w:tcPr>
          <w:p>
            <w:pPr>
              <w:pStyle w:val="TableContents"/>
            </w:pPr>
            <w:r>
              <w:rPr>
                <w:b/>
                <w:bCs/>
                <w:color w:val="FFFFFF"/>
              </w:rPr>
              <w:t>Examples</w:t>
            </w:r>
          </w:p>
        </w:tc>
        <w:tc>
          <w:tcPr>
            <w:shd w:val="clear" w:color="auto" w:fill="1F3864"/>
          </w:tcPr>
          <w:p>
            <w:pPr>
              <w:pStyle w:val="TableContents"/>
            </w:pPr>
            <w:r>
              <w:rPr>
                <w:b/>
                <w:bCs/>
                <w:color w:val="FFFFFF"/>
              </w:rPr>
              <w:t>Minimum Retention Period</w:t>
            </w:r>
          </w:p>
        </w:tc>
        <w:tc>
          <w:tcPr>
            <w:shd w:val="clear" w:color="auto" w:fill="1F3864"/>
          </w:tcPr>
          <w:p>
            <w:pPr>
              <w:pStyle w:val="TableContents"/>
            </w:pPr>
            <w:r>
              <w:rPr>
                <w:b/>
                <w:bCs/>
                <w:color w:val="FFFFFF"/>
              </w:rPr>
              <w:t>Retention Basis</w:t>
            </w:r>
          </w:p>
        </w:tc>
        <w:tc>
          <w:tcPr>
            <w:shd w:val="clear" w:color="auto" w:fill="1F3864"/>
          </w:tcPr>
          <w:p>
            <w:pPr>
              <w:pStyle w:val="TableContents"/>
            </w:pPr>
            <w:r>
              <w:rPr>
                <w:b/>
                <w:bCs/>
                <w:color w:val="FFFFFF"/>
              </w:rPr>
              <w:t>Project-Specific Requirement</w:t>
            </w:r>
          </w:p>
        </w:tc>
        <w:tc>
          <w:tcPr>
            <w:shd w:val="clear" w:color="auto" w:fill="1F3864"/>
          </w:tcPr>
          <w:p>
            <w:pPr>
              <w:pStyle w:val="TableContents"/>
            </w:pPr>
            <w:r>
              <w:rPr>
                <w:b/>
                <w:bCs/>
                <w:color w:val="FFFFFF"/>
              </w:rPr>
              <w:t>Notes</w:t>
            </w:r>
          </w:p>
        </w:tc>
      </w:tr>
      <w:tr>
        <w:tc>
          <w:tcPr/>
          <w:p>
            <w:pPr>
              <w:pStyle w:val="TableContents"/>
            </w:pPr>
            <w:r>
              <w:t>Electrical equipment inspection records</w:t>
            </w:r>
          </w:p>
        </w:tc>
        <w:tc>
          <w:tcPr/>
          <w:p>
            <w:pPr>
              <w:pStyle w:val="TableContents"/>
            </w:pPr>
            <w:r>
              <w:t>Test and tag records, switchboard inspection reports, high voltage test records.</w:t>
            </w:r>
          </w:p>
        </w:tc>
        <w:tc>
          <w:tcPr/>
          <w:p>
            <w:pPr>
              <w:pStyle w:val="TableContents"/>
            </w:pPr>
            <w:r>
              <w:t>5 years from date of inspection.</w:t>
            </w:r>
          </w:p>
        </w:tc>
        <w:tc>
          <w:tcPr/>
          <w:p>
            <w:pPr>
              <w:pStyle w:val="TableContents"/>
            </w:pPr>
            <w:r>
              <w:t>RT Standard</w:t>
            </w:r>
          </w:p>
        </w:tc>
        <w:tc>
          <w:tcPr/>
          <w:p>
            <w:pPr>
              <w:pStyle w:val="TableContents"/>
            </w:pPr>
            <w:r>
              <w:rPr>
                <w:b/>
                <w:bCs/>
                <w:color w:val="0059D1"/>
              </w:rPr>
              <w:t>[INSERT: confirm or extend if legislation requires longer]</w:t>
            </w:r>
          </w:p>
        </w:tc>
        <w:tc>
          <w:tcPr/>
          <w:p>
            <w:pPr>
              <w:pStyle w:val="TableContents"/>
            </w:pPr>
          </w:p>
        </w:tc>
      </w:tr>
      <w:tr>
        <w:tc>
          <w:tcPr/>
          <w:p>
            <w:pPr>
              <w:pStyle w:val="TableContents"/>
            </w:pPr>
            <w:r>
              <w:t>Incident investigation records</w:t>
            </w:r>
          </w:p>
        </w:tc>
        <w:tc>
          <w:tcPr/>
          <w:p>
            <w:pPr>
              <w:pStyle w:val="TableContents"/>
            </w:pPr>
            <w:r>
              <w:t>Investigation reports, corrective action registers, regulator notifications.</w:t>
            </w:r>
          </w:p>
        </w:tc>
        <w:tc>
          <w:tcPr/>
          <w:p>
            <w:pPr>
              <w:pStyle w:val="TableContents"/>
            </w:pPr>
            <w:r>
              <w:t>Per incident classification and applicable legislative requirement — refer RTPR-HSE-PRO-0009.</w:t>
            </w:r>
          </w:p>
        </w:tc>
        <w:tc>
          <w:tcPr/>
          <w:p>
            <w:pPr>
              <w:pStyle w:val="TableContents"/>
            </w:pPr>
            <w:r>
              <w:t>RT Standard and legislative requirement</w:t>
            </w:r>
          </w:p>
        </w:tc>
        <w:tc>
          <w:tcPr/>
          <w:p>
            <w:pPr>
              <w:pStyle w:val="TableContents"/>
            </w:pPr>
            <w:r>
              <w:rPr>
                <w:b/>
                <w:bCs/>
                <w:color w:val="0059D1"/>
              </w:rPr>
              <w:t>[INSERT: confirm legislative retention period for this jurisdiction]</w:t>
            </w:r>
          </w:p>
        </w:tc>
        <w:tc>
          <w:tcPr/>
          <w:p>
            <w:pPr>
              <w:pStyle w:val="TableContents"/>
            </w:pPr>
          </w:p>
        </w:tc>
      </w:tr>
      <w:tr>
        <w:tc>
          <w:tcPr/>
          <w:p>
            <w:pPr>
              <w:pStyle w:val="TableContents"/>
            </w:pPr>
            <w:r>
              <w:t>Explosives records</w:t>
            </w:r>
          </w:p>
        </w:tc>
        <w:tc>
          <w:tcPr/>
          <w:p>
            <w:pPr>
              <w:pStyle w:val="TableContents"/>
            </w:pPr>
            <w:r>
              <w:t>Receipt, storage, usage, and disposal records for explosives and detonators.</w:t>
            </w:r>
          </w:p>
        </w:tc>
        <w:tc>
          <w:tcPr/>
          <w:p>
            <w:pPr>
              <w:pStyle w:val="TableContents"/>
            </w:pPr>
            <w:r>
              <w:t>5 years or life of mine — whichever is longer.</w:t>
            </w:r>
          </w:p>
        </w:tc>
        <w:tc>
          <w:tcPr/>
          <w:p>
            <w:pPr>
              <w:pStyle w:val="TableContents"/>
            </w:pPr>
            <w:r>
              <w:t>RT Standard</w:t>
            </w:r>
          </w:p>
        </w:tc>
        <w:tc>
          <w:tcPr/>
          <w:p>
            <w:pPr>
              <w:pStyle w:val="TableContents"/>
            </w:pPr>
            <w:r>
              <w:rPr>
                <w:b/>
                <w:bCs/>
                <w:color w:val="0059D1"/>
              </w:rPr>
              <w:t>[INSERT: confirm legislative requirement for this jurisdiction]</w:t>
            </w:r>
          </w:p>
        </w:tc>
        <w:tc>
          <w:tcPr/>
          <w:p>
            <w:pPr>
              <w:pStyle w:val="TableContents"/>
            </w:pPr>
          </w:p>
        </w:tc>
      </w:tr>
      <w:tr>
        <w:tc>
          <w:tcPr/>
          <w:p>
            <w:pPr>
              <w:pStyle w:val="TableContents"/>
            </w:pPr>
            <w:r>
              <w:t>Environmental monitoring datasets</w:t>
            </w:r>
          </w:p>
        </w:tc>
        <w:tc>
          <w:tcPr/>
          <w:p>
            <w:pPr>
              <w:pStyle w:val="TableContents"/>
            </w:pPr>
            <w:r>
              <w:t>Water quality, air quality, noise, vibration, and ecological monitoring data.</w:t>
            </w:r>
          </w:p>
        </w:tc>
        <w:tc>
          <w:tcPr/>
          <w:p>
            <w:pPr>
              <w:pStyle w:val="TableContents"/>
            </w:pPr>
            <w:r>
              <w:t>Life of asset.</w:t>
            </w:r>
          </w:p>
        </w:tc>
        <w:tc>
          <w:tcPr/>
          <w:p>
            <w:pPr>
              <w:pStyle w:val="TableContents"/>
            </w:pPr>
            <w:r>
              <w:t>RT Standard and IFC PS1 §22</w:t>
            </w:r>
          </w:p>
        </w:tc>
        <w:tc>
          <w:tcPr/>
          <w:p>
            <w:pPr>
              <w:pStyle w:val="TableContents"/>
            </w:pPr>
            <w:r>
              <w:t>Life of asset — not reducible.</w:t>
            </w:r>
          </w:p>
        </w:tc>
        <w:tc>
          <w:tcPr/>
          <w:p>
            <w:pPr>
              <w:pStyle w:val="TableContents"/>
            </w:pPr>
          </w:p>
        </w:tc>
      </w:tr>
      <w:tr>
        <w:tc>
          <w:tcPr/>
          <w:p>
            <w:pPr>
              <w:pStyle w:val="TableContents"/>
            </w:pPr>
            <w:r>
              <w:t>Training and competency records</w:t>
            </w:r>
          </w:p>
        </w:tc>
        <w:tc>
          <w:tcPr/>
          <w:p>
            <w:pPr>
              <w:pStyle w:val="TableContents"/>
            </w:pPr>
            <w:r>
              <w:t>Induction records, competency assessments, licences, and certificates of attainment.</w:t>
            </w:r>
          </w:p>
        </w:tc>
        <w:tc>
          <w:tcPr/>
          <w:p>
            <w:pPr>
              <w:pStyle w:val="TableContents"/>
            </w:pPr>
            <w:r>
              <w:t>Employment period plus a minimum of 7 years post-employment.</w:t>
            </w:r>
          </w:p>
        </w:tc>
        <w:tc>
          <w:tcPr/>
          <w:p>
            <w:pPr>
              <w:pStyle w:val="TableContents"/>
            </w:pPr>
            <w:r>
              <w:t>RT Standard</w:t>
            </w:r>
          </w:p>
        </w:tc>
        <w:tc>
          <w:tcPr/>
          <w:p>
            <w:pPr>
              <w:pStyle w:val="TableContents"/>
            </w:pPr>
            <w:r>
              <w:rPr>
                <w:b/>
                <w:bCs/>
                <w:color w:val="0059D1"/>
              </w:rPr>
              <w:t>[INSERT: confirm legislative requirement for this jurisdiction]</w:t>
            </w:r>
          </w:p>
        </w:tc>
        <w:tc>
          <w:tcPr/>
          <w:p>
            <w:pPr>
              <w:pStyle w:val="TableContents"/>
            </w:pPr>
          </w:p>
        </w:tc>
      </w:tr>
      <w:tr>
        <w:tc>
          <w:tcPr/>
          <w:p>
            <w:pPr>
              <w:pStyle w:val="TableContents"/>
            </w:pPr>
            <w:r>
              <w:t>Management system records</w:t>
            </w:r>
          </w:p>
        </w:tc>
        <w:tc>
          <w:tcPr/>
          <w:p>
            <w:pPr>
              <w:pStyle w:val="TableContents"/>
            </w:pPr>
            <w:r>
              <w:t>Document Register, Deliverables Schedule, audit reports, management review records.</w:t>
            </w:r>
          </w:p>
        </w:tc>
        <w:tc>
          <w:tcPr/>
          <w:p>
            <w:pPr>
              <w:pStyle w:val="TableContents"/>
            </w:pPr>
            <w:r>
              <w:t>Life of project plus 7 years.</w:t>
            </w:r>
          </w:p>
        </w:tc>
        <w:tc>
          <w:tcPr/>
          <w:p>
            <w:pPr>
              <w:pStyle w:val="TableContents"/>
            </w:pPr>
            <w:r>
              <w:t>RT Standard and IFC PS1 §22</w:t>
            </w:r>
          </w:p>
        </w:tc>
        <w:tc>
          <w:tcPr/>
          <w:p>
            <w:pPr>
              <w:pStyle w:val="TableContents"/>
            </w:pPr>
            <w:r>
              <w:rPr>
                <w:b/>
                <w:bCs/>
                <w:color w:val="0059D1"/>
              </w:rPr>
              <w:t>[INSERT: confirm or extend if required]</w:t>
            </w:r>
          </w:p>
        </w:tc>
        <w:tc>
          <w:tcPr/>
          <w:p>
            <w:pPr>
              <w:pStyle w:val="TableContents"/>
            </w:pPr>
          </w:p>
        </w:tc>
      </w:tr>
      <w:tr>
        <w:tc>
          <w:tcPr/>
          <w:p>
            <w:pPr>
              <w:pStyle w:val="TableContents"/>
            </w:pPr>
            <w:r>
              <w:rPr>
                <w:b/>
                <w:bCs/>
                <w:color w:val="0059D1"/>
              </w:rPr>
              <w:t>[INSERT: additional record category]</w:t>
            </w:r>
          </w:p>
        </w:tc>
        <w:tc>
          <w:tcPr/>
          <w:p>
            <w:pPr>
              <w:pStyle w:val="TableContents"/>
            </w:pPr>
            <w:r>
              <w:rPr>
                <w:b/>
                <w:bCs/>
                <w:color w:val="0059D1"/>
              </w:rPr>
              <w:t>[INSERT:]</w:t>
            </w:r>
          </w:p>
        </w:tc>
        <w:tc>
          <w:tcPr/>
          <w:p>
            <w:pPr>
              <w:pStyle w:val="TableContents"/>
            </w:pPr>
            <w:r>
              <w:rPr>
                <w:b/>
                <w:bCs/>
                <w:color w:val="0059D1"/>
              </w:rPr>
              <w:t>[INSERT:]</w:t>
            </w:r>
          </w:p>
        </w:tc>
        <w:tc>
          <w:tcPr/>
          <w:p>
            <w:pPr>
              <w:pStyle w:val="TableContents"/>
            </w:pPr>
            <w:r>
              <w:rPr>
                <w:b/>
                <w:bCs/>
                <w:color w:val="0059D1"/>
              </w:rPr>
              <w:t>[INSERT:]</w:t>
            </w:r>
          </w:p>
        </w:tc>
        <w:tc>
          <w:tcPr/>
          <w:p>
            <w:pPr>
              <w:pStyle w:val="TableContents"/>
            </w:pPr>
            <w:r>
              <w:rPr>
                <w:b/>
                <w:bCs/>
                <w:color w:val="0059D1"/>
              </w:rPr>
              <w:t>[INSERT:]</w:t>
            </w:r>
          </w:p>
        </w:tc>
        <w:tc>
          <w:tcPr/>
          <w:p>
            <w:pPr>
              <w:pStyle w:val="TableContents"/>
            </w:pPr>
          </w:p>
        </w:tc>
      </w:tr>
    </w:tbl>
    <w:p>
      <w:pPr>
        <w:pStyle w:val="Default"/>
      </w:pPr>
    </w:p>
    <w:p>
      <w:pPr>
        <w:pStyle w:val="NormalNumberedtext"/>
      </w:pPr>
      <w:r>
        <w:t>Monitoring data and management records are retained for the life of the project consistent with IFC Performance Standard 1. All project records are owned by Rio Tinto, stored on authorised Rio Tinto systems or project-approved document management systems, and remain accessible for future regulatory audit, assurance review, or legal proceedings. Records must not be stored on personal devices or in personal email accounts.</w:t>
      </w:r>
    </w:p>
    <w:p>
      <w:pPr>
        <w:pStyle w:val="NormalNumberedtext"/>
      </w:pPr>
      <w:r>
        <w:rPr>
          <w:b/>
          <w:bCs/>
          <w:color w:val="0059D1"/>
        </w:rPr>
        <w:t>[INSERT: authorised_records_storage_system] — Confirm the authorised records storage system for this project, including the system name, access permissions, and the role responsible for system administration.</w:t>
      </w:r>
    </w:p>
    <w:p>
      <w:pPr>
        <w:pStyle w:val="Heading2Numbered"/>
      </w:pPr>
      <w:r>
        <w:t>8.2  Records Disposal</w:t>
      </w:r>
    </w:p>
    <w:p>
      <w:pPr>
        <w:pStyle w:val="NormalNumberedtext"/>
      </w:pPr>
      <w:r>
        <w:t>This section defines the secure disposal process for records that have reached their retention expiry date.</w:t>
      </w:r>
    </w:p>
    <w:p>
      <w:pPr>
        <w:pStyle w:val="NormalNumberedtext"/>
      </w:pPr>
      <w:r>
        <w:t>No project record is disposed of before its minimum retention period has elapsed. The HSESC Manager — or the designated records custodian — initiates the disposal review process for records approaching retention expiry and obtains written approval before any disposal action is taken.</w:t>
      </w:r>
    </w:p>
    <w:p>
      <w:pPr>
        <w:pStyle w:val="NormalNumberedtext"/>
      </w:pPr>
      <w:r>
        <w:t>The following steps apply to the disposal of records that have reached retention expiry:</w:t>
      </w:r>
    </w:p>
    <w:p>
      <w:pPr>
        <w:pStyle w:val="NumberedBulletL1"/>
      </w:pPr>
      <w:r>
        <w:t>The records custodian identifies records approaching or at retention expiry and presents a disposal list to the approved disposal authority for review.</w:t>
      </w:r>
    </w:p>
    <w:p>
      <w:pPr>
        <w:pStyle w:val="NumberedBulletL1"/>
      </w:pPr>
      <w:r>
        <w:t>The approved disposal authority confirms that no ongoing regulatory, legal, insurance, or assurance obligation prevents disposal of the identified records before approving disposal.</w:t>
      </w:r>
    </w:p>
    <w:p>
      <w:pPr>
        <w:pStyle w:val="NumberedBulletL1"/>
      </w:pPr>
      <w:r>
        <w:t>Disposal is carried out by a method appropriate to the sensitivity of the record — secure shredding for hardcopy documents and verified deletion for electronic records — using [INSERT: approved disposal method and service provider if applicable].</w:t>
      </w:r>
    </w:p>
    <w:p>
      <w:pPr>
        <w:pStyle w:val="NumberedBulletL1"/>
      </w:pPr>
      <w:r>
        <w:t>A disposal event record is created at the time of disposal documenting: the record category and description of records destroyed; the volume or count of records disposed of; the disposal method used; the name and role of the authority who approved disposal; and the date of disposal.</w:t>
      </w:r>
    </w:p>
    <w:p>
      <w:pPr>
        <w:pStyle w:val="NumberedBulletL1"/>
      </w:pPr>
      <w:r>
        <w:t>The disposal event record is retained in the project archive for a minimum of 7 years following the disposal event.</w:t>
      </w:r>
    </w:p>
    <w:p>
      <w:pPr>
        <w:pStyle w:val="NumberedBulletL1"/>
      </w:pPr>
      <w:r>
        <w:rPr>
          <w:color w:val="C55A11"/>
        </w:rPr>
        <w:t>Disposal event records are stored in [INSERT: designated archive location] and are not themselves subject to disposal during the project lifetime.</w:t>
      </w:r>
    </w:p>
    <w:p>
      <w:pPr>
        <w:pStyle w:val="NormalNumberedtext"/>
      </w:pPr>
      <w:r>
        <w:t>The retention and disposal of records produced under this system are governed by RTPR-HSE-PRO-0043 — Records Management. This procedure does not reproduce the content of that document. Where a conflict exists between this procedure and RTPR-HSE-PRO-0043, the Records Management Procedure takes precedence for record retention and disposal matters.</w:t>
      </w:r>
    </w:p>
    <w:p>
      <w:pPr>
        <w:pStyle w:val="NormalNumberedtext"/>
      </w:pPr>
      <w:r>
        <w:rPr>
          <w:b/>
          <w:bCs/>
          <w:color w:val="0059D1"/>
        </w:rPr>
        <w:t>[INSERT: disposal_authority_role] — Define the role authorised to approve the disposal of HSESC records on this project. This role should be at or above the level of HSESC Manager.</w:t>
      </w:r>
    </w:p>
    <w:p>
      <w:pPr>
        <w:pStyle w:val="Heading1Numbered"/>
      </w:pPr>
      <w:r>
        <w:t>9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Community — the integrated discipline framework governing occupational health, safety, environmental protection, and social and community performance on Rio Tinto owner-led projects.</w:t>
            </w:r>
          </w:p>
        </w:tc>
      </w:tr>
      <w:tr>
        <w:tc>
          <w:tcPr/>
          <w:p>
            <w:pPr>
              <w:pStyle w:val="TableContents"/>
            </w:pPr>
            <w:r>
              <w:t>PRO</w:t>
            </w:r>
          </w:p>
        </w:tc>
        <w:tc>
          <w:tcPr/>
          <w:p>
            <w:pPr>
              <w:pStyle w:val="TableContents"/>
            </w:pPr>
            <w:r>
              <w:t>Procedure — a controlled document prescribing the specific steps, responsibilities, and controls required to perform an activity within the management system.</w:t>
            </w:r>
          </w:p>
        </w:tc>
      </w:tr>
      <w:tr>
        <w:tc>
          <w:tcPr/>
          <w:p>
            <w:pPr>
              <w:pStyle w:val="TableContents"/>
            </w:pPr>
            <w:r>
              <w:t>RTPR</w:t>
            </w:r>
          </w:p>
        </w:tc>
        <w:tc>
          <w:tcPr/>
          <w:p>
            <w:pPr>
              <w:pStyle w:val="TableContents"/>
            </w:pPr>
            <w:r>
              <w:t>Rio Tinto Projects — the Rio Tinto business unit responsible for delivering owner-led capital projects, under whose management system this procedure operates.</w:t>
            </w:r>
          </w:p>
        </w:tc>
      </w:tr>
      <w:tr>
        <w:tc>
          <w:tcPr/>
          <w:p>
            <w:pPr>
              <w:pStyle w:val="TableContents"/>
            </w:pPr>
            <w:r>
              <w:t>HSE</w:t>
            </w:r>
          </w:p>
        </w:tc>
        <w:tc>
          <w:tcPr/>
          <w:p>
            <w:pPr>
              <w:pStyle w:val="TableContents"/>
            </w:pPr>
            <w:r>
              <w:t>Health, Safety and Environment — the combined discipline covering occupational health, workplace safety, and environmental management obligations.</w:t>
            </w:r>
          </w:p>
        </w:tc>
      </w:tr>
      <w:tr>
        <w:tc>
          <w:tcPr/>
          <w:p>
            <w:pPr>
              <w:pStyle w:val="TableContents"/>
            </w:pPr>
            <w:r>
              <w:t>RT</w:t>
            </w:r>
          </w:p>
        </w:tc>
        <w:tc>
          <w:tcPr/>
          <w:p>
            <w:pPr>
              <w:pStyle w:val="TableContents"/>
            </w:pPr>
            <w:r>
              <w:t>Rio Tinto — the parent organisation whose corporate standards, frameworks, and risk management requirements flow down into project-level management systems.</w:t>
            </w:r>
          </w:p>
        </w:tc>
      </w:tr>
      <w:tr>
        <w:tc>
          <w:tcPr/>
          <w:p>
            <w:pPr>
              <w:pStyle w:val="TableContents"/>
            </w:pPr>
            <w:r>
              <w:t>DCC</w:t>
            </w:r>
          </w:p>
        </w:tc>
        <w:tc>
          <w:tcPr/>
          <w:p>
            <w:pPr>
              <w:pStyle w:val="TableContents"/>
            </w:pPr>
            <w:r>
              <w:t>Document Control Centre — the designated function or system responsible for registering, distributing, archiving, and controlling all documents and records within the project management system.</w:t>
            </w:r>
          </w:p>
        </w:tc>
      </w:tr>
      <w:tr>
        <w:tc>
          <w:tcPr/>
          <w:p>
            <w:pPr>
              <w:pStyle w:val="TableContents"/>
            </w:pPr>
            <w:r>
              <w:t>EDMS</w:t>
            </w:r>
          </w:p>
        </w:tc>
        <w:tc>
          <w:tcPr/>
          <w:p>
            <w:pPr>
              <w:pStyle w:val="TableContents"/>
            </w:pPr>
            <w:r>
              <w:t>Electronic Document Management System — the software platform used to store, version-control, distribute, and retrieve controlled documents and records throughout the project lifecycle.</w:t>
            </w:r>
          </w:p>
        </w:tc>
      </w:tr>
      <w:tr>
        <w:tc>
          <w:tcPr/>
          <w:p>
            <w:pPr>
              <w:pStyle w:val="TableContents"/>
            </w:pPr>
            <w:r>
              <w:t>IFC</w:t>
            </w:r>
          </w:p>
        </w:tc>
        <w:tc>
          <w:tcPr/>
          <w:p>
            <w:pPr>
              <w:pStyle w:val="TableContents"/>
            </w:pPr>
            <w:r>
              <w:t>Issued for Construction — a document status designation indicating that a document has completed all review and approval stages and is authorised for use in construction or field activities.</w:t>
            </w:r>
          </w:p>
        </w:tc>
      </w:tr>
      <w:tr>
        <w:tc>
          <w:tcPr/>
          <w:p>
            <w:pPr>
              <w:pStyle w:val="TableContents"/>
            </w:pPr>
            <w:r>
              <w:t>IFR</w:t>
            </w:r>
          </w:p>
        </w:tc>
        <w:tc>
          <w:tcPr/>
          <w:p>
            <w:pPr>
              <w:pStyle w:val="TableContents"/>
            </w:pPr>
            <w:r>
              <w:t>Issued for Review — a document status designation indicating that a document has been formally issued to nominated reviewers for comment prior to approval.</w:t>
            </w:r>
          </w:p>
        </w:tc>
      </w:tr>
      <w:tr>
        <w:tc>
          <w:tcPr/>
          <w:p>
            <w:pPr>
              <w:pStyle w:val="TableContents"/>
            </w:pPr>
            <w:r>
              <w:t>SME</w:t>
            </w:r>
          </w:p>
        </w:tc>
        <w:tc>
          <w:tcPr/>
          <w:p>
            <w:pPr>
              <w:pStyle w:val="TableContents"/>
            </w:pPr>
            <w:r>
              <w:t>Subject Matter Expert — an individual with specialist technical or functional knowledge appointed to contribute to or review a document within their area of expertise.</w:t>
            </w:r>
          </w:p>
        </w:tc>
      </w:tr>
      <w:tr>
        <w:tc>
          <w:tcPr/>
          <w:p>
            <w:pPr>
              <w:pStyle w:val="TableContents"/>
            </w:pPr>
            <w:r>
              <w:t>PMIS</w:t>
            </w:r>
          </w:p>
        </w:tc>
        <w:tc>
          <w:tcPr/>
          <w:p>
            <w:pPr>
              <w:pStyle w:val="TableContents"/>
            </w:pPr>
            <w:r>
              <w:t>Project Management Information System — the integrated information system used to manage project data, schedules, deliverables registers, and document control workflows.</w:t>
            </w:r>
          </w:p>
        </w:tc>
      </w:tr>
      <w:tr>
        <w:tc>
          <w:tcPr/>
          <w:p>
            <w:pPr>
              <w:pStyle w:val="TableContents"/>
            </w:pPr>
            <w:r>
              <w:t>MDS</w:t>
            </w:r>
          </w:p>
        </w:tc>
        <w:tc>
          <w:tcPr/>
          <w:p>
            <w:pPr>
              <w:pStyle w:val="TableContents"/>
            </w:pPr>
            <w:r>
              <w:t>Master Document Schedule — the controlled register listing all project documents, their unique identification numbers, revision status, owners, review milestones, and issue dates.</w:t>
            </w:r>
          </w:p>
        </w:tc>
      </w:tr>
      <w:tr>
        <w:tc>
          <w:tcPr/>
          <w:p>
            <w:pPr>
              <w:pStyle w:val="TableContents"/>
            </w:pPr>
            <w:r>
              <w:t>WBS</w:t>
            </w:r>
          </w:p>
        </w:tc>
        <w:tc>
          <w:tcPr/>
          <w:p>
            <w:pPr>
              <w:pStyle w:val="TableContents"/>
            </w:pPr>
            <w:r>
              <w:t>Work Breakdown Structure — the hierarchical decomposition of the total project scope used as the basis for document coding, deliverable assignment, and schedule integration.</w:t>
            </w:r>
          </w:p>
        </w:tc>
      </w:tr>
      <w:tr>
        <w:tc>
          <w:tcPr/>
          <w:p>
            <w:pPr>
              <w:pStyle w:val="TableContents"/>
            </w:pPr>
            <w:r>
              <w:t>TQ</w:t>
            </w:r>
          </w:p>
        </w:tc>
        <w:tc>
          <w:tcPr/>
          <w:p>
            <w:pPr>
              <w:pStyle w:val="TableContents"/>
            </w:pPr>
            <w:r>
              <w:t>Technical Query — a formal request raised against a document to seek clarification or resolution of a technical question before or during implementation.</w:t>
            </w:r>
          </w:p>
        </w:tc>
      </w:tr>
      <w:tr>
        <w:tc>
          <w:tcPr/>
          <w:p>
            <w:pPr>
              <w:pStyle w:val="TableContents"/>
            </w:pPr>
            <w:r>
              <w:t>MOC</w:t>
            </w:r>
          </w:p>
        </w:tc>
        <w:tc>
          <w:tcPr/>
          <w:p>
            <w:pPr>
              <w:pStyle w:val="TableContents"/>
            </w:pPr>
            <w:r>
              <w:t>Management of Change — a formal process for identifying, assessing, approving, and recording changes to documents, designs, processes, or organisational arrangements.</w:t>
            </w:r>
          </w:p>
        </w:tc>
      </w:tr>
      <w:tr>
        <w:tc>
          <w:tcPr/>
          <w:p>
            <w:pPr>
              <w:pStyle w:val="TableContents"/>
            </w:pPr>
            <w:r>
              <w:t>RFI</w:t>
            </w:r>
          </w:p>
        </w:tc>
        <w:tc>
          <w:tcPr/>
          <w:p>
            <w:pPr>
              <w:pStyle w:val="TableContents"/>
            </w:pPr>
            <w:r>
              <w:t>Request for Information — a formal document used to request clarification or additional information from a document owner or approver during review or construction phases.</w:t>
            </w:r>
          </w:p>
        </w:tc>
      </w:tr>
      <w:tr>
        <w:tc>
          <w:tcPr/>
          <w:p>
            <w:pPr>
              <w:pStyle w:val="TableContents"/>
            </w:pPr>
            <w:r>
              <w:t>ORP</w:t>
            </w:r>
          </w:p>
        </w:tc>
        <w:tc>
          <w:tcPr/>
          <w:p>
            <w:pPr>
              <w:pStyle w:val="TableContents"/>
            </w:pPr>
            <w:r>
              <w:t>Owner Review Panel — the designated group of Rio Tinto representatives with authority to review and endorse documents prior to final approval in accordance with the approval authority matrix.</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10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Records Management</w:t>
            </w:r>
          </w:p>
        </w:tc>
        <w:tc>
          <w:tcPr/>
          <w:p>
            <w:pPr>
              <w:pStyle w:val="TableContents"/>
            </w:pPr>
            <w:r>
              <w:t>RTPR-HSE-PRO-0043</w:t>
            </w:r>
          </w:p>
        </w:tc>
        <w:tc>
          <w:tcPr/>
          <w:p>
            <w:pPr>
              <w:pStyle w:val="TableContents"/>
            </w:pPr>
            <w:r>
              <w:t>Internal procedure</w:t>
            </w:r>
          </w:p>
        </w:tc>
      </w:tr>
      <w:tr>
        <w:tc>
          <w:tcPr/>
          <w:p>
            <w:pPr>
              <w:pStyle w:val="TableContents"/>
            </w:pPr>
            <w:r>
              <w:t>Organisational Resources — Approval Authority by Role</w:t>
            </w:r>
          </w:p>
        </w:tc>
        <w:tc>
          <w:tcPr/>
          <w:p>
            <w:pPr>
              <w:pStyle w:val="TableContents"/>
            </w:pPr>
            <w:r>
              <w:t>RTPR-HSE-PRO-0003</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11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12  Source Requirements Traceability (DELETE BEFORE ISSUE)</w:t>
      </w:r>
    </w:p>
    <w:p>
      <w:pPr>
        <w:pStyle w:val="Heading2Numbered"/>
      </w:pPr>
      <w:r>
        <w:t>12.1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 Management &amp; Compliance Standard</w:t>
            </w:r>
          </w:p>
        </w:tc>
        <w:tc>
          <w:tcPr/>
          <w:p>
            <w:pPr>
              <w:pStyle w:val="TableContents"/>
            </w:pPr>
            <w:r>
              <w:t>Requires a four-tier document hierarchy, unique document identification, defined approval roles, version control, and minimum record retention periods by category.</w:t>
            </w:r>
          </w:p>
        </w:tc>
        <w:tc>
          <w:tcPr/>
          <w:p>
            <w:pPr>
              <w:pStyle w:val="TableContents"/>
            </w:pPr>
            <w:r>
              <w:t>Full</w:t>
            </w:r>
          </w:p>
        </w:tc>
      </w:tr>
      <w:tr>
        <w:tc>
          <w:tcPr/>
          <w:p>
            <w:pPr>
              <w:pStyle w:val="TableContents"/>
            </w:pPr>
            <w:r>
              <w:rPr>
                <w:b/>
                <w:bCs/>
                <w:color w:val="0059D1"/>
              </w:rPr>
              <w:t>[INSERT: section]</w:t>
            </w:r>
          </w:p>
        </w:tc>
        <w:tc>
          <w:tcPr/>
          <w:p>
            <w:pPr>
              <w:pStyle w:val="TableContents"/>
            </w:pPr>
            <w:r>
              <w:t>Appendix C C-1 §45</w:t>
            </w:r>
          </w:p>
        </w:tc>
        <w:tc>
          <w:tcPr/>
          <w:p>
            <w:pPr>
              <w:pStyle w:val="TableContents"/>
            </w:pPr>
            <w:r>
              <w:t>Requires a Document Register tracking all controlled documents, defines which documents require project owner approval, and requires preparation and maintenance of an HSESC Deliverables Schedule.</w:t>
            </w:r>
          </w:p>
        </w:tc>
        <w:tc>
          <w:tcPr/>
          <w:p>
            <w:pPr>
              <w:pStyle w:val="TableContents"/>
            </w:pPr>
            <w:r>
              <w:t>Full</w:t>
            </w:r>
          </w:p>
        </w:tc>
      </w:tr>
      <w:tr>
        <w:tc>
          <w:tcPr/>
          <w:p>
            <w:pPr>
              <w:pStyle w:val="TableContents"/>
            </w:pPr>
            <w:r>
              <w:rPr>
                <w:b/>
                <w:bCs/>
                <w:color w:val="0059D1"/>
              </w:rPr>
              <w:t>[INSERT: section]</w:t>
            </w:r>
          </w:p>
        </w:tc>
        <w:tc>
          <w:tcPr/>
          <w:p>
            <w:pPr>
              <w:pStyle w:val="TableContents"/>
            </w:pPr>
            <w:r>
              <w:t>Appendix C C-1 §22.4</w:t>
            </w:r>
          </w:p>
        </w:tc>
        <w:tc>
          <w:tcPr/>
          <w:p>
            <w:pPr>
              <w:pStyle w:val="TableContents"/>
            </w:pPr>
            <w:r>
              <w:t>Requires preparation and maintenance of an HSESC Deliverables Schedule tracking all required submissions, due dates, responsible persons, and submission and approval status.</w:t>
            </w:r>
          </w:p>
        </w:tc>
        <w:tc>
          <w:tcPr/>
          <w:p>
            <w:pPr>
              <w:pStyle w:val="TableContents"/>
            </w:pPr>
            <w:r>
              <w:t>Full</w:t>
            </w:r>
          </w:p>
        </w:tc>
      </w:tr>
      <w:tr>
        <w:tc>
          <w:tcPr/>
          <w:p>
            <w:pPr>
              <w:pStyle w:val="TableContents"/>
            </w:pPr>
            <w:r>
              <w:rPr>
                <w:b/>
                <w:bCs/>
                <w:color w:val="0059D1"/>
              </w:rPr>
              <w:t>[INSERT: section]</w:t>
            </w:r>
          </w:p>
        </w:tc>
        <w:tc>
          <w:tcPr/>
          <w:p>
            <w:pPr>
              <w:pStyle w:val="TableContents"/>
            </w:pPr>
            <w:r>
              <w:t>Appendix C C-1 §22.4.1</w:t>
            </w:r>
          </w:p>
        </w:tc>
        <w:tc>
          <w:tcPr/>
          <w:p>
            <w:pPr>
              <w:pStyle w:val="TableContents"/>
            </w:pPr>
            <w:r>
              <w:t>Requires preparation of an HSESC Contract Deliverables Schedule aligned with Appendix C-9 and the project programme, updated continuously throughout the project.</w:t>
            </w:r>
          </w:p>
        </w:tc>
        <w:tc>
          <w:tcPr/>
          <w:p>
            <w:pPr>
              <w:pStyle w:val="TableContents"/>
            </w:pPr>
            <w:r>
              <w:t>Full</w:t>
            </w:r>
          </w:p>
        </w:tc>
      </w:tr>
      <w:tr>
        <w:tc>
          <w:tcPr/>
          <w:p>
            <w:pPr>
              <w:pStyle w:val="TableContents"/>
            </w:pPr>
            <w:r>
              <w:rPr>
                <w:b/>
                <w:bCs/>
                <w:color w:val="0059D1"/>
              </w:rPr>
              <w:t>[INSERT: section]</w:t>
            </w:r>
          </w:p>
        </w:tc>
        <w:tc>
          <w:tcPr/>
          <w:p>
            <w:pPr>
              <w:pStyle w:val="TableContents"/>
            </w:pPr>
            <w:r>
              <w:t>Appendix C C-1 §45.0.5</w:t>
            </w:r>
          </w:p>
        </w:tc>
        <w:tc>
          <w:tcPr/>
          <w:p>
            <w:pPr>
              <w:pStyle w:val="TableContents"/>
            </w:pPr>
            <w:r>
              <w:t>Requires identification, review, and incorporation of external origin documents into the document control system, including legislation, permits, and Company standards.</w:t>
            </w:r>
          </w:p>
        </w:tc>
        <w:tc>
          <w:tcPr/>
          <w:p>
            <w:pPr>
              <w:pStyle w:val="TableContents"/>
            </w:pPr>
            <w:r>
              <w:t>Full</w:t>
            </w:r>
          </w:p>
        </w:tc>
      </w:tr>
      <w:tr>
        <w:tc>
          <w:tcPr/>
          <w:p>
            <w:pPr>
              <w:pStyle w:val="TableContents"/>
            </w:pPr>
            <w:r>
              <w:rPr>
                <w:b/>
                <w:bCs/>
                <w:color w:val="0059D1"/>
              </w:rPr>
              <w:t>[INSERT: section]</w:t>
            </w:r>
          </w:p>
        </w:tc>
        <w:tc>
          <w:tcPr/>
          <w:p>
            <w:pPr>
              <w:pStyle w:val="TableContents"/>
            </w:pPr>
            <w:r>
              <w:t>Appendix C C-1 §45.0.7</w:t>
            </w:r>
          </w:p>
        </w:tc>
        <w:tc>
          <w:tcPr/>
          <w:p>
            <w:pPr>
              <w:pStyle w:val="TableContents"/>
            </w:pPr>
            <w:r>
              <w:t>Requires a defined process for timely removal and archiving of obsolete documents from all points of issue and use.</w:t>
            </w:r>
          </w:p>
        </w:tc>
        <w:tc>
          <w:tcPr/>
          <w:p>
            <w:pPr>
              <w:pStyle w:val="TableContents"/>
            </w:pPr>
            <w:r>
              <w:t>Full</w:t>
            </w:r>
          </w:p>
        </w:tc>
      </w:tr>
      <w:tr>
        <w:tc>
          <w:tcPr/>
          <w:p>
            <w:pPr>
              <w:pStyle w:val="TableContents"/>
            </w:pPr>
            <w:r>
              <w:rPr>
                <w:b/>
                <w:bCs/>
                <w:color w:val="0059D1"/>
              </w:rPr>
              <w:t>[INSERT: section]</w:t>
            </w:r>
          </w:p>
        </w:tc>
        <w:tc>
          <w:tcPr/>
          <w:p>
            <w:pPr>
              <w:pStyle w:val="TableContents"/>
            </w:pPr>
            <w:r>
              <w:t>IFC PS1 IFC PS1 §6</w:t>
            </w:r>
          </w:p>
        </w:tc>
        <w:tc>
          <w:tcPr/>
          <w:p>
            <w:pPr>
              <w:pStyle w:val="TableContents"/>
            </w:pPr>
            <w:r>
              <w:t>Requires that key management commitments are documented, accessible to relevant project participants, and disclosed to affected communities where required by applicable performance standards or permit conditions.</w:t>
            </w:r>
          </w:p>
        </w:tc>
        <w:tc>
          <w:tcPr/>
          <w:p>
            <w:pPr>
              <w:pStyle w:val="TableContents"/>
            </w:pPr>
            <w:r>
              <w:t>Full</w:t>
            </w:r>
          </w:p>
        </w:tc>
      </w:tr>
      <w:tr>
        <w:tc>
          <w:tcPr/>
          <w:p>
            <w:pPr>
              <w:pStyle w:val="TableContents"/>
            </w:pPr>
            <w:r>
              <w:rPr>
                <w:b/>
                <w:bCs/>
                <w:color w:val="0059D1"/>
              </w:rPr>
              <w:t>[INSERT: section]</w:t>
            </w:r>
          </w:p>
        </w:tc>
        <w:tc>
          <w:tcPr/>
          <w:p>
            <w:pPr>
              <w:pStyle w:val="TableContents"/>
            </w:pPr>
            <w:r>
              <w:t>IFC PS1 IFC PS1 §22</w:t>
            </w:r>
          </w:p>
        </w:tc>
        <w:tc>
          <w:tcPr/>
          <w:p>
            <w:pPr>
              <w:pStyle w:val="TableContents"/>
            </w:pPr>
            <w:r>
              <w:t>Requires monitoring data and management records to be retained for the life of the project, owned by the company, stored on authorised systems, and accessible for future regulatory or assurance purposes.</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Management Leadership</w:t>
            </w:r>
          </w:p>
        </w:tc>
        <w:tc>
          <w:tcPr/>
          <w:p>
            <w:pPr>
              <w:pStyle w:val="TableContents"/>
            </w:pPr>
            <w:r>
              <w:t>Requires that procedures and safe work documentation are written at the language and literacy level of the workforce that will use them, with visual aids or translations where required.</w:t>
            </w:r>
          </w:p>
        </w:tc>
        <w:tc>
          <w:tcPr/>
          <w:p>
            <w:pPr>
              <w:pStyle w:val="TableContents"/>
            </w:pPr>
            <w:r>
              <w:t>Full</w:t>
            </w:r>
          </w:p>
        </w:tc>
      </w:tr>
    </w:tbl>
    <w:p>
      <w:pPr>
        <w:pStyle w:val="Default"/>
      </w:pPr>
    </w:p>
    <w:p>
      <w:pPr>
        <w:pStyle w:val="Heading2Numbered"/>
      </w:pPr>
      <w:r>
        <w:t>12.2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