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Management Improvement Planning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Management Improvement Planning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how the owner-led project analyses HSESC performance, identifies improvement opportunities across all domains, develops targeted improvement plans, and tracks actions to closure. Continuous improvement is not optional in this management system - it is a core performance expectation against which the project will be assessed.</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management improvement planning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states the purpose of this procedure, the management improvement domains it governs, and the project lifecycle phases within scope.</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defines what this procedure establishes, the requirements it owns, and how it connects to related project procedures.</w:t>
      </w:r>
    </w:p>
    <w:p>
      <w:pPr>
        <w:pStyle w:val="NormalNumberedtext"/>
      </w:pPr>
      <w:r>
        <w:t>This procedure meets the following purpose requirements:</w:t>
      </w:r>
    </w:p>
    <w:p>
      <w:pPr>
        <w:pStyle w:val="NormalNumberedtext"/>
      </w:pPr>
      <w:r>
        <w:t>This procedure governs the management improvement planning activities for:</w:t>
      </w:r>
    </w:p>
    <w:p>
      <w:pPr>
        <w:pStyle w:val="NumberedBulletL1"/>
      </w:pPr>
      <w:r>
        <w:t>HSESC performance reviews across project phases, including minimum content and frequency.</w:t>
      </w:r>
    </w:p>
    <w:p>
      <w:pPr>
        <w:pStyle w:val="NumberedBulletL1"/>
      </w:pPr>
      <w:r>
        <w:t>The HSESC KPI framework, including minimum leading and lagging indicators and reporting intervals.</w:t>
      </w:r>
    </w:p>
    <w:p>
      <w:pPr>
        <w:pStyle w:val="NumberedBulletL1"/>
      </w:pPr>
      <w:r>
        <w:t>Corrective and preventive action recording, tracking, severity classification, and closeout.</w:t>
      </w:r>
    </w:p>
    <w:p>
      <w:pPr>
        <w:pStyle w:val="NumberedBulletL1"/>
      </w:pPr>
      <w:r>
        <w:t>Lessons learned capture, sharing, and incorporation into project HSESC documents.</w:t>
      </w:r>
    </w:p>
    <w:p>
      <w:pPr>
        <w:pStyle w:val="NormalNumberedtext"/>
      </w:pPr>
      <w:r>
        <w:t>This procedure does not reproduce the governance structure for the HSESC Leadership Team, which is defined in [INSERT: Project Document Number]. It does not reproduce incident investigation requirements, which are defined in [INSERT: Project Document Number]. Monitoring data inputs are governed by [INSERT: Project Document Number] and audit finding inputs by [INSERT: Project Document Number]. The distinction between the operational performance review defined in this procedure and the formal management review process is defined in [INSERT: Project Document Number].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project phases, HSESC domains, and improvement activities are governed by this document.</w:t>
      </w:r>
    </w:p>
    <w:p>
      <w:pPr>
        <w:pStyle w:val="NormalNumberedtext"/>
      </w:pPr>
      <w:r>
        <w:t>This procedure applies the following scope requirements:</w:t>
      </w:r>
    </w:p>
    <w:p>
      <w:pPr>
        <w:pStyle w:val="NormalNumberedtext"/>
      </w:pPr>
      <w:r>
        <w:t>This procedure applies across the following project lifecycle phases:</w:t>
      </w:r>
    </w:p>
    <w:p>
      <w:pPr>
        <w:pStyle w:val="NumberedBulletL1"/>
      </w:pPr>
      <w:r>
        <w:t>Pre-mobilisation: establishment of KPI targets, performance review schedule, and action tracking register.</w:t>
      </w:r>
    </w:p>
    <w:p>
      <w:pPr>
        <w:pStyle w:val="NumberedBulletL1"/>
      </w:pPr>
      <w:r>
        <w:t>Execution: quarterly performance reviews, monthly KPI reporting, and continuous corrective action management.</w:t>
      </w:r>
    </w:p>
    <w:p>
      <w:pPr>
        <w:pStyle w:val="NumberedBulletL1"/>
      </w:pPr>
      <w:r>
        <w:t>Commissioning Readiness: a dedicated performance review confirming HSESC system status before commissioning activities commence.</w:t>
      </w:r>
    </w:p>
    <w:p>
      <w:pPr>
        <w:pStyle w:val="NumberedBulletL1"/>
      </w:pPr>
      <w:r>
        <w:t>End of Contract: a final performance review capturing lessons learned and confirming closeout of all outstanding actions.</w:t>
      </w:r>
    </w:p>
    <w:p>
      <w:pPr>
        <w:pStyle w:val="NormalNumberedtext"/>
      </w:pPr>
      <w:r>
        <w:t>This procedure applies to the Rio Tinto project team and all contractor organisations on the project. All contractor organisations are subject to the same performance review, KPI reporting, corrective action, and lessons learned requirements defined in this procedure.</w:t>
      </w:r>
    </w:p>
    <w:p>
      <w:pPr>
        <w:pStyle w:val="NormalNumberedtext"/>
      </w:pPr>
    </w:p>
    <w:p>
      <w:pPr>
        <w:pStyle w:val="Heading1Numbered"/>
        <w:numPr>
          <w:ilvl w:val="0"/>
          <w:numId w:val="1"/>
        </w:numPr>
      </w:pPr>
      <w:r>
        <w:rPr>
          <w:rFonts w:ascii="Arial" w:hAnsi="Arial" w:cs="Arial" w:eastAsia="Arial"/>
        </w:rPr>
        <w:t>HSESC Performance Reviews</w:t>
      </w:r>
    </w:p>
    <w:p>
      <w:pPr>
        <w:pStyle w:val="NormalNumberedtext"/>
      </w:pPr>
      <w:r>
        <w:t>This section defines the performance review schedule across project phases, minimum content requirements, and how review outputs are captured and shared.</w:t>
      </w:r>
    </w:p>
    <w:p>
      <w:pPr>
        <w:pStyle w:val="NormalNumberedtext"/>
      </w:pPr>
    </w:p>
    <w:p>
      <w:pPr>
        <w:pStyle w:val="Heading2Numbered"/>
        <w:numPr>
          <w:ilvl w:val="1"/>
          <w:numId w:val="1"/>
        </w:numPr>
      </w:pPr>
      <w:r>
        <w:rPr>
          <w:rFonts w:ascii="Arial" w:hAnsi="Arial" w:cs="Arial" w:eastAsia="Arial"/>
        </w:rPr>
        <w:t>Performance Review Schedule</w:t>
      </w:r>
    </w:p>
    <w:p>
      <w:pPr>
        <w:pStyle w:val="NormalNumberedtext"/>
      </w:pPr>
      <w:r>
        <w:t>This section defines when performance reviews are conducted, who convenes them, and the project-specific schedule relative to programme phases.</w:t>
      </w:r>
    </w:p>
    <w:p>
      <w:pPr>
        <w:pStyle w:val="NormalNumberedtext"/>
      </w:pPr>
      <w:r>
        <w:t>The HSESC Manager convenes performance reviews at the following points in the project lifecycle, using the HSESC Leadership Team as the review governance body in accordance with [INSERT: Project Document Number]:</w:t>
      </w:r>
    </w:p>
    <w:p>
      <w:pPr>
        <w:pStyle w:val="NormalNumberedtext"/>
      </w:pPr>
      <w:r>
        <w:t>The minimum review frequency across project phases is:</w:t>
      </w:r>
    </w:p>
    <w:p>
      <w:pPr>
        <w:pStyle w:val="NumberedBulletL1"/>
      </w:pPr>
      <w:r>
        <w:t>Pre-mobilisation: one review confirming HSESC system readiness, KPI targets, and action register initialisation before site mobilisation.</w:t>
      </w:r>
    </w:p>
    <w:p>
      <w:pPr>
        <w:pStyle w:val="NumberedBulletL1"/>
      </w:pPr>
      <w:r>
        <w:t>Execution: quarterly reviews conducted throughout the execution phase, with the first review completed within 90 days of mobilisation.</w:t>
      </w:r>
    </w:p>
    <w:p>
      <w:pPr>
        <w:pStyle w:val="NumberedBulletL1"/>
      </w:pPr>
      <w:r>
        <w:t>Commissioning Readiness: one review conducted before commissioning activities commence, confirming HSESC system status and outstanding action closeout.</w:t>
      </w:r>
    </w:p>
    <w:p>
      <w:pPr>
        <w:pStyle w:val="NumberedBulletL1"/>
      </w:pPr>
      <w:r>
        <w:t>End of Contract: one final review capturing lessons learned, confirming all actions are closed, and documenting performance outcomes for handover.</w:t>
      </w:r>
    </w:p>
    <w:p>
      <w:pPr>
        <w:pStyle w:val="NormalNumberedtext"/>
      </w:pPr>
      <w:r>
        <w:t>The project performance review schedule is confirmed before mobilisation and documented below. Dates are expressed relative to project programme milestones so the schedule remains valid if the programme is revised.</w:t>
      </w:r>
    </w:p>
    <w:p>
      <w:pPr>
        <w:pStyle w:val="NormalNumberedtext"/>
      </w:pPr>
      <w:r>
        <w:t>Table 1: Project HSESC Performance Review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Review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Trigger / Timing</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Scheduled Date or Programme Reference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Convened By</w:t>
            </w:r>
          </w:p>
        </w:tc>
      </w:tr>
      <w:tr>
        <w:tc>
          <w:tcPr>
            <w:tcW w:type="dxa" w:w="2256"/>
          </w:tcPr>
          <w:p>
            <w:pPr>
              <w:pStyle w:val="TableContents"/>
              <w:spacing w:before="0" w:after="0" w:line="240" w:lineRule="atLeast"/>
            </w:pPr>
            <w:r>
              <w:rPr>
                <w:rFonts w:ascii="Arial" w:hAnsi="Arial" w:cs="Arial" w:eastAsia="Arial"/>
                <w:sz w:val="16"/>
                <w:szCs w:val="16"/>
              </w:rPr>
              <w:t>Pre-mobilisation Review</w:t>
            </w:r>
          </w:p>
        </w:tc>
        <w:tc>
          <w:tcPr>
            <w:tcW w:type="dxa" w:w="2256"/>
          </w:tcPr>
          <w:p>
            <w:pPr>
              <w:pStyle w:val="TableContents"/>
              <w:spacing w:before="0" w:after="0" w:line="240" w:lineRule="atLeast"/>
            </w:pPr>
            <w:r>
              <w:rPr>
                <w:rFonts w:ascii="Arial" w:hAnsi="Arial" w:cs="Arial" w:eastAsia="Arial"/>
                <w:sz w:val="16"/>
                <w:szCs w:val="16"/>
              </w:rPr>
              <w:t>Before first site mobilisation</w:t>
            </w:r>
          </w:p>
        </w:tc>
        <w:tc>
          <w:tcPr>
            <w:tcW w:type="dxa" w:w="2256"/>
          </w:tcPr>
          <w:p>
            <w:pPr>
              <w:pStyle w:val="TableContents"/>
              <w:spacing w:before="0" w:after="0" w:line="240" w:lineRule="atLeast"/>
            </w:pPr>
            <w:r>
              <w:rPr>
                <w:rFonts w:ascii="Arial" w:hAnsi="Arial" w:cs="Arial" w:eastAsia="Arial"/>
                <w:b/>
                <w:bCs/>
                <w:color w:val="0059D1"/>
                <w:sz w:val="16"/>
                <w:szCs w:val="16"/>
              </w:rPr>
              <w:t>[INSERT: date or programme milestone reference]</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Quarterly Execution Review 1</w:t>
            </w:r>
          </w:p>
        </w:tc>
        <w:tc>
          <w:tcPr>
            <w:tcW w:type="dxa" w:w="2256"/>
          </w:tcPr>
          <w:p>
            <w:pPr>
              <w:pStyle w:val="TableContents"/>
              <w:spacing w:before="0" w:after="0" w:line="240" w:lineRule="atLeast"/>
            </w:pPr>
            <w:r>
              <w:rPr>
                <w:rFonts w:ascii="Arial" w:hAnsi="Arial" w:cs="Arial" w:eastAsia="Arial"/>
                <w:sz w:val="16"/>
                <w:szCs w:val="16"/>
              </w:rPr>
              <w:t>90 days after mobilisation</w:t>
            </w:r>
          </w:p>
        </w:tc>
        <w:tc>
          <w:tcPr>
            <w:tcW w:type="dxa" w:w="2256"/>
          </w:tcPr>
          <w:p>
            <w:pPr>
              <w:pStyle w:val="TableContents"/>
              <w:spacing w:before="0" w:after="0" w:line="240" w:lineRule="atLeast"/>
            </w:pPr>
            <w:r>
              <w:rPr>
                <w:rFonts w:ascii="Arial" w:hAnsi="Arial" w:cs="Arial" w:eastAsia="Arial"/>
                <w:b/>
                <w:bCs/>
                <w:color w:val="0059D1"/>
                <w:sz w:val="16"/>
                <w:szCs w:val="16"/>
              </w:rPr>
              <w:t>[INSERT: date or programme milestone reference]</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Quarterly Execution Review 2</w:t>
            </w:r>
          </w:p>
        </w:tc>
        <w:tc>
          <w:tcPr>
            <w:tcW w:type="dxa" w:w="2256"/>
          </w:tcPr>
          <w:p>
            <w:pPr>
              <w:pStyle w:val="TableContents"/>
              <w:spacing w:before="0" w:after="0" w:line="240" w:lineRule="atLeast"/>
            </w:pPr>
            <w:r>
              <w:rPr>
                <w:rFonts w:ascii="Arial" w:hAnsi="Arial" w:cs="Arial" w:eastAsia="Arial"/>
                <w:sz w:val="16"/>
                <w:szCs w:val="16"/>
              </w:rPr>
              <w:t>180 days after mobilisation</w:t>
            </w:r>
          </w:p>
        </w:tc>
        <w:tc>
          <w:tcPr>
            <w:tcW w:type="dxa" w:w="2256"/>
          </w:tcPr>
          <w:p>
            <w:pPr>
              <w:pStyle w:val="TableContents"/>
              <w:spacing w:before="0" w:after="0" w:line="240" w:lineRule="atLeast"/>
            </w:pPr>
            <w:r>
              <w:rPr>
                <w:rFonts w:ascii="Arial" w:hAnsi="Arial" w:cs="Arial" w:eastAsia="Arial"/>
                <w:b/>
                <w:bCs/>
                <w:color w:val="0059D1"/>
                <w:sz w:val="16"/>
                <w:szCs w:val="16"/>
              </w:rPr>
              <w:t>[INSERT: date or programme milestone reference]</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Quarterly Execution Review 3</w:t>
            </w:r>
          </w:p>
        </w:tc>
        <w:tc>
          <w:tcPr>
            <w:tcW w:type="dxa" w:w="2256"/>
          </w:tcPr>
          <w:p>
            <w:pPr>
              <w:pStyle w:val="TableContents"/>
              <w:spacing w:before="0" w:after="0" w:line="240" w:lineRule="atLeast"/>
            </w:pPr>
            <w:r>
              <w:rPr>
                <w:rFonts w:ascii="Arial" w:hAnsi="Arial" w:cs="Arial" w:eastAsia="Arial"/>
                <w:sz w:val="16"/>
                <w:szCs w:val="16"/>
              </w:rPr>
              <w:t>270 days after mobilisation</w:t>
            </w:r>
          </w:p>
        </w:tc>
        <w:tc>
          <w:tcPr>
            <w:tcW w:type="dxa" w:w="2256"/>
          </w:tcPr>
          <w:p>
            <w:pPr>
              <w:pStyle w:val="TableContents"/>
              <w:spacing w:before="0" w:after="0" w:line="240" w:lineRule="atLeast"/>
            </w:pPr>
            <w:r>
              <w:rPr>
                <w:rFonts w:ascii="Arial" w:hAnsi="Arial" w:cs="Arial" w:eastAsia="Arial"/>
                <w:b/>
                <w:bCs/>
                <w:color w:val="0059D1"/>
                <w:sz w:val="16"/>
                <w:szCs w:val="16"/>
              </w:rPr>
              <w:t>[INSERT: date or programme milestone reference]</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quarterly reviews]</w:t>
            </w:r>
          </w:p>
        </w:tc>
        <w:tc>
          <w:tcPr>
            <w:tcW w:type="dxa" w:w="2256"/>
          </w:tcPr>
          <w:p>
            <w:pPr>
              <w:pStyle w:val="TableContents"/>
              <w:spacing w:before="0" w:after="0" w:line="240" w:lineRule="atLeast"/>
            </w:pPr>
            <w:r>
              <w:rPr>
                <w:rFonts w:ascii="Arial" w:hAnsi="Arial" w:cs="Arial" w:eastAsia="Arial"/>
                <w:b/>
                <w:bCs/>
                <w:color w:val="0059D1"/>
                <w:sz w:val="16"/>
                <w:szCs w:val="16"/>
              </w:rPr>
              <w:t>[INSERT: timing]</w:t>
            </w:r>
          </w:p>
        </w:tc>
        <w:tc>
          <w:tcPr>
            <w:tcW w:type="dxa" w:w="2256"/>
          </w:tcPr>
          <w:p>
            <w:pPr>
              <w:pStyle w:val="TableContents"/>
              <w:spacing w:before="0" w:after="0" w:line="240" w:lineRule="atLeast"/>
            </w:pPr>
            <w:r>
              <w:rPr>
                <w:rFonts w:ascii="Arial" w:hAnsi="Arial" w:cs="Arial" w:eastAsia="Arial"/>
                <w:b/>
                <w:bCs/>
                <w:color w:val="0059D1"/>
                <w:sz w:val="16"/>
                <w:szCs w:val="16"/>
              </w:rPr>
              <w:t>[INSERT: date or programme milestone reference]</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Commissioning Readiness Review</w:t>
            </w:r>
          </w:p>
        </w:tc>
        <w:tc>
          <w:tcPr>
            <w:tcW w:type="dxa" w:w="2256"/>
          </w:tcPr>
          <w:p>
            <w:pPr>
              <w:pStyle w:val="TableContents"/>
              <w:spacing w:before="0" w:after="0" w:line="240" w:lineRule="atLeast"/>
            </w:pPr>
            <w:r>
              <w:rPr>
                <w:rFonts w:ascii="Arial" w:hAnsi="Arial" w:cs="Arial" w:eastAsia="Arial"/>
                <w:sz w:val="16"/>
                <w:szCs w:val="16"/>
              </w:rPr>
              <w:t>Before commissioning activities commence</w:t>
            </w:r>
          </w:p>
        </w:tc>
        <w:tc>
          <w:tcPr>
            <w:tcW w:type="dxa" w:w="2256"/>
          </w:tcPr>
          <w:p>
            <w:pPr>
              <w:pStyle w:val="TableContents"/>
              <w:spacing w:before="0" w:after="0" w:line="240" w:lineRule="atLeast"/>
            </w:pPr>
            <w:r>
              <w:rPr>
                <w:rFonts w:ascii="Arial" w:hAnsi="Arial" w:cs="Arial" w:eastAsia="Arial"/>
                <w:b/>
                <w:bCs/>
                <w:color w:val="0059D1"/>
                <w:sz w:val="16"/>
                <w:szCs w:val="16"/>
              </w:rPr>
              <w:t>[INSERT: date or programme milestone reference]</w:t>
            </w:r>
          </w:p>
        </w:tc>
        <w:tc>
          <w:tcPr>
            <w:tcW w:type="dxa" w:w="2258"/>
          </w:tcPr>
          <w:p>
            <w:pPr>
              <w:pStyle w:val="TableContents"/>
              <w:spacing w:before="0" w:after="0" w:line="240" w:lineRule="atLeast"/>
            </w:pPr>
            <w:r>
              <w:rPr>
                <w:rFonts w:ascii="Arial" w:hAnsi="Arial" w:cs="Arial" w:eastAsia="Arial"/>
                <w:sz w:val="16"/>
                <w:szCs w:val="16"/>
              </w:rPr>
              <w:t>HSESC Manager</w:t>
            </w:r>
          </w:p>
        </w:tc>
      </w:tr>
      <w:tr>
        <w:tc>
          <w:tcPr>
            <w:tcW w:type="dxa" w:w="2256"/>
          </w:tcPr>
          <w:p>
            <w:pPr>
              <w:pStyle w:val="TableContents"/>
              <w:spacing w:before="0" w:after="0" w:line="240" w:lineRule="atLeast"/>
            </w:pPr>
            <w:r>
              <w:rPr>
                <w:rFonts w:ascii="Arial" w:hAnsi="Arial" w:cs="Arial" w:eastAsia="Arial"/>
                <w:sz w:val="16"/>
                <w:szCs w:val="16"/>
              </w:rPr>
              <w:t>End of Contract Review</w:t>
            </w:r>
          </w:p>
        </w:tc>
        <w:tc>
          <w:tcPr>
            <w:tcW w:type="dxa" w:w="2256"/>
          </w:tcPr>
          <w:p>
            <w:pPr>
              <w:pStyle w:val="TableContents"/>
              <w:spacing w:before="0" w:after="0" w:line="240" w:lineRule="atLeast"/>
            </w:pPr>
            <w:r>
              <w:rPr>
                <w:rFonts w:ascii="Arial" w:hAnsi="Arial" w:cs="Arial" w:eastAsia="Arial"/>
                <w:sz w:val="16"/>
                <w:szCs w:val="16"/>
              </w:rPr>
              <w:t>Before contract completion</w:t>
            </w:r>
          </w:p>
        </w:tc>
        <w:tc>
          <w:tcPr>
            <w:tcW w:type="dxa" w:w="2256"/>
          </w:tcPr>
          <w:p>
            <w:pPr>
              <w:pStyle w:val="TableContents"/>
              <w:spacing w:before="0" w:after="0" w:line="240" w:lineRule="atLeast"/>
            </w:pPr>
            <w:r>
              <w:rPr>
                <w:rFonts w:ascii="Arial" w:hAnsi="Arial" w:cs="Arial" w:eastAsia="Arial"/>
                <w:b/>
                <w:bCs/>
                <w:color w:val="0059D1"/>
                <w:sz w:val="16"/>
                <w:szCs w:val="16"/>
              </w:rPr>
              <w:t>[INSERT: date or programme milestone reference]</w:t>
            </w:r>
          </w:p>
        </w:tc>
        <w:tc>
          <w:tcPr>
            <w:tcW w:type="dxa" w:w="2258"/>
          </w:tcPr>
          <w:p>
            <w:pPr>
              <w:pStyle w:val="TableContents"/>
              <w:spacing w:before="0" w:after="0" w:line="240" w:lineRule="atLeast"/>
            </w:pPr>
            <w:r>
              <w:rPr>
                <w:rFonts w:ascii="Arial" w:hAnsi="Arial" w:cs="Arial" w:eastAsia="Arial"/>
                <w:sz w:val="16"/>
                <w:szCs w:val="16"/>
              </w:rPr>
              <w:t>HSESC Manager</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Insert the specific scheduled dates or programme milestone references for each review in Table 1 before this document is issued. Add rows for each additional quarterly review cycle required for the project duration.</w:t>
            </w:r>
          </w:p>
        </w:tc>
      </w:tr>
    </w:tbl>
    <w:p>
      <w:pPr>
        <w:pStyle w:val="NormalNumberedtext"/>
      </w:pPr>
    </w:p>
    <w:p>
      <w:pPr>
        <w:pStyle w:val="Heading2Numbered"/>
        <w:numPr>
          <w:ilvl w:val="1"/>
          <w:numId w:val="1"/>
        </w:numPr>
      </w:pPr>
      <w:r>
        <w:rPr>
          <w:rFonts w:ascii="Arial" w:hAnsi="Arial" w:cs="Arial" w:eastAsia="Arial"/>
        </w:rPr>
        <w:t>Minimum Review Content</w:t>
      </w:r>
    </w:p>
    <w:p>
      <w:pPr>
        <w:pStyle w:val="NormalNumberedtext"/>
      </w:pPr>
      <w:r>
        <w:t>This section defines the minimum content agenda for every HSESC performance review regardless of project phase.</w:t>
      </w:r>
    </w:p>
    <w:p>
      <w:pPr>
        <w:pStyle w:val="NormalNumberedtext"/>
      </w:pPr>
      <w:r>
        <w:t>Every HSESC performance review addresses the following minimum content items. The HSESC Manager prepares a review pack covering each item before the review is convened, drawing on data from monitoring activities per [INSERT: Project Document Number], audit findings per [INSERT: Project Document Number], and incident data per [INSERT: Project Document Number]:</w:t>
      </w:r>
    </w:p>
    <w:p>
      <w:pPr>
        <w:pStyle w:val="NormalNumberedtext"/>
      </w:pPr>
      <w:r>
        <w:t>Minimum content for every performance review includes:</w:t>
      </w:r>
    </w:p>
    <w:p>
      <w:pPr>
        <w:pStyle w:val="NumberedBulletL1"/>
      </w:pPr>
      <w:r>
        <w:t>Leading and lagging indicator performance against the project KPI targets defined in Section 3.</w:t>
      </w:r>
    </w:p>
    <w:p>
      <w:pPr>
        <w:pStyle w:val="NumberedBulletL1"/>
      </w:pPr>
      <w:r>
        <w:t>Audit findings status, including open findings, overdue actions, and findings closed since the previous review.</w:t>
      </w:r>
    </w:p>
    <w:p>
      <w:pPr>
        <w:pStyle w:val="NumberedBulletL1"/>
      </w:pPr>
      <w:r>
        <w:t>Incident trends, including frequency rates, severity distribution, and repeat incident patterns.</w:t>
      </w:r>
    </w:p>
    <w:p>
      <w:pPr>
        <w:pStyle w:val="NumberedBulletL1"/>
      </w:pPr>
      <w:r>
        <w:t>Critical Risk Management verification completion rates and any critical risk exposures identified since the previous review.</w:t>
      </w:r>
    </w:p>
    <w:p>
      <w:pPr>
        <w:pStyle w:val="NumberedBulletL1"/>
      </w:pPr>
      <w:r>
        <w:t>Safety and Health Management maturity assessment status and progress against improvement targets.</w:t>
      </w:r>
    </w:p>
    <w:p>
      <w:pPr>
        <w:pStyle w:val="NumberedBulletL1"/>
      </w:pPr>
      <w:r>
        <w:t>Community feedback, complaints, and the status of community-related actions in the corrective action register.</w:t>
      </w:r>
    </w:p>
    <w:p>
      <w:pPr>
        <w:pStyle w:val="NumberedBulletL1"/>
      </w:pPr>
      <w:r>
        <w:t>Environmental performance against targets, including any monitoring exceedances or non-conformances.</w:t>
      </w:r>
    </w:p>
    <w:p>
      <w:pPr>
        <w:pStyle w:val="NumberedBulletL1"/>
      </w:pPr>
      <w:r>
        <w:t>Legal compliance status, including any regulatory notifications, inspections, or enforcement actions.</w:t>
      </w:r>
    </w:p>
    <w:p>
      <w:pPr>
        <w:pStyle w:val="NumberedBulletL1"/>
      </w:pPr>
      <w:r>
        <w:t>Status of all corrective and preventive actions from the previous review, including overdue items and escalation decisions.</w:t>
      </w:r>
    </w:p>
    <w:p>
      <w:pPr>
        <w:pStyle w:val="NumberedBulletL1"/>
      </w:pPr>
      <w:r>
        <w:t>Progress against measurable safety and health targets set for continuous improvement, reported as a standing agenda item at every review.</w:t>
      </w:r>
    </w:p>
    <w:p>
      <w:pPr>
        <w:pStyle w:val="NormalNumberedtext"/>
      </w:pPr>
      <w:r>
        <w:t>The review assesses performance data for the elimination of workplace fatalities, serious injuries, and psychosocial hazards. Where performance data indicates a sustained negative trend, the HSESC Manager ensures a documented improvement action is raised and assigned before the review is closed.</w:t>
      </w:r>
    </w:p>
    <w:p>
      <w:pPr>
        <w:pStyle w:val="NormalNumberedtext"/>
      </w:pPr>
      <w:r>
        <w:t>The HSESC Manager records the review outcomes, including agreed actions, in the corrective action register within five business days of the review being conducted. The review record is stored in</w:t>
      </w:r>
    </w:p>
    <w:p>
      <w:pPr>
        <w:pStyle w:val="NormalNumberedtext"/>
      </w:pPr>
      <w:r>
        <w:rPr>
          <w:b/>
          <w:bCs/>
          <w:color w:val="0059D1"/>
        </w:rPr>
        <w:t>[INSERT: performance_review_record_location] — Document management system location for performance review records</w:t>
      </w:r>
    </w:p>
    <w:p>
      <w:pPr>
        <w:pStyle w:val="NormalNumberedtext"/>
      </w:pPr>
    </w:p>
    <w:p>
      <w:pPr>
        <w:pStyle w:val="Heading2Numbered"/>
        <w:numPr>
          <w:ilvl w:val="1"/>
          <w:numId w:val="1"/>
        </w:numPr>
      </w:pPr>
      <w:r>
        <w:rPr>
          <w:rFonts w:ascii="Arial" w:hAnsi="Arial" w:cs="Arial" w:eastAsia="Arial"/>
        </w:rPr>
        <w:t>Lessons Learned from Performance Reviews</w:t>
      </w:r>
    </w:p>
    <w:p>
      <w:pPr>
        <w:pStyle w:val="NormalNumberedtext"/>
      </w:pPr>
      <w:r>
        <w:t>This section defines how performance review outputs are captured as lessons learned and shared across all contractor organisations.</w:t>
      </w:r>
    </w:p>
    <w:p>
      <w:pPr>
        <w:pStyle w:val="NormalNumberedtext"/>
      </w:pPr>
      <w:r>
        <w:t>Both positive outcomes and improvement opportunities identified during each performance review are captured as lessons learned. Positive outcomes include controls that performed above expectation, leading indicator targets that were consistently met, and risk treatments that eliminated or substantially reduced a hazard. Improvement opportunities include systemic gaps, recurring findings, and near miss patterns.</w:t>
      </w:r>
    </w:p>
    <w:p>
      <w:pPr>
        <w:pStyle w:val="NormalNumberedtext"/>
      </w:pPr>
      <w:r>
        <w:t>The HSESC Manager ensures lessons learned from each performance review are actively shared across all contractor organisations on the project, using the sharing mechanism defined in Section 4.2. Lessons are incorporated into procedures, JHAs, training materials, and risk registers where the lesson identifies a gap in those documents.</w:t>
      </w:r>
    </w:p>
    <w:p>
      <w:pPr>
        <w:pStyle w:val="NormalNumberedtext"/>
      </w:pPr>
    </w:p>
    <w:p>
      <w:pPr>
        <w:pStyle w:val="Heading1Numbered"/>
        <w:numPr>
          <w:ilvl w:val="0"/>
          <w:numId w:val="1"/>
        </w:numPr>
      </w:pPr>
      <w:r>
        <w:rPr>
          <w:rFonts w:ascii="Arial" w:hAnsi="Arial" w:cs="Arial" w:eastAsia="Arial"/>
        </w:rPr>
        <w:t>HSESC Metrics and KPIs</w:t>
      </w:r>
    </w:p>
    <w:p>
      <w:pPr>
        <w:pStyle w:val="NormalNumberedtext"/>
      </w:pPr>
      <w:r>
        <w:t>This section defines the HSESC KPI framework, minimum leading and lagging indicators, reporting intervals, and the pre-mobilisation target-setting requirement.</w:t>
      </w:r>
    </w:p>
    <w:p>
      <w:pPr>
        <w:pStyle w:val="NormalNumberedtext"/>
      </w:pPr>
    </w:p>
    <w:p>
      <w:pPr>
        <w:pStyle w:val="Heading2Numbered"/>
        <w:numPr>
          <w:ilvl w:val="1"/>
          <w:numId w:val="1"/>
        </w:numPr>
      </w:pPr>
      <w:r>
        <w:rPr>
          <w:rFonts w:ascii="Arial" w:hAnsi="Arial" w:cs="Arial" w:eastAsia="Arial"/>
        </w:rPr>
        <w:t>KPI Framework Requirements</w:t>
      </w:r>
    </w:p>
    <w:p>
      <w:pPr>
        <w:pStyle w:val="NormalNumberedtext"/>
      </w:pPr>
      <w:r>
        <w:t>This section defines the structure of the project KPI framework and the requirements that apply to all indicators.</w:t>
      </w:r>
    </w:p>
    <w:p>
      <w:pPr>
        <w:pStyle w:val="NormalNumberedtext"/>
      </w:pPr>
      <w:r>
        <w:t>The project defines and maintains a suite of HSESC KPIs comprising both leading indicators and lagging indicators. All KPIs are clear, specific, and measurable. KPIs are reported to</w:t>
      </w:r>
    </w:p>
    <w:p>
      <w:pPr>
        <w:pStyle w:val="NormalNumberedtext"/>
      </w:pPr>
      <w:r>
        <w:rPr>
          <w:b/>
          <w:bCs/>
          <w:color w:val="0059D1"/>
        </w:rPr>
        <w:t>[INSERT: project_authority_for_kpi_reporting] — Name of the relevant project authority to whom KPIs are reported (e.g., Project Director, Rio Tinto Project Sponsor)</w:t>
      </w:r>
    </w:p>
    <w:p>
      <w:pPr>
        <w:pStyle w:val="NormalNumberedtext"/>
      </w:pPr>
      <w:r>
        <w:t>at the intervals defined in Table 2. KPI data is used to assess the effectiveness of HSESC management controls across the project lifecycle, to monitor progress toward the elimination of fatalities and serious injuries, and to identify systemic improvement priorities for corrective action.</w:t>
      </w:r>
    </w:p>
    <w:p>
      <w:pPr>
        <w:pStyle w:val="NormalNumberedtext"/>
      </w:pPr>
      <w:r>
        <w:t>The monthly HSESC Contractor Report is submitted no later than the first Friday of each month, using the Company-approved template. The content of the monthly report is agreed with the Company before the first submission. The report may be submitted as a standalone document or as part of an aligned project reporting framework.</w:t>
      </w:r>
    </w:p>
    <w:p>
      <w:pPr>
        <w:pStyle w:val="NormalNumberedtext"/>
      </w:pPr>
      <w:r>
        <w:t>KPIs include quantitative indicators of environmental and social performance that can be monitored consistently over the project lifecycle. These indicators are defined before site mobilisation and maintained without revision to methodology for the life of the project, so that trend analysis remains valid.</w:t>
      </w:r>
    </w:p>
    <w:p>
      <w:pPr>
        <w:pStyle w:val="NormalNumberedtext"/>
      </w:pPr>
    </w:p>
    <w:p>
      <w:pPr>
        <w:pStyle w:val="Heading2Numbered"/>
        <w:numPr>
          <w:ilvl w:val="1"/>
          <w:numId w:val="1"/>
        </w:numPr>
      </w:pPr>
      <w:r>
        <w:rPr>
          <w:rFonts w:ascii="Arial" w:hAnsi="Arial" w:cs="Arial" w:eastAsia="Arial"/>
        </w:rPr>
        <w:t>Minimum Leading and Lagging Indicators</w:t>
      </w:r>
    </w:p>
    <w:p>
      <w:pPr>
        <w:pStyle w:val="NormalNumberedtext"/>
      </w:pPr>
      <w:r>
        <w:t>This section defines the minimum indicators and requires the project to set numerical targets before mobilisation.</w:t>
      </w:r>
    </w:p>
    <w:p>
      <w:pPr>
        <w:pStyle w:val="NormalNumberedtext"/>
      </w:pPr>
      <w:r>
        <w:t>The project defines its minimum leading and lagging KPI targets before site mobilisation. The targets in Table 2 are project performance commitments. All contractor organisations are required to report against these targets at the intervals specified.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Insert the numerical project targets for all leading and lagging indicators in Table 2 before this document is issued. The indicator names in the table are the minimum required set. Additional project-specific indicators may be added by inserting rows. Targets must be agreed with the Company before the first monthly report submission.</w:t>
            </w:r>
          </w:p>
        </w:tc>
      </w:tr>
    </w:tbl>
    <w:p>
      <w:pPr>
        <w:pStyle w:val="NormalNumberedtext"/>
      </w:pPr>
    </w:p>
    <w:p>
      <w:pPr>
        <w:pStyle w:val="NormalNumberedtext"/>
      </w:pPr>
      <w:r>
        <w:t>Table 2: Minimum HSESC KPI Targets - Leading and Lagging Indicators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Indicator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Unit of Measure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Project Target</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Reporting Interval</w:t>
            </w:r>
          </w:p>
        </w:tc>
      </w:tr>
      <w:tr>
        <w:tc>
          <w:tcPr>
            <w:tcW w:type="dxa" w:w="1805"/>
          </w:tcPr>
          <w:p>
            <w:pPr>
              <w:pStyle w:val="TableContents"/>
              <w:spacing w:before="0" w:after="0" w:line="240" w:lineRule="atLeast"/>
            </w:pPr>
            <w:r>
              <w:rPr>
                <w:rFonts w:ascii="Arial" w:hAnsi="Arial" w:cs="Arial" w:eastAsia="Arial"/>
                <w:sz w:val="16"/>
                <w:szCs w:val="16"/>
              </w:rPr>
              <w:t>CRM verification completion rate</w:t>
            </w:r>
          </w:p>
        </w:tc>
        <w:tc>
          <w:tcPr>
            <w:tcW w:type="dxa" w:w="1805"/>
          </w:tcPr>
          <w:p>
            <w:pPr>
              <w:pStyle w:val="TableContents"/>
              <w:spacing w:before="0" w:after="0" w:line="240" w:lineRule="atLeast"/>
            </w:pPr>
            <w:r>
              <w:rPr>
                <w:rFonts w:ascii="Arial" w:hAnsi="Arial" w:cs="Arial" w:eastAsia="Arial"/>
                <w:sz w:val="16"/>
                <w:szCs w:val="16"/>
              </w:rPr>
              <w:t>Leading</w:t>
            </w:r>
          </w:p>
        </w:tc>
        <w:tc>
          <w:tcPr>
            <w:tcW w:type="dxa" w:w="1805"/>
          </w:tcPr>
          <w:p>
            <w:pPr>
              <w:pStyle w:val="TableContents"/>
              <w:spacing w:before="0" w:after="0" w:line="240" w:lineRule="atLeast"/>
            </w:pPr>
            <w:r>
              <w:rPr>
                <w:rFonts w:ascii="Arial" w:hAnsi="Arial" w:cs="Arial" w:eastAsia="Arial"/>
                <w:sz w:val="16"/>
                <w:szCs w:val="16"/>
              </w:rPr>
              <w:t>% of scheduled verifications completed</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Pre-start meeting completion rate</w:t>
            </w:r>
          </w:p>
        </w:tc>
        <w:tc>
          <w:tcPr>
            <w:tcW w:type="dxa" w:w="1805"/>
          </w:tcPr>
          <w:p>
            <w:pPr>
              <w:pStyle w:val="TableContents"/>
              <w:spacing w:before="0" w:after="0" w:line="240" w:lineRule="atLeast"/>
            </w:pPr>
            <w:r>
              <w:rPr>
                <w:rFonts w:ascii="Arial" w:hAnsi="Arial" w:cs="Arial" w:eastAsia="Arial"/>
                <w:sz w:val="16"/>
                <w:szCs w:val="16"/>
              </w:rPr>
              <w:t>Leading</w:t>
            </w:r>
          </w:p>
        </w:tc>
        <w:tc>
          <w:tcPr>
            <w:tcW w:type="dxa" w:w="1805"/>
          </w:tcPr>
          <w:p>
            <w:pPr>
              <w:pStyle w:val="TableContents"/>
              <w:spacing w:before="0" w:after="0" w:line="240" w:lineRule="atLeast"/>
            </w:pPr>
            <w:r>
              <w:rPr>
                <w:rFonts w:ascii="Arial" w:hAnsi="Arial" w:cs="Arial" w:eastAsia="Arial"/>
                <w:sz w:val="16"/>
                <w:szCs w:val="16"/>
              </w:rPr>
              <w:t>% of scheduled pre-start meetings completed</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Hazard observation rate</w:t>
            </w:r>
          </w:p>
        </w:tc>
        <w:tc>
          <w:tcPr>
            <w:tcW w:type="dxa" w:w="1805"/>
          </w:tcPr>
          <w:p>
            <w:pPr>
              <w:pStyle w:val="TableContents"/>
              <w:spacing w:before="0" w:after="0" w:line="240" w:lineRule="atLeast"/>
            </w:pPr>
            <w:r>
              <w:rPr>
                <w:rFonts w:ascii="Arial" w:hAnsi="Arial" w:cs="Arial" w:eastAsia="Arial"/>
                <w:sz w:val="16"/>
                <w:szCs w:val="16"/>
              </w:rPr>
              <w:t>Leading</w:t>
            </w:r>
          </w:p>
        </w:tc>
        <w:tc>
          <w:tcPr>
            <w:tcW w:type="dxa" w:w="1805"/>
          </w:tcPr>
          <w:p>
            <w:pPr>
              <w:pStyle w:val="TableContents"/>
              <w:spacing w:before="0" w:after="0" w:line="240" w:lineRule="atLeast"/>
            </w:pPr>
            <w:r>
              <w:rPr>
                <w:rFonts w:ascii="Arial" w:hAnsi="Arial" w:cs="Arial" w:eastAsia="Arial"/>
                <w:sz w:val="16"/>
                <w:szCs w:val="16"/>
              </w:rPr>
              <w:t>Observations per 100 workers per month</w:t>
            </w:r>
          </w:p>
        </w:tc>
        <w:tc>
          <w:tcPr>
            <w:tcW w:type="dxa" w:w="1805"/>
          </w:tcPr>
          <w:p>
            <w:pPr>
              <w:pStyle w:val="TableContents"/>
              <w:spacing w:before="0" w:after="0" w:line="240" w:lineRule="atLeast"/>
            </w:pPr>
            <w:r>
              <w:rPr>
                <w:rFonts w:ascii="Arial" w:hAnsi="Arial" w:cs="Arial" w:eastAsia="Arial"/>
                <w:b/>
                <w:bCs/>
                <w:color w:val="0059D1"/>
                <w:sz w:val="16"/>
                <w:szCs w:val="16"/>
              </w:rPr>
              <w:t>[INSERT: target rate]</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Training completion rate</w:t>
            </w:r>
          </w:p>
        </w:tc>
        <w:tc>
          <w:tcPr>
            <w:tcW w:type="dxa" w:w="1805"/>
          </w:tcPr>
          <w:p>
            <w:pPr>
              <w:pStyle w:val="TableContents"/>
              <w:spacing w:before="0" w:after="0" w:line="240" w:lineRule="atLeast"/>
            </w:pPr>
            <w:r>
              <w:rPr>
                <w:rFonts w:ascii="Arial" w:hAnsi="Arial" w:cs="Arial" w:eastAsia="Arial"/>
                <w:sz w:val="16"/>
                <w:szCs w:val="16"/>
              </w:rPr>
              <w:t>Leading</w:t>
            </w:r>
          </w:p>
        </w:tc>
        <w:tc>
          <w:tcPr>
            <w:tcW w:type="dxa" w:w="1805"/>
          </w:tcPr>
          <w:p>
            <w:pPr>
              <w:pStyle w:val="TableContents"/>
              <w:spacing w:before="0" w:after="0" w:line="240" w:lineRule="atLeast"/>
            </w:pPr>
            <w:r>
              <w:rPr>
                <w:rFonts w:ascii="Arial" w:hAnsi="Arial" w:cs="Arial" w:eastAsia="Arial"/>
                <w:sz w:val="16"/>
                <w:szCs w:val="16"/>
              </w:rPr>
              <w:t>% of required training completed on time</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Workplace inspection completion rate</w:t>
            </w:r>
          </w:p>
        </w:tc>
        <w:tc>
          <w:tcPr>
            <w:tcW w:type="dxa" w:w="1805"/>
          </w:tcPr>
          <w:p>
            <w:pPr>
              <w:pStyle w:val="TableContents"/>
              <w:spacing w:before="0" w:after="0" w:line="240" w:lineRule="atLeast"/>
            </w:pPr>
            <w:r>
              <w:rPr>
                <w:rFonts w:ascii="Arial" w:hAnsi="Arial" w:cs="Arial" w:eastAsia="Arial"/>
                <w:sz w:val="16"/>
                <w:szCs w:val="16"/>
              </w:rPr>
              <w:t>Leading</w:t>
            </w:r>
          </w:p>
        </w:tc>
        <w:tc>
          <w:tcPr>
            <w:tcW w:type="dxa" w:w="1805"/>
          </w:tcPr>
          <w:p>
            <w:pPr>
              <w:pStyle w:val="TableContents"/>
              <w:spacing w:before="0" w:after="0" w:line="240" w:lineRule="atLeast"/>
            </w:pPr>
            <w:r>
              <w:rPr>
                <w:rFonts w:ascii="Arial" w:hAnsi="Arial" w:cs="Arial" w:eastAsia="Arial"/>
                <w:sz w:val="16"/>
                <w:szCs w:val="16"/>
              </w:rPr>
              <w:t>% of scheduled inspections completed</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Total Recordable Injury Frequency Rate (TRIFR)</w:t>
            </w:r>
          </w:p>
        </w:tc>
        <w:tc>
          <w:tcPr>
            <w:tcW w:type="dxa" w:w="1805"/>
          </w:tcPr>
          <w:p>
            <w:pPr>
              <w:pStyle w:val="TableContents"/>
              <w:spacing w:before="0" w:after="0" w:line="240" w:lineRule="atLeast"/>
            </w:pPr>
            <w:r>
              <w:rPr>
                <w:rFonts w:ascii="Arial" w:hAnsi="Arial" w:cs="Arial" w:eastAsia="Arial"/>
                <w:sz w:val="16"/>
                <w:szCs w:val="16"/>
              </w:rPr>
              <w:t>Lagging</w:t>
            </w:r>
          </w:p>
        </w:tc>
        <w:tc>
          <w:tcPr>
            <w:tcW w:type="dxa" w:w="1805"/>
          </w:tcPr>
          <w:p>
            <w:pPr>
              <w:pStyle w:val="TableContents"/>
              <w:spacing w:before="0" w:after="0" w:line="240" w:lineRule="atLeast"/>
            </w:pPr>
            <w:r>
              <w:rPr>
                <w:rFonts w:ascii="Arial" w:hAnsi="Arial" w:cs="Arial" w:eastAsia="Arial"/>
                <w:sz w:val="16"/>
                <w:szCs w:val="16"/>
              </w:rPr>
              <w:t>Per million hours worked</w:t>
            </w:r>
          </w:p>
        </w:tc>
        <w:tc>
          <w:tcPr>
            <w:tcW w:type="dxa" w:w="1805"/>
          </w:tcPr>
          <w:p>
            <w:pPr>
              <w:pStyle w:val="TableContents"/>
              <w:spacing w:before="0" w:after="0" w:line="240" w:lineRule="atLeast"/>
            </w:pPr>
            <w:r>
              <w:rPr>
                <w:rFonts w:ascii="Arial" w:hAnsi="Arial" w:cs="Arial" w:eastAsia="Arial"/>
                <w:b/>
                <w:bCs/>
                <w:color w:val="0059D1"/>
                <w:sz w:val="16"/>
                <w:szCs w:val="16"/>
              </w:rPr>
              <w:t>[INSERT: target rate]</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Lost Time Injury Frequency Rate (LTIFR)</w:t>
            </w:r>
          </w:p>
        </w:tc>
        <w:tc>
          <w:tcPr>
            <w:tcW w:type="dxa" w:w="1805"/>
          </w:tcPr>
          <w:p>
            <w:pPr>
              <w:pStyle w:val="TableContents"/>
              <w:spacing w:before="0" w:after="0" w:line="240" w:lineRule="atLeast"/>
            </w:pPr>
            <w:r>
              <w:rPr>
                <w:rFonts w:ascii="Arial" w:hAnsi="Arial" w:cs="Arial" w:eastAsia="Arial"/>
                <w:sz w:val="16"/>
                <w:szCs w:val="16"/>
              </w:rPr>
              <w:t>Lagging</w:t>
            </w:r>
          </w:p>
        </w:tc>
        <w:tc>
          <w:tcPr>
            <w:tcW w:type="dxa" w:w="1805"/>
          </w:tcPr>
          <w:p>
            <w:pPr>
              <w:pStyle w:val="TableContents"/>
              <w:spacing w:before="0" w:after="0" w:line="240" w:lineRule="atLeast"/>
            </w:pPr>
            <w:r>
              <w:rPr>
                <w:rFonts w:ascii="Arial" w:hAnsi="Arial" w:cs="Arial" w:eastAsia="Arial"/>
                <w:sz w:val="16"/>
                <w:szCs w:val="16"/>
              </w:rPr>
              <w:t>Per million hours worked</w:t>
            </w:r>
          </w:p>
        </w:tc>
        <w:tc>
          <w:tcPr>
            <w:tcW w:type="dxa" w:w="1805"/>
          </w:tcPr>
          <w:p>
            <w:pPr>
              <w:pStyle w:val="TableContents"/>
              <w:spacing w:before="0" w:after="0" w:line="240" w:lineRule="atLeast"/>
            </w:pPr>
            <w:r>
              <w:rPr>
                <w:rFonts w:ascii="Arial" w:hAnsi="Arial" w:cs="Arial" w:eastAsia="Arial"/>
                <w:b/>
                <w:bCs/>
                <w:color w:val="0059D1"/>
                <w:sz w:val="16"/>
                <w:szCs w:val="16"/>
              </w:rPr>
              <w:t>[INSERT: target rate]</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High Potential Incident (HPI) count</w:t>
            </w:r>
          </w:p>
        </w:tc>
        <w:tc>
          <w:tcPr>
            <w:tcW w:type="dxa" w:w="1805"/>
          </w:tcPr>
          <w:p>
            <w:pPr>
              <w:pStyle w:val="TableContents"/>
              <w:spacing w:before="0" w:after="0" w:line="240" w:lineRule="atLeast"/>
            </w:pPr>
            <w:r>
              <w:rPr>
                <w:rFonts w:ascii="Arial" w:hAnsi="Arial" w:cs="Arial" w:eastAsia="Arial"/>
                <w:sz w:val="16"/>
                <w:szCs w:val="16"/>
              </w:rPr>
              <w:t>Lagging</w:t>
            </w:r>
          </w:p>
        </w:tc>
        <w:tc>
          <w:tcPr>
            <w:tcW w:type="dxa" w:w="1805"/>
          </w:tcPr>
          <w:p>
            <w:pPr>
              <w:pStyle w:val="TableContents"/>
              <w:spacing w:before="0" w:after="0" w:line="240" w:lineRule="atLeast"/>
            </w:pPr>
            <w:r>
              <w:rPr>
                <w:rFonts w:ascii="Arial" w:hAnsi="Arial" w:cs="Arial" w:eastAsia="Arial"/>
                <w:sz w:val="16"/>
                <w:szCs w:val="16"/>
              </w:rPr>
              <w:t>Number of HPIs</w:t>
            </w:r>
          </w:p>
        </w:tc>
        <w:tc>
          <w:tcPr>
            <w:tcW w:type="dxa" w:w="1805"/>
          </w:tcPr>
          <w:p>
            <w:pPr>
              <w:pStyle w:val="TableContents"/>
              <w:spacing w:before="0" w:after="0" w:line="240" w:lineRule="atLeast"/>
            </w:pPr>
            <w:r>
              <w:rPr>
                <w:rFonts w:ascii="Arial" w:hAnsi="Arial" w:cs="Arial" w:eastAsia="Arial"/>
                <w:b/>
                <w:bCs/>
                <w:color w:val="0059D1"/>
                <w:sz w:val="16"/>
                <w:szCs w:val="16"/>
              </w:rPr>
              <w:t>[INSERT: target]</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Environmental non-conformance count</w:t>
            </w:r>
          </w:p>
        </w:tc>
        <w:tc>
          <w:tcPr>
            <w:tcW w:type="dxa" w:w="1805"/>
          </w:tcPr>
          <w:p>
            <w:pPr>
              <w:pStyle w:val="TableContents"/>
              <w:spacing w:before="0" w:after="0" w:line="240" w:lineRule="atLeast"/>
            </w:pPr>
            <w:r>
              <w:rPr>
                <w:rFonts w:ascii="Arial" w:hAnsi="Arial" w:cs="Arial" w:eastAsia="Arial"/>
                <w:sz w:val="16"/>
                <w:szCs w:val="16"/>
              </w:rPr>
              <w:t>Lagging</w:t>
            </w:r>
          </w:p>
        </w:tc>
        <w:tc>
          <w:tcPr>
            <w:tcW w:type="dxa" w:w="1805"/>
          </w:tcPr>
          <w:p>
            <w:pPr>
              <w:pStyle w:val="TableContents"/>
              <w:spacing w:before="0" w:after="0" w:line="240" w:lineRule="atLeast"/>
            </w:pPr>
            <w:r>
              <w:rPr>
                <w:rFonts w:ascii="Arial" w:hAnsi="Arial" w:cs="Arial" w:eastAsia="Arial"/>
                <w:sz w:val="16"/>
                <w:szCs w:val="16"/>
              </w:rPr>
              <w:t>Number of non-conformances</w:t>
            </w:r>
          </w:p>
        </w:tc>
        <w:tc>
          <w:tcPr>
            <w:tcW w:type="dxa" w:w="1805"/>
          </w:tcPr>
          <w:p>
            <w:pPr>
              <w:pStyle w:val="TableContents"/>
              <w:spacing w:before="0" w:after="0" w:line="240" w:lineRule="atLeast"/>
            </w:pPr>
            <w:r>
              <w:rPr>
                <w:rFonts w:ascii="Arial" w:hAnsi="Arial" w:cs="Arial" w:eastAsia="Arial"/>
                <w:b/>
                <w:bCs/>
                <w:color w:val="0059D1"/>
                <w:sz w:val="16"/>
                <w:szCs w:val="16"/>
              </w:rPr>
              <w:t>[INSERT: target]</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Community complaints resolved within agreed timeframe</w:t>
            </w:r>
          </w:p>
        </w:tc>
        <w:tc>
          <w:tcPr>
            <w:tcW w:type="dxa" w:w="1805"/>
          </w:tcPr>
          <w:p>
            <w:pPr>
              <w:pStyle w:val="TableContents"/>
              <w:spacing w:before="0" w:after="0" w:line="240" w:lineRule="atLeast"/>
            </w:pPr>
            <w:r>
              <w:rPr>
                <w:rFonts w:ascii="Arial" w:hAnsi="Arial" w:cs="Arial" w:eastAsia="Arial"/>
                <w:sz w:val="16"/>
                <w:szCs w:val="16"/>
              </w:rPr>
              <w:t>Lagging</w:t>
            </w:r>
          </w:p>
        </w:tc>
        <w:tc>
          <w:tcPr>
            <w:tcW w:type="dxa" w:w="1805"/>
          </w:tcPr>
          <w:p>
            <w:pPr>
              <w:pStyle w:val="TableContents"/>
              <w:spacing w:before="0" w:after="0" w:line="240" w:lineRule="atLeast"/>
            </w:pPr>
            <w:r>
              <w:rPr>
                <w:rFonts w:ascii="Arial" w:hAnsi="Arial" w:cs="Arial" w:eastAsia="Arial"/>
                <w:sz w:val="16"/>
                <w:szCs w:val="16"/>
              </w:rPr>
              <w:t>% of complaints resolved on time</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sz w:val="16"/>
                <w:szCs w:val="16"/>
              </w:rPr>
              <w:t>Corrective action closeout rate</w:t>
            </w:r>
          </w:p>
        </w:tc>
        <w:tc>
          <w:tcPr>
            <w:tcW w:type="dxa" w:w="1805"/>
          </w:tcPr>
          <w:p>
            <w:pPr>
              <w:pStyle w:val="TableContents"/>
              <w:spacing w:before="0" w:after="0" w:line="240" w:lineRule="atLeast"/>
            </w:pPr>
            <w:r>
              <w:rPr>
                <w:rFonts w:ascii="Arial" w:hAnsi="Arial" w:cs="Arial" w:eastAsia="Arial"/>
                <w:sz w:val="16"/>
                <w:szCs w:val="16"/>
              </w:rPr>
              <w:t>Lagging</w:t>
            </w:r>
          </w:p>
        </w:tc>
        <w:tc>
          <w:tcPr>
            <w:tcW w:type="dxa" w:w="1805"/>
          </w:tcPr>
          <w:p>
            <w:pPr>
              <w:pStyle w:val="TableContents"/>
              <w:spacing w:before="0" w:after="0" w:line="240" w:lineRule="atLeast"/>
            </w:pPr>
            <w:r>
              <w:rPr>
                <w:rFonts w:ascii="Arial" w:hAnsi="Arial" w:cs="Arial" w:eastAsia="Arial"/>
                <w:sz w:val="16"/>
                <w:szCs w:val="16"/>
              </w:rPr>
              <w:t>% of actions closed by due date</w:t>
            </w:r>
          </w:p>
        </w:tc>
        <w:tc>
          <w:tcPr>
            <w:tcW w:type="dxa" w:w="1805"/>
          </w:tcPr>
          <w:p>
            <w:pPr>
              <w:pStyle w:val="TableContents"/>
              <w:spacing w:before="0" w:after="0" w:line="240" w:lineRule="atLeast"/>
            </w:pPr>
            <w:r>
              <w:rPr>
                <w:rFonts w:ascii="Arial" w:hAnsi="Arial" w:cs="Arial" w:eastAsia="Arial"/>
                <w:b/>
                <w:bCs/>
                <w:color w:val="0059D1"/>
                <w:sz w:val="16"/>
                <w:szCs w:val="16"/>
              </w:rPr>
              <w:t>[INSERT: target %]</w:t>
            </w:r>
          </w:p>
        </w:tc>
        <w:tc>
          <w:tcPr>
            <w:tcW w:type="dxa" w:w="1806"/>
          </w:tcPr>
          <w:p>
            <w:pPr>
              <w:pStyle w:val="TableContents"/>
              <w:spacing w:before="0" w:after="0" w:line="240" w:lineRule="atLeast"/>
            </w:pPr>
            <w:r>
              <w:rPr>
                <w:rFonts w:ascii="Arial" w:hAnsi="Arial" w:cs="Arial" w:eastAsia="Arial"/>
                <w:sz w:val="16"/>
                <w:szCs w:val="16"/>
              </w:rPr>
              <w:t>Monthly</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project-specific indicator]</w:t>
            </w:r>
          </w:p>
        </w:tc>
        <w:tc>
          <w:tcPr>
            <w:tcW w:type="dxa" w:w="1805"/>
          </w:tcPr>
          <w:p>
            <w:pPr>
              <w:pStyle w:val="TableContents"/>
              <w:spacing w:before="0" w:after="0" w:line="240" w:lineRule="atLeast"/>
            </w:pPr>
            <w:r>
              <w:rPr>
                <w:rFonts w:ascii="Arial" w:hAnsi="Arial" w:cs="Arial" w:eastAsia="Arial"/>
                <w:b/>
                <w:bCs/>
                <w:color w:val="0059D1"/>
                <w:sz w:val="16"/>
                <w:szCs w:val="16"/>
              </w:rPr>
              <w:t>[INSERT: Leading / Lagging]</w:t>
            </w:r>
          </w:p>
        </w:tc>
        <w:tc>
          <w:tcPr>
            <w:tcW w:type="dxa" w:w="1805"/>
          </w:tcPr>
          <w:p>
            <w:pPr>
              <w:pStyle w:val="TableContents"/>
              <w:spacing w:before="0" w:after="0" w:line="240" w:lineRule="atLeast"/>
            </w:pPr>
            <w:r>
              <w:rPr>
                <w:rFonts w:ascii="Arial" w:hAnsi="Arial" w:cs="Arial" w:eastAsia="Arial"/>
                <w:b/>
                <w:bCs/>
                <w:color w:val="0059D1"/>
                <w:sz w:val="16"/>
                <w:szCs w:val="16"/>
              </w:rPr>
              <w:t>[INSERT: unit]</w:t>
            </w:r>
          </w:p>
        </w:tc>
        <w:tc>
          <w:tcPr>
            <w:tcW w:type="dxa" w:w="1805"/>
          </w:tcPr>
          <w:p>
            <w:pPr>
              <w:pStyle w:val="TableContents"/>
              <w:spacing w:before="0" w:after="0" w:line="240" w:lineRule="atLeast"/>
            </w:pPr>
            <w:r>
              <w:rPr>
                <w:rFonts w:ascii="Arial" w:hAnsi="Arial" w:cs="Arial" w:eastAsia="Arial"/>
                <w:b/>
                <w:bCs/>
                <w:color w:val="0059D1"/>
                <w:sz w:val="16"/>
                <w:szCs w:val="16"/>
              </w:rPr>
              <w:t>[INSERT: target]</w:t>
            </w:r>
          </w:p>
        </w:tc>
        <w:tc>
          <w:tcPr>
            <w:tcW w:type="dxa" w:w="1806"/>
          </w:tcPr>
          <w:p>
            <w:pPr>
              <w:pStyle w:val="TableContents"/>
              <w:spacing w:before="0" w:after="0" w:line="240" w:lineRule="atLeast"/>
            </w:pPr>
            <w:r>
              <w:rPr>
                <w:rFonts w:ascii="Arial" w:hAnsi="Arial" w:cs="Arial" w:eastAsia="Arial"/>
                <w:b/>
                <w:bCs/>
                <w:color w:val="0059D1"/>
                <w:sz w:val="16"/>
                <w:szCs w:val="16"/>
              </w:rPr>
              <w:t>[INSERT: interval]</w:t>
            </w:r>
          </w:p>
        </w:tc>
      </w:tr>
    </w:tbl>
    <w:p>
      <w:pPr>
        <w:pStyle w:val="NormalNumberedtext"/>
      </w:pPr>
    </w:p>
    <w:p>
      <w:pPr>
        <w:pStyle w:val="Heading1Numbered"/>
        <w:numPr>
          <w:ilvl w:val="0"/>
          <w:numId w:val="1"/>
        </w:numPr>
      </w:pPr>
      <w:r>
        <w:rPr>
          <w:rFonts w:ascii="Arial" w:hAnsi="Arial" w:cs="Arial" w:eastAsia="Arial"/>
        </w:rPr>
        <w:t>Corrective and Preventive Action</w:t>
      </w:r>
    </w:p>
    <w:p>
      <w:pPr>
        <w:pStyle w:val="NormalNumberedtext"/>
      </w:pPr>
      <w:r>
        <w:t>This section defines the process for recording, classifying, tracking, and closing out all corrective and preventive actions across all HSESC domains.</w:t>
      </w:r>
    </w:p>
    <w:p>
      <w:pPr>
        <w:pStyle w:val="NormalNumberedtext"/>
      </w:pPr>
    </w:p>
    <w:p>
      <w:pPr>
        <w:pStyle w:val="Heading2Numbered"/>
        <w:numPr>
          <w:ilvl w:val="1"/>
          <w:numId w:val="1"/>
        </w:numPr>
      </w:pPr>
      <w:r>
        <w:rPr>
          <w:rFonts w:ascii="Arial" w:hAnsi="Arial" w:cs="Arial" w:eastAsia="Arial"/>
        </w:rPr>
        <w:t>Action Sources and Register Requirements</w:t>
      </w:r>
    </w:p>
    <w:p>
      <w:pPr>
        <w:pStyle w:val="NormalNumberedtext"/>
      </w:pPr>
      <w:r>
        <w:t>This section defines the sources that generate corrective and preventive actions and the register requirements that apply to all actions.</w:t>
      </w:r>
    </w:p>
    <w:p>
      <w:pPr>
        <w:pStyle w:val="NormalNumberedtext"/>
      </w:pPr>
      <w:r>
        <w:t>The HSESC Manager maintains a single corrective and preventive action register that captures actions from all sources. All contractor organisations record their actions in the same register. The register is reviewed at each monthly HSESC reporting cycle and at each performance review.</w:t>
      </w:r>
    </w:p>
    <w:p>
      <w:pPr>
        <w:pStyle w:val="NormalNumberedtext"/>
      </w:pPr>
      <w:r>
        <w:t>The action register captures corrective and preventive actions arising from:</w:t>
      </w:r>
    </w:p>
    <w:p>
      <w:pPr>
        <w:pStyle w:val="NumberedBulletL1"/>
      </w:pPr>
      <w:r>
        <w:t>Audit findings from the project audit program per [INSERT: Project Document Number].</w:t>
      </w:r>
    </w:p>
    <w:p>
      <w:pPr>
        <w:pStyle w:val="NumberedBulletL1"/>
      </w:pPr>
      <w:r>
        <w:t>Workplace inspections and verification activities.</w:t>
      </w:r>
    </w:p>
    <w:p>
      <w:pPr>
        <w:pStyle w:val="NumberedBulletL1"/>
      </w:pPr>
      <w:r>
        <w:t>Incident investigations and near miss reports - report all incidents and near misses per project requirements, refer [INSERT: Project Document Number].</w:t>
      </w:r>
    </w:p>
    <w:p>
      <w:pPr>
        <w:pStyle w:val="NumberedBulletL1"/>
      </w:pPr>
      <w:r>
        <w:t>Hazard observations submitted by any project personnel.</w:t>
      </w:r>
    </w:p>
    <w:p>
      <w:pPr>
        <w:pStyle w:val="NumberedBulletL1"/>
      </w:pPr>
      <w:r>
        <w:t>Management of Change assessments.</w:t>
      </w:r>
    </w:p>
    <w:p>
      <w:pPr>
        <w:pStyle w:val="NumberedBulletL1"/>
      </w:pPr>
      <w:r>
        <w:t>Community engagement processes, complaints, and incidents or events affecting the community.</w:t>
      </w:r>
    </w:p>
    <w:p>
      <w:pPr>
        <w:pStyle w:val="NumberedBulletL1"/>
      </w:pPr>
      <w:r>
        <w:t>Performance review outcomes and KPI trend analysis.</w:t>
      </w:r>
    </w:p>
    <w:p>
      <w:pPr>
        <w:pStyle w:val="NumberedBulletL1"/>
      </w:pPr>
      <w:r>
        <w:t>Monitoring exceedances and environmental non-conformances per [INSERT: Project Document Number].</w:t>
      </w:r>
    </w:p>
    <w:p>
      <w:pPr>
        <w:pStyle w:val="NormalNumberedtext"/>
      </w:pPr>
      <w:r>
        <w:t>Community-related actions from engagement processes, complaints, and community-affecting incidents are tracked and resolved within the same register as all other HSESC corrective actions. Resolution of community-related actions is incorporated into broader risk management and mitigation measures, and community complainants are informed of the resolution outcome in accordance with the project community engagement process.</w:t>
      </w:r>
    </w:p>
    <w:p>
      <w:pPr>
        <w:pStyle w:val="NormalNumberedtext"/>
      </w:pPr>
      <w:r>
        <w:t>Each action record in the register includes: a unique action identifier; the source event or finding; the severity classification; the assigned owner by role; the due date; the current status; the date closed; and evidence of effectiveness verification before closure. The register is stored in</w:t>
      </w:r>
    </w:p>
    <w:p>
      <w:pPr>
        <w:pStyle w:val="NormalNumberedtext"/>
      </w:pPr>
      <w:r>
        <w:rPr>
          <w:b/>
          <w:bCs/>
          <w:color w:val="0059D1"/>
        </w:rPr>
        <w:t>[INSERT: action_register_location] — System or document location where the corrective and preventive action register is maintained</w:t>
      </w:r>
    </w:p>
    <w:p>
      <w:pPr>
        <w:pStyle w:val="NormalNumberedtext"/>
      </w:pPr>
    </w:p>
    <w:p>
      <w:pPr>
        <w:pStyle w:val="Heading2Numbered"/>
        <w:numPr>
          <w:ilvl w:val="1"/>
          <w:numId w:val="1"/>
        </w:numPr>
      </w:pPr>
      <w:r>
        <w:rPr>
          <w:rFonts w:ascii="Arial" w:hAnsi="Arial" w:cs="Arial" w:eastAsia="Arial"/>
        </w:rPr>
        <w:t>Severity Classification</w:t>
      </w:r>
    </w:p>
    <w:p>
      <w:pPr>
        <w:pStyle w:val="NormalNumberedtext"/>
      </w:pPr>
      <w:r>
        <w:t>This section defines the three-tier severity classification applied to all corrective and preventive actions.</w:t>
      </w:r>
    </w:p>
    <w:p>
      <w:pPr>
        <w:pStyle w:val="NormalNumberedtext"/>
      </w:pPr>
      <w:r>
        <w:t>Every action is assigned a severity classification of High, Medium, or Low at the time of recording. The severity classification determines the maximum allowable timeframe for implementation and the level of oversight required for closeout. Corrective actions are implemented within timeframes proportionate to the severity of the finding.</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Insert the project-specific severity classification thresholds in Table 3 before this document is issued. The thresholds below are provided as suggested defaults and may be retained, modified, or replaced to suit the project context.</w:t>
            </w:r>
          </w:p>
        </w:tc>
      </w:tr>
    </w:tbl>
    <w:p>
      <w:pPr>
        <w:pStyle w:val="NormalNumberedtext"/>
      </w:pPr>
    </w:p>
    <w:p>
      <w:pPr>
        <w:pStyle w:val="NormalNumberedtext"/>
      </w:pPr>
      <w:r>
        <w:t>Table 3: Corrective and Preventive Action Severity Classification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Severity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Classification Criteria</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Maximum Implementation Timeframe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Closeout Authorised By</w:t>
            </w:r>
          </w:p>
        </w:tc>
      </w:tr>
      <w:tr>
        <w:tc>
          <w:tcPr>
            <w:tcW w:type="dxa" w:w="2256"/>
          </w:tcPr>
          <w:p>
            <w:pPr>
              <w:pStyle w:val="TableContents"/>
              <w:spacing w:before="0" w:after="0" w:line="240" w:lineRule="atLeast"/>
            </w:pPr>
            <w:r>
              <w:rPr>
                <w:rFonts w:ascii="Arial" w:hAnsi="Arial" w:cs="Arial" w:eastAsia="Arial"/>
                <w:sz w:val="16"/>
                <w:szCs w:val="16"/>
              </w:rPr>
              <w:t>High</w:t>
            </w:r>
          </w:p>
        </w:tc>
        <w:tc>
          <w:tcPr>
            <w:tcW w:type="dxa" w:w="2256"/>
          </w:tcPr>
          <w:p>
            <w:pPr>
              <w:pStyle w:val="TableContents"/>
              <w:spacing w:before="0" w:after="0" w:line="240" w:lineRule="atLeast"/>
            </w:pPr>
            <w:r>
              <w:rPr>
                <w:rFonts w:ascii="Arial" w:hAnsi="Arial" w:cs="Arial" w:eastAsia="Arial"/>
                <w:b/>
                <w:bCs/>
                <w:color w:val="0059D1"/>
                <w:sz w:val="16"/>
                <w:szCs w:val="16"/>
              </w:rPr>
              <w:t>[INSERT: project-specific criteria — e.g., potential for fatality or serious injury; critical risk barrier failure; regulatory non-compliance; community impact requiring external notification]</w:t>
            </w:r>
          </w:p>
        </w:tc>
        <w:tc>
          <w:tcPr>
            <w:tcW w:type="dxa" w:w="2256"/>
          </w:tcPr>
          <w:p>
            <w:pPr>
              <w:pStyle w:val="TableContents"/>
              <w:spacing w:before="0" w:after="0" w:line="240" w:lineRule="atLeast"/>
            </w:pPr>
            <w:r>
              <w:rPr>
                <w:rFonts w:ascii="Arial" w:hAnsi="Arial" w:cs="Arial" w:eastAsia="Arial"/>
                <w:b/>
                <w:bCs/>
                <w:color w:val="0059D1"/>
                <w:sz w:val="16"/>
                <w:szCs w:val="16"/>
              </w:rPr>
              <w:t>[INSERT: e.g., 14 calendar days]</w:t>
            </w:r>
          </w:p>
        </w:tc>
        <w:tc>
          <w:tcPr>
            <w:tcW w:type="dxa" w:w="2258"/>
          </w:tcPr>
          <w:p>
            <w:pPr>
              <w:pStyle w:val="TableContents"/>
              <w:spacing w:before="0" w:after="0" w:line="240" w:lineRule="atLeast"/>
            </w:pPr>
            <w:r>
              <w:rPr>
                <w:rFonts w:ascii="Arial" w:hAnsi="Arial" w:cs="Arial" w:eastAsia="Arial"/>
                <w:b/>
                <w:bCs/>
                <w:color w:val="0059D1"/>
                <w:sz w:val="16"/>
                <w:szCs w:val="16"/>
              </w:rPr>
              <w:t>[INSERT: e.g., HSESC Manager with Project Director concurrence]</w:t>
            </w:r>
          </w:p>
        </w:tc>
      </w:tr>
      <w:tr>
        <w:tc>
          <w:tcPr>
            <w:tcW w:type="dxa" w:w="2256"/>
          </w:tcPr>
          <w:p>
            <w:pPr>
              <w:pStyle w:val="TableContents"/>
              <w:spacing w:before="0" w:after="0" w:line="240" w:lineRule="atLeast"/>
            </w:pPr>
            <w:r>
              <w:rPr>
                <w:rFonts w:ascii="Arial" w:hAnsi="Arial" w:cs="Arial" w:eastAsia="Arial"/>
                <w:sz w:val="16"/>
                <w:szCs w:val="16"/>
              </w:rPr>
              <w:t>Medium</w:t>
            </w:r>
          </w:p>
        </w:tc>
        <w:tc>
          <w:tcPr>
            <w:tcW w:type="dxa" w:w="2256"/>
          </w:tcPr>
          <w:p>
            <w:pPr>
              <w:pStyle w:val="TableContents"/>
              <w:spacing w:before="0" w:after="0" w:line="240" w:lineRule="atLeast"/>
            </w:pPr>
            <w:r>
              <w:rPr>
                <w:rFonts w:ascii="Arial" w:hAnsi="Arial" w:cs="Arial" w:eastAsia="Arial"/>
                <w:b/>
                <w:bCs/>
                <w:color w:val="0059D1"/>
                <w:sz w:val="16"/>
                <w:szCs w:val="16"/>
              </w:rPr>
              <w:t>[INSERT: project-specific criteria — e.g., potential for recordable injury; audit major finding; repeated minor non-conformance; environmental exceedance without regulatory trigger]</w:t>
            </w:r>
          </w:p>
        </w:tc>
        <w:tc>
          <w:tcPr>
            <w:tcW w:type="dxa" w:w="2256"/>
          </w:tcPr>
          <w:p>
            <w:pPr>
              <w:pStyle w:val="TableContents"/>
              <w:spacing w:before="0" w:after="0" w:line="240" w:lineRule="atLeast"/>
            </w:pPr>
            <w:r>
              <w:rPr>
                <w:rFonts w:ascii="Arial" w:hAnsi="Arial" w:cs="Arial" w:eastAsia="Arial"/>
                <w:b/>
                <w:bCs/>
                <w:color w:val="0059D1"/>
                <w:sz w:val="16"/>
                <w:szCs w:val="16"/>
              </w:rPr>
              <w:t>[INSERT: e.g., 30 calendar days]</w:t>
            </w:r>
          </w:p>
        </w:tc>
        <w:tc>
          <w:tcPr>
            <w:tcW w:type="dxa" w:w="2258"/>
          </w:tcPr>
          <w:p>
            <w:pPr>
              <w:pStyle w:val="TableContents"/>
              <w:spacing w:before="0" w:after="0" w:line="240" w:lineRule="atLeast"/>
            </w:pPr>
            <w:r>
              <w:rPr>
                <w:rFonts w:ascii="Arial" w:hAnsi="Arial" w:cs="Arial" w:eastAsia="Arial"/>
                <w:b/>
                <w:bCs/>
                <w:color w:val="0059D1"/>
                <w:sz w:val="16"/>
                <w:szCs w:val="16"/>
              </w:rPr>
              <w:t>[INSERT: e.g., HSESC Manager]</w:t>
            </w:r>
          </w:p>
        </w:tc>
      </w:tr>
      <w:tr>
        <w:tc>
          <w:tcPr>
            <w:tcW w:type="dxa" w:w="2256"/>
          </w:tcPr>
          <w:p>
            <w:pPr>
              <w:pStyle w:val="TableContents"/>
              <w:spacing w:before="0" w:after="0" w:line="240" w:lineRule="atLeast"/>
            </w:pPr>
            <w:r>
              <w:rPr>
                <w:rFonts w:ascii="Arial" w:hAnsi="Arial" w:cs="Arial" w:eastAsia="Arial"/>
                <w:sz w:val="16"/>
                <w:szCs w:val="16"/>
              </w:rPr>
              <w:t>Low</w:t>
            </w:r>
          </w:p>
        </w:tc>
        <w:tc>
          <w:tcPr>
            <w:tcW w:type="dxa" w:w="2256"/>
          </w:tcPr>
          <w:p>
            <w:pPr>
              <w:pStyle w:val="TableContents"/>
              <w:spacing w:before="0" w:after="0" w:line="240" w:lineRule="atLeast"/>
            </w:pPr>
            <w:r>
              <w:rPr>
                <w:rFonts w:ascii="Arial" w:hAnsi="Arial" w:cs="Arial" w:eastAsia="Arial"/>
                <w:b/>
                <w:bCs/>
                <w:color w:val="0059D1"/>
                <w:sz w:val="16"/>
                <w:szCs w:val="16"/>
              </w:rPr>
              <w:t>[INSERT: project-specific criteria — e.g., administrative gap; minor observation; first-occurrence housekeeping finding; low-consequence near miss]</w:t>
            </w:r>
          </w:p>
        </w:tc>
        <w:tc>
          <w:tcPr>
            <w:tcW w:type="dxa" w:w="2256"/>
          </w:tcPr>
          <w:p>
            <w:pPr>
              <w:pStyle w:val="TableContents"/>
              <w:spacing w:before="0" w:after="0" w:line="240" w:lineRule="atLeast"/>
            </w:pPr>
            <w:r>
              <w:rPr>
                <w:rFonts w:ascii="Arial" w:hAnsi="Arial" w:cs="Arial" w:eastAsia="Arial"/>
                <w:b/>
                <w:bCs/>
                <w:color w:val="0059D1"/>
                <w:sz w:val="16"/>
                <w:szCs w:val="16"/>
              </w:rPr>
              <w:t>[INSERT: e.g., 60 calendar days]</w:t>
            </w:r>
          </w:p>
        </w:tc>
        <w:tc>
          <w:tcPr>
            <w:tcW w:type="dxa" w:w="2258"/>
          </w:tcPr>
          <w:p>
            <w:pPr>
              <w:pStyle w:val="TableContents"/>
              <w:spacing w:before="0" w:after="0" w:line="240" w:lineRule="atLeast"/>
            </w:pPr>
            <w:r>
              <w:rPr>
                <w:rFonts w:ascii="Arial" w:hAnsi="Arial" w:cs="Arial" w:eastAsia="Arial"/>
                <w:b/>
                <w:bCs/>
                <w:color w:val="0059D1"/>
                <w:sz w:val="16"/>
                <w:szCs w:val="16"/>
              </w:rPr>
              <w:t>[INSERT: e.g., HSESC Advisor or Superintendent]</w:t>
            </w:r>
          </w:p>
        </w:tc>
      </w:tr>
    </w:tbl>
    <w:p>
      <w:pPr>
        <w:pStyle w:val="NormalNumberedtext"/>
      </w:pPr>
    </w:p>
    <w:p>
      <w:pPr>
        <w:pStyle w:val="NormalNumberedtext"/>
      </w:pPr>
      <w:r>
        <w:t>The HSESC Manager produces a monthly action closeout report summarising the number of actions by severity, status, and source. Overdue High severity actions are escalated to</w:t>
      </w:r>
    </w:p>
    <w:p>
      <w:pPr>
        <w:pStyle w:val="NormalNumberedtext"/>
      </w:pPr>
      <w:r>
        <w:rPr>
          <w:b/>
          <w:bCs/>
          <w:color w:val="0059D1"/>
        </w:rPr>
        <w:t>[INSERT: escalation_authority_for_overdue_high_actions] — Role to whom overdue High severity actions are escalated (e.g., Project Director, Rio Tinto Project Sponsor)</w:t>
      </w:r>
    </w:p>
    <w:p>
      <w:pPr>
        <w:pStyle w:val="NormalNumberedtext"/>
      </w:pPr>
      <w:r>
        <w:t>within two business days of the due date being exceeded.</w:t>
      </w:r>
    </w:p>
    <w:p>
      <w:pPr>
        <w:pStyle w:val="NormalNumberedtext"/>
      </w:pPr>
    </w:p>
    <w:p>
      <w:pPr>
        <w:pStyle w:val="Heading2Numbered"/>
        <w:numPr>
          <w:ilvl w:val="1"/>
          <w:numId w:val="1"/>
        </w:numPr>
      </w:pPr>
      <w:r>
        <w:rPr>
          <w:rFonts w:ascii="Arial" w:hAnsi="Arial" w:cs="Arial" w:eastAsia="Arial"/>
        </w:rPr>
        <w:t>Effectiveness Verification and Closure</w:t>
      </w:r>
    </w:p>
    <w:p>
      <w:pPr>
        <w:pStyle w:val="NormalNumberedtext"/>
      </w:pPr>
      <w:r>
        <w:t>This section defines how action effectiveness is verified before an action is formally closed in the register.</w:t>
      </w:r>
    </w:p>
    <w:p>
      <w:pPr>
        <w:pStyle w:val="NormalNumberedtext"/>
      </w:pPr>
      <w:r>
        <w:t>No action is formally closed in the register without verified evidence that the corrective or preventive action has been implemented and is effective. The level of verification is proportionate to the severity classification of the action.</w:t>
      </w:r>
    </w:p>
    <w:p>
      <w:pPr>
        <w:pStyle w:val="NormalNumberedtext"/>
      </w:pPr>
      <w:r>
        <w:t>Effectiveness verification requirements by severity are:</w:t>
      </w:r>
    </w:p>
    <w:p>
      <w:pPr>
        <w:pStyle w:val="NumberedBulletL1"/>
      </w:pPr>
      <w:r>
        <w:rPr>
          <w:color w:val="C55A11"/>
        </w:rPr>
        <w:t>High: independent verification by the HSESC Manager or delegate through a documented site inspection or re-audit of the finding before closure.</w:t>
      </w:r>
    </w:p>
    <w:p>
      <w:pPr>
        <w:pStyle w:val="NumberedBulletL1"/>
      </w:pPr>
      <w:r>
        <w:rPr>
          <w:color w:val="C55A11"/>
        </w:rPr>
        <w:t>Medium: verification by the relevant Superintendent or HSESC Advisor through documented evidence such as a photograph, updated procedure, or inspection record.</w:t>
      </w:r>
    </w:p>
    <w:p>
      <w:pPr>
        <w:pStyle w:val="NumberedBulletL1"/>
      </w:pPr>
      <w:r>
        <w:rPr>
          <w:color w:val="C55A11"/>
        </w:rPr>
        <w:t>Low: verification by the action owner through self-certification with supporting evidence attached to the action record.</w:t>
      </w:r>
    </w:p>
    <w:p>
      <w:pPr>
        <w:pStyle w:val="NormalNumberedtext"/>
      </w:pPr>
      <w:r>
        <w:t>The HSESC team uses data from the corrective action register alongside inspection findings, near miss reports, hazard observations, incident data, and leading KPI trends to identify systemic programme deficiencies. Improvement efforts are directed at root causes rather than individual events. Where systemic deficiencies are identified, the HSESC Manager raises a programme-level corrective action addressing the root cause and assigns it to the relevant process owner.</w:t>
      </w:r>
    </w:p>
    <w:p>
      <w:pPr>
        <w:pStyle w:val="NormalNumberedtext"/>
      </w:pPr>
    </w:p>
    <w:p>
      <w:pPr>
        <w:pStyle w:val="Heading1Numbered"/>
        <w:numPr>
          <w:ilvl w:val="0"/>
          <w:numId w:val="1"/>
        </w:numPr>
      </w:pPr>
      <w:r>
        <w:rPr>
          <w:rFonts w:ascii="Arial" w:hAnsi="Arial" w:cs="Arial" w:eastAsia="Arial"/>
        </w:rPr>
        <w:t>Lessons Learned and Continuous Improvement</w:t>
      </w:r>
    </w:p>
    <w:p>
      <w:pPr>
        <w:pStyle w:val="NormalNumberedtext"/>
      </w:pPr>
      <w:r>
        <w:t>This section defines how lessons learned are captured from all HSESC events and activities, shared across the project, and incorporated into project documents.</w:t>
      </w:r>
    </w:p>
    <w:p>
      <w:pPr>
        <w:pStyle w:val="NormalNumberedtext"/>
      </w:pPr>
    </w:p>
    <w:p>
      <w:pPr>
        <w:pStyle w:val="Heading2Numbered"/>
        <w:numPr>
          <w:ilvl w:val="1"/>
          <w:numId w:val="1"/>
        </w:numPr>
      </w:pPr>
      <w:r>
        <w:rPr>
          <w:rFonts w:ascii="Arial" w:hAnsi="Arial" w:cs="Arial" w:eastAsia="Arial"/>
        </w:rPr>
        <w:t>Lessons Learned Capture</w:t>
      </w:r>
    </w:p>
    <w:p>
      <w:pPr>
        <w:pStyle w:val="NormalNumberedtext"/>
      </w:pPr>
      <w:r>
        <w:t>This section defines the sources from which lessons are captured and the minimum content required for each lesson learned record.</w:t>
      </w:r>
    </w:p>
    <w:p>
      <w:pPr>
        <w:pStyle w:val="NormalNumberedtext"/>
      </w:pPr>
      <w:r>
        <w:t>The HSESC Manager maintains a lessons learned register for the project. Lessons are captured from all significant HSESC events and review activities throughout the project lifecycle.</w:t>
      </w:r>
    </w:p>
    <w:p>
      <w:pPr>
        <w:pStyle w:val="NormalNumberedtext"/>
      </w:pPr>
      <w:r>
        <w:t>Lessons learned are captured from the following sources as a minimum:</w:t>
      </w:r>
    </w:p>
    <w:p>
      <w:pPr>
        <w:pStyle w:val="NumberedBulletL1"/>
      </w:pPr>
      <w:r>
        <w:t>Incident investigations and near miss reports - refer [INSERT: Project Document Number] for investigation requirements.</w:t>
      </w:r>
    </w:p>
    <w:p>
      <w:pPr>
        <w:pStyle w:val="NumberedBulletL1"/>
      </w:pPr>
      <w:r>
        <w:t>Audit findings and audit close-out outcomes - refer [INSERT: Project Document Number].</w:t>
      </w:r>
    </w:p>
    <w:p>
      <w:pPr>
        <w:pStyle w:val="NumberedBulletL1"/>
      </w:pPr>
      <w:r>
        <w:t>Workplace inspections and hazard observation trends.</w:t>
      </w:r>
    </w:p>
    <w:p>
      <w:pPr>
        <w:pStyle w:val="NumberedBulletL1"/>
      </w:pPr>
      <w:r>
        <w:t>Performance reviews, including both positive outcomes and improvement opportunities.</w:t>
      </w:r>
    </w:p>
    <w:p>
      <w:pPr>
        <w:pStyle w:val="NumberedBulletL1"/>
      </w:pPr>
      <w:r>
        <w:t>Adaptive management actions triggered by unexpected impacts, changed conditions, or monitoring exceedances - refer [INSERT: Project Document Number].</w:t>
      </w:r>
    </w:p>
    <w:p>
      <w:pPr>
        <w:pStyle w:val="NormalNumberedtext"/>
      </w:pPr>
      <w:r>
        <w:t>Each lesson learned record includes: a description of the event or observation; the root cause or contributing factor identified; the lesson derived; the recommended change to a procedure, JHA, training material, or risk register; the document updated; and the date the update was confirmed. Adaptive management actions are recorded and tracked to verify their effectiveness before the lesson is considered closed.</w:t>
      </w:r>
    </w:p>
    <w:p>
      <w:pPr>
        <w:pStyle w:val="NormalNumberedtext"/>
      </w:pPr>
    </w:p>
    <w:p>
      <w:pPr>
        <w:pStyle w:val="Heading2Numbered"/>
        <w:numPr>
          <w:ilvl w:val="1"/>
          <w:numId w:val="1"/>
        </w:numPr>
      </w:pPr>
      <w:r>
        <w:rPr>
          <w:rFonts w:ascii="Arial" w:hAnsi="Arial" w:cs="Arial" w:eastAsia="Arial"/>
        </w:rPr>
        <w:t>Lessons Learned Sharing</w:t>
      </w:r>
    </w:p>
    <w:p>
      <w:pPr>
        <w:pStyle w:val="NormalNumberedtext"/>
      </w:pPr>
      <w:r>
        <w:t>This section defines how lessons learned are shared across all contractor organisations and incorporated into project documents.</w:t>
      </w:r>
    </w:p>
    <w:p>
      <w:pPr>
        <w:pStyle w:val="NormalNumberedtext"/>
      </w:pPr>
      <w:r>
        <w:t>The HSESC Manager ensures all lessons learned are actively shared across all contractor organisations on the project. Sharing is not limited to the originating contractor. The sharing mechanism for this project is defined below.</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lessons learned sharing mechanism for this project. The procedure requires active sharing across all contractor organisations - the project must define the method (e.g., toolbox talk distribution, HSESC Coordination Meeting agenda item, project intranet portal, email distribution to all contractor HSESC representatives). Insert the mechanism and responsible role below.</w:t>
            </w:r>
          </w:p>
        </w:tc>
      </w:tr>
    </w:tbl>
    <w:p>
      <w:pPr>
        <w:pStyle w:val="NormalNumberedtext"/>
      </w:pPr>
    </w:p>
    <w:p>
      <w:pPr>
        <w:pStyle w:val="NormalNumberedtext"/>
      </w:pPr>
      <w:r>
        <w:t>The lessons learned sharing mechanism for this project is:</w:t>
      </w:r>
    </w:p>
    <w:p>
      <w:pPr>
        <w:pStyle w:val="NormalNumberedtext"/>
      </w:pPr>
      <w:r>
        <w:rPr>
          <w:b/>
          <w:bCs/>
          <w:color w:val="0059D1"/>
        </w:rPr>
        <w:t>[INSERT: lessons_learned_sharing_mechanism] — Define the specific method by which lessons are shared with all contractor organisations (e.g., monthly HSESC Coordination Meeting standing agenda item; distribution of a lessons learned bulletin to all contractor HSESC representatives within 5 business days of capture; posting to the project HSESC portal)</w:t>
      </w:r>
    </w:p>
    <w:p>
      <w:pPr>
        <w:pStyle w:val="NormalNumberedtext"/>
      </w:pPr>
      <w:r>
        <w:t>The HSESC Manager confirms that each shared lesson is incorporated into the relevant project document within</w:t>
      </w:r>
    </w:p>
    <w:p>
      <w:pPr>
        <w:pStyle w:val="NormalNumberedtext"/>
      </w:pPr>
      <w:r>
        <w:rPr>
          <w:b/>
          <w:bCs/>
          <w:color w:val="0059D1"/>
        </w:rPr>
        <w:t>[INSERT: document_update_timeframe_for_lessons] — Timeframe within which affected procedures, JHAs, training materials, or risk registers must be updated following a lesson learned (e.g., 20 business days of the lesson being shared)</w:t>
      </w:r>
    </w:p>
    <w:p>
      <w:pPr>
        <w:pStyle w:val="NormalNumberedtext"/>
      </w:pPr>
      <w:r>
        <w:t>of the lesson being shared. The relevant document owner confirms the update and records the revision in the lessons learned register. All contractor organisations confirm at the next performance review that shared lessons have been applied within their own work group procedures and training materials.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Cultural - the integrated discipline framework governing all related risks, obligations, and performance requirements on Rio Tinto owner-led projects.</w:t>
            </w:r>
          </w:p>
        </w:tc>
      </w:tr>
      <w:tr>
        <w:tc>
          <w:tcPr>
            <w:tcW w:type="dxa" w:w="4888"/>
          </w:tcPr>
          <w:p>
            <w:pPr>
              <w:pStyle w:val="TableContents"/>
              <w:spacing w:before="0" w:after="0" w:line="240" w:lineRule="atLeast"/>
            </w:pPr>
            <w:r>
              <w:rPr>
                <w:rFonts w:ascii="Arial" w:hAnsi="Arial" w:cs="Arial" w:eastAsia="Arial"/>
                <w:sz w:val="16"/>
                <w:szCs w:val="16"/>
              </w:rPr>
              <w:t>HSESCLT</w:t>
            </w:r>
          </w:p>
        </w:tc>
        <w:tc>
          <w:tcPr>
            <w:tcW w:type="dxa" w:w="4889"/>
          </w:tcPr>
          <w:p>
            <w:pPr>
              <w:pStyle w:val="TableContents"/>
              <w:spacing w:before="0" w:after="0" w:line="240" w:lineRule="atLeast"/>
            </w:pPr>
            <w:r>
              <w:rPr>
                <w:rFonts w:ascii="Arial" w:hAnsi="Arial" w:cs="Arial" w:eastAsia="Arial"/>
                <w:sz w:val="16"/>
                <w:szCs w:val="16"/>
              </w:rPr>
              <w:t>HSESC Leadership Team - the senior governance body responsible for overseeing HSESC performance, directing improvement planning, and endorsing corrective and preventive actions across the project.</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quantifiable measure used to evaluate the effectiveness of HSESC management activities against defined targets and objectives.</w:t>
            </w:r>
          </w:p>
        </w:tc>
      </w:tr>
      <w:tr>
        <w:tc>
          <w:tcPr>
            <w:tcW w:type="dxa" w:w="4888"/>
          </w:tcPr>
          <w:p>
            <w:pPr>
              <w:pStyle w:val="TableContents"/>
              <w:spacing w:before="0" w:after="0" w:line="240" w:lineRule="atLeast"/>
            </w:pPr>
            <w:r>
              <w:rPr>
                <w:rFonts w:ascii="Arial" w:hAnsi="Arial" w:cs="Arial" w:eastAsia="Arial"/>
                <w:sz w:val="16"/>
                <w:szCs w:val="16"/>
              </w:rPr>
              <w:t>MIP</w:t>
            </w:r>
          </w:p>
        </w:tc>
        <w:tc>
          <w:tcPr>
            <w:tcW w:type="dxa" w:w="4889"/>
          </w:tcPr>
          <w:p>
            <w:pPr>
              <w:pStyle w:val="TableContents"/>
              <w:spacing w:before="0" w:after="0" w:line="240" w:lineRule="atLeast"/>
            </w:pPr>
            <w:r>
              <w:rPr>
                <w:rFonts w:ascii="Arial" w:hAnsi="Arial" w:cs="Arial" w:eastAsia="Arial"/>
                <w:sz w:val="16"/>
                <w:szCs w:val="16"/>
              </w:rPr>
              <w:t>Management Improvement Plan - a structured action plan that consolidates corrective and preventive actions arising from performance reviews, audits, incident investigations, monitoring data, and lessons learned activities.</w:t>
            </w:r>
          </w:p>
        </w:tc>
      </w:tr>
      <w:tr>
        <w:tc>
          <w:tcPr>
            <w:tcW w:type="dxa" w:w="4888"/>
          </w:tcPr>
          <w:p>
            <w:pPr>
              <w:pStyle w:val="TableContents"/>
              <w:spacing w:before="0" w:after="0" w:line="240" w:lineRule="atLeast"/>
            </w:pPr>
            <w:r>
              <w:rPr>
                <w:rFonts w:ascii="Arial" w:hAnsi="Arial" w:cs="Arial" w:eastAsia="Arial"/>
                <w:sz w:val="16"/>
                <w:szCs w:val="16"/>
              </w:rPr>
              <w:t>CAPA</w:t>
            </w:r>
          </w:p>
        </w:tc>
        <w:tc>
          <w:tcPr>
            <w:tcW w:type="dxa" w:w="4889"/>
          </w:tcPr>
          <w:p>
            <w:pPr>
              <w:pStyle w:val="TableContents"/>
              <w:spacing w:before="0" w:after="0" w:line="240" w:lineRule="atLeast"/>
            </w:pPr>
            <w:r>
              <w:rPr>
                <w:rFonts w:ascii="Arial" w:hAnsi="Arial" w:cs="Arial" w:eastAsia="Arial"/>
                <w:sz w:val="16"/>
                <w:szCs w:val="16"/>
              </w:rPr>
              <w:t>Corrective and Preventive Action - a systematic process for identifying root causes of nonconformances or deficiencies and implementing actions to eliminate recurrence (corrective) or prevent occurrence (preventive).</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that specifies the manner in which an activity or process is to be carried out within the HSESC management system.</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governance requirements apply to all owner-led projects covered by this management system.</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designation prefix used for documents, procedures, and references specific to a Rio Tinto owner-led project context.</w:t>
            </w:r>
          </w:p>
        </w:tc>
      </w:tr>
      <w:tr>
        <w:tc>
          <w:tcPr>
            <w:tcW w:type="dxa" w:w="4888"/>
          </w:tcPr>
          <w:p>
            <w:pPr>
              <w:pStyle w:val="TableContents"/>
              <w:spacing w:before="0" w:after="0" w:line="240" w:lineRule="atLeast"/>
            </w:pPr>
            <w:r>
              <w:rPr>
                <w:rFonts w:ascii="Arial" w:hAnsi="Arial" w:cs="Arial" w:eastAsia="Arial"/>
                <w:sz w:val="16"/>
                <w:szCs w:val="16"/>
              </w:rPr>
              <w:t>OFI</w:t>
            </w:r>
          </w:p>
        </w:tc>
        <w:tc>
          <w:tcPr>
            <w:tcW w:type="dxa" w:w="4889"/>
          </w:tcPr>
          <w:p>
            <w:pPr>
              <w:pStyle w:val="TableContents"/>
              <w:spacing w:before="0" w:after="0" w:line="240" w:lineRule="atLeast"/>
            </w:pPr>
            <w:r>
              <w:rPr>
                <w:rFonts w:ascii="Arial" w:hAnsi="Arial" w:cs="Arial" w:eastAsia="Arial"/>
                <w:sz w:val="16"/>
                <w:szCs w:val="16"/>
              </w:rPr>
              <w:t>Opportunity for Improvement - an observation or recommendation that identifies a potential enhancement to HSESC performance, systems, or processes that does not constitute a nonconformance but may be actioned through the improvement planning process.</w:t>
            </w:r>
          </w:p>
        </w:tc>
      </w:tr>
      <w:tr>
        <w:tc>
          <w:tcPr>
            <w:tcW w:type="dxa" w:w="4888"/>
          </w:tcPr>
          <w:p>
            <w:pPr>
              <w:pStyle w:val="TableContents"/>
              <w:spacing w:before="0" w:after="0" w:line="240" w:lineRule="atLeast"/>
            </w:pPr>
            <w:r>
              <w:rPr>
                <w:rFonts w:ascii="Arial" w:hAnsi="Arial" w:cs="Arial" w:eastAsia="Arial"/>
                <w:sz w:val="16"/>
                <w:szCs w:val="16"/>
              </w:rPr>
              <w:t>NCR</w:t>
            </w:r>
          </w:p>
        </w:tc>
        <w:tc>
          <w:tcPr>
            <w:tcW w:type="dxa" w:w="4889"/>
          </w:tcPr>
          <w:p>
            <w:pPr>
              <w:pStyle w:val="TableContents"/>
              <w:spacing w:before="0" w:after="0" w:line="240" w:lineRule="atLeast"/>
            </w:pPr>
            <w:r>
              <w:rPr>
                <w:rFonts w:ascii="Arial" w:hAnsi="Arial" w:cs="Arial" w:eastAsia="Arial"/>
                <w:sz w:val="16"/>
                <w:szCs w:val="16"/>
              </w:rPr>
              <w:t>Non-Conformance Report - a formal record documenting a failure to meet a specified HSESC requirement, standard, or procedure, which triggers the corrective action process.</w:t>
            </w:r>
          </w:p>
        </w:tc>
      </w:tr>
      <w:tr>
        <w:tc>
          <w:tcPr>
            <w:tcW w:type="dxa" w:w="4888"/>
          </w:tcPr>
          <w:p>
            <w:pPr>
              <w:pStyle w:val="TableContents"/>
              <w:spacing w:before="0" w:after="0" w:line="240" w:lineRule="atLeast"/>
            </w:pPr>
            <w:r>
              <w:rPr>
                <w:rFonts w:ascii="Arial" w:hAnsi="Arial" w:cs="Arial" w:eastAsia="Arial"/>
                <w:sz w:val="16"/>
                <w:szCs w:val="16"/>
              </w:rPr>
              <w:t>LFI</w:t>
            </w:r>
          </w:p>
        </w:tc>
        <w:tc>
          <w:tcPr>
            <w:tcW w:type="dxa" w:w="4889"/>
          </w:tcPr>
          <w:p>
            <w:pPr>
              <w:pStyle w:val="TableContents"/>
              <w:spacing w:before="0" w:after="0" w:line="240" w:lineRule="atLeast"/>
            </w:pPr>
            <w:r>
              <w:rPr>
                <w:rFonts w:ascii="Arial" w:hAnsi="Arial" w:cs="Arial" w:eastAsia="Arial"/>
                <w:sz w:val="16"/>
                <w:szCs w:val="16"/>
              </w:rPr>
              <w:t>Learning from Incidents - the structured process of capturing, analysing, and communicating lessons derived from incident investigations to prevent recurrence across the project and broader organisation.</w:t>
            </w:r>
          </w:p>
        </w:tc>
      </w:tr>
      <w:tr>
        <w:tc>
          <w:tcPr>
            <w:tcW w:type="dxa" w:w="4888"/>
          </w:tcPr>
          <w:p>
            <w:pPr>
              <w:pStyle w:val="TableContents"/>
              <w:spacing w:before="0" w:after="0" w:line="240" w:lineRule="atLeast"/>
            </w:pPr>
            <w:r>
              <w:rPr>
                <w:rFonts w:ascii="Arial" w:hAnsi="Arial" w:cs="Arial" w:eastAsia="Arial"/>
                <w:sz w:val="16"/>
                <w:szCs w:val="16"/>
              </w:rPr>
              <w:t>MS</w:t>
            </w:r>
          </w:p>
        </w:tc>
        <w:tc>
          <w:tcPr>
            <w:tcW w:type="dxa" w:w="4889"/>
          </w:tcPr>
          <w:p>
            <w:pPr>
              <w:pStyle w:val="TableContents"/>
              <w:spacing w:before="0" w:after="0" w:line="240" w:lineRule="atLeast"/>
            </w:pPr>
            <w:r>
              <w:rPr>
                <w:rFonts w:ascii="Arial" w:hAnsi="Arial" w:cs="Arial" w:eastAsia="Arial"/>
                <w:sz w:val="16"/>
                <w:szCs w:val="16"/>
              </w:rPr>
              <w:t>Management System - the integrated set of policies, procedures, plans, and processes used to direct and control HSESC activities and performance on the project.</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core disciplines encompassed within the broader HSESC framework, covering occupational health, safety management, and environmental compliance.</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Organisational Resources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Auditing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Review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 - Requirements with Guidance for Use</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9001 - Quality Management Systems - Requirements</w:t>
            </w:r>
          </w:p>
        </w:tc>
        <w:tc>
          <w:tcPr>
            <w:tcW w:type="dxa" w:w="3259"/>
          </w:tcPr>
          <w:p>
            <w:pPr>
              <w:pStyle w:val="TableContents"/>
              <w:spacing w:before="0" w:after="0" w:line="240" w:lineRule="atLeast"/>
            </w:pPr>
            <w:r>
              <w:rPr>
                <w:rFonts w:ascii="Arial" w:hAnsi="Arial" w:cs="Arial" w:eastAsia="Arial"/>
                <w:sz w:val="16"/>
                <w:szCs w:val="16"/>
              </w:rPr>
              <w:t>ISO 9001:2015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§40.2</w:t>
            </w:r>
          </w:p>
        </w:tc>
        <w:tc>
          <w:tcPr>
            <w:tcW w:type="dxa" w:w="2256"/>
          </w:tcPr>
          <w:p>
            <w:pPr>
              <w:pStyle w:val="TableContents"/>
              <w:spacing w:before="0" w:after="0" w:line="240" w:lineRule="atLeast"/>
            </w:pPr>
            <w:r>
              <w:rPr>
                <w:rFonts w:ascii="Arial" w:hAnsi="Arial" w:cs="Arial" w:eastAsia="Arial"/>
                <w:sz w:val="16"/>
                <w:szCs w:val="16"/>
              </w:rPr>
              <w:t>Requires HSESC performance reviews at defined project phase intervals with specified minimum content including leading and lagging indicators, audit findings, incident trends, CRM performance, and lessons learned sharing across all contractor organisations.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§41.3</w:t>
            </w:r>
          </w:p>
        </w:tc>
        <w:tc>
          <w:tcPr>
            <w:tcW w:type="dxa" w:w="2256"/>
          </w:tcPr>
          <w:p>
            <w:pPr>
              <w:pStyle w:val="TableContents"/>
              <w:spacing w:before="0" w:after="0" w:line="240" w:lineRule="atLeast"/>
            </w:pPr>
            <w:r>
              <w:rPr>
                <w:rFonts w:ascii="Arial" w:hAnsi="Arial" w:cs="Arial" w:eastAsia="Arial"/>
                <w:sz w:val="16"/>
                <w:szCs w:val="16"/>
              </w:rPr>
              <w:t>Requires a suite of agreed HSESC KPIs covering both leading and lagging indicators, reported to the relevant project authority at agreed intervals.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§41.1</w:t>
            </w:r>
          </w:p>
        </w:tc>
        <w:tc>
          <w:tcPr>
            <w:tcW w:type="dxa" w:w="2256"/>
          </w:tcPr>
          <w:p>
            <w:pPr>
              <w:pStyle w:val="TableContents"/>
              <w:spacing w:before="0" w:after="0" w:line="240" w:lineRule="atLeast"/>
            </w:pPr>
            <w:r>
              <w:rPr>
                <w:rFonts w:ascii="Arial" w:hAnsi="Arial" w:cs="Arial" w:eastAsia="Arial"/>
                <w:sz w:val="16"/>
                <w:szCs w:val="16"/>
              </w:rPr>
              <w:t>Requires a process for recording, tracking, and closing out all corrective and preventive actions with severity ranking, assigned owners, due dates, and monthly closeout reports.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§41.2</w:t>
            </w:r>
          </w:p>
        </w:tc>
        <w:tc>
          <w:tcPr>
            <w:tcW w:type="dxa" w:w="2256"/>
          </w:tcPr>
          <w:p>
            <w:pPr>
              <w:pStyle w:val="TableContents"/>
              <w:spacing w:before="0" w:after="0" w:line="240" w:lineRule="atLeast"/>
            </w:pPr>
            <w:r>
              <w:rPr>
                <w:rFonts w:ascii="Arial" w:hAnsi="Arial" w:cs="Arial" w:eastAsia="Arial"/>
                <w:sz w:val="16"/>
                <w:szCs w:val="16"/>
              </w:rPr>
              <w:t>Requires lessons learned from incidents, investigations, near misses, audits, and inspections to be captured, shared across all contractor organisations, and incorporated into procedures, JHAs, training materials, and risk registers.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§41.1.7</w:t>
            </w:r>
          </w:p>
        </w:tc>
        <w:tc>
          <w:tcPr>
            <w:tcW w:type="dxa" w:w="2256"/>
          </w:tcPr>
          <w:p>
            <w:pPr>
              <w:pStyle w:val="TableContents"/>
              <w:spacing w:before="0" w:after="0" w:line="240" w:lineRule="atLeast"/>
            </w:pPr>
            <w:r>
              <w:rPr>
                <w:rFonts w:ascii="Arial" w:hAnsi="Arial" w:cs="Arial" w:eastAsia="Arial"/>
                <w:sz w:val="16"/>
                <w:szCs w:val="16"/>
              </w:rPr>
              <w:t>Requires the action tracking register to include actions from community engagement processes and community-affecting incidents, tracked and resolved within the same system as all other HSESC corrective actions.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C-8 §1.0.1</w:t>
            </w:r>
          </w:p>
        </w:tc>
        <w:tc>
          <w:tcPr>
            <w:tcW w:type="dxa" w:w="2256"/>
          </w:tcPr>
          <w:p>
            <w:pPr>
              <w:pStyle w:val="TableContents"/>
              <w:spacing w:before="0" w:after="0" w:line="240" w:lineRule="atLeast"/>
            </w:pPr>
            <w:r>
              <w:rPr>
                <w:rFonts w:ascii="Arial" w:hAnsi="Arial" w:cs="Arial" w:eastAsia="Arial"/>
                <w:sz w:val="16"/>
                <w:szCs w:val="16"/>
              </w:rPr>
              <w:t>Requires the monthly HSESC Contractor Report to be submitted no later than the first Friday of each month using the Company-approved template, with content agreed before first submission.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Safe, Healthy and Respectful Workplaces Protocol, Indicator SH2</w:t>
            </w:r>
          </w:p>
        </w:tc>
        <w:tc>
          <w:tcPr>
            <w:tcW w:type="dxa" w:w="2256"/>
          </w:tcPr>
          <w:p>
            <w:pPr>
              <w:pStyle w:val="TableContents"/>
              <w:spacing w:before="0" w:after="0" w:line="240" w:lineRule="atLeast"/>
            </w:pPr>
            <w:r>
              <w:rPr>
                <w:rFonts w:ascii="Arial" w:hAnsi="Arial" w:cs="Arial" w:eastAsia="Arial"/>
                <w:sz w:val="16"/>
                <w:szCs w:val="16"/>
              </w:rPr>
              <w:t>Requires measurable safety and health targets to be set and monitored for continuous improvement, with progress reported as a core component of each performance review.</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5, Performance Expectation 5.1</w:t>
            </w:r>
          </w:p>
        </w:tc>
        <w:tc>
          <w:tcPr>
            <w:tcW w:type="dxa" w:w="2256"/>
          </w:tcPr>
          <w:p>
            <w:pPr>
              <w:pStyle w:val="TableContents"/>
              <w:spacing w:before="0" w:after="0" w:line="240" w:lineRule="atLeast"/>
            </w:pPr>
            <w:r>
              <w:rPr>
                <w:rFonts w:ascii="Arial" w:hAnsi="Arial" w:cs="Arial" w:eastAsia="Arial"/>
                <w:sz w:val="16"/>
                <w:szCs w:val="16"/>
              </w:rPr>
              <w:t>Requires continuous monitoring of performance against goals for elimination of workplace fatalities, serious injuries, and psychosocial hazards, with performance data used to drive documented improvement actions.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§22</w:t>
            </w:r>
          </w:p>
        </w:tc>
        <w:tc>
          <w:tcPr>
            <w:tcW w:type="dxa" w:w="2256"/>
          </w:tcPr>
          <w:p>
            <w:pPr>
              <w:pStyle w:val="TableContents"/>
              <w:spacing w:before="0" w:after="0" w:line="240" w:lineRule="atLeast"/>
            </w:pPr>
            <w:r>
              <w:rPr>
                <w:rFonts w:ascii="Arial" w:hAnsi="Arial" w:cs="Arial" w:eastAsia="Arial"/>
                <w:sz w:val="16"/>
                <w:szCs w:val="16"/>
              </w:rPr>
              <w:t>Requires definition of quantitative indicators of environmental and social performance that can be monitored consistently over the project lifecycle to assess the effectiveness of management controls.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§11</w:t>
            </w:r>
          </w:p>
        </w:tc>
        <w:tc>
          <w:tcPr>
            <w:tcW w:type="dxa" w:w="2256"/>
          </w:tcPr>
          <w:p>
            <w:pPr>
              <w:pStyle w:val="TableContents"/>
              <w:spacing w:before="0" w:after="0" w:line="240" w:lineRule="atLeast"/>
            </w:pPr>
            <w:r>
              <w:rPr>
                <w:rFonts w:ascii="Arial" w:hAnsi="Arial" w:cs="Arial" w:eastAsia="Arial"/>
                <w:sz w:val="16"/>
                <w:szCs w:val="16"/>
              </w:rPr>
              <w:t>Requires corrective actions to be implemented within timeframes proportionate to finding severity and their effectiveness to be verified before formal closure.</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§7</w:t>
            </w:r>
          </w:p>
        </w:tc>
        <w:tc>
          <w:tcPr>
            <w:tcW w:type="dxa" w:w="2256"/>
          </w:tcPr>
          <w:p>
            <w:pPr>
              <w:pStyle w:val="TableContents"/>
              <w:spacing w:before="0" w:after="0" w:line="240" w:lineRule="atLeast"/>
            </w:pPr>
            <w:r>
              <w:rPr>
                <w:rFonts w:ascii="Arial" w:hAnsi="Arial" w:cs="Arial" w:eastAsia="Arial"/>
                <w:sz w:val="16"/>
                <w:szCs w:val="16"/>
              </w:rPr>
              <w:t>Requires adaptive management actions triggered by unexpected impacts, changed conditions, or monitoring exceedances to be recorded and tracked to verify effectiveness.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RP 2016 - Program Evaluation and Improvement</w:t>
            </w:r>
          </w:p>
        </w:tc>
        <w:tc>
          <w:tcPr>
            <w:tcW w:type="dxa" w:w="2256"/>
          </w:tcPr>
          <w:p>
            <w:pPr>
              <w:pStyle w:val="TableContents"/>
              <w:spacing w:before="0" w:after="0" w:line="240" w:lineRule="atLeast"/>
            </w:pPr>
            <w:r>
              <w:rPr>
                <w:rFonts w:ascii="Arial" w:hAnsi="Arial" w:cs="Arial" w:eastAsia="Arial"/>
                <w:sz w:val="16"/>
                <w:szCs w:val="16"/>
              </w:rPr>
              <w:t>Requires use of multiple data sources to identify systemic programme deficiencies and direct improvement efforts at root causes rather than individual events.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