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Incident and Action Management</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Incident and Action Management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reporting, notifying, investigating, and actioning all incidents, near misses, and hazard observations across the owner-led project. As project owner, RT sets the incident classification system, determines the investigation methodology, and owns the corrective action process for all incidents occurring under the project management system.</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incident and action management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states the purpose of this procedure, the HSESC domains it governs, and the project lifecycle phases within which it applies from mobilisation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incident reporting, investigation, and action management.</w:t>
      </w:r>
    </w:p>
    <w:p>
      <w:pPr>
        <w:pStyle w:val="NormalNumberedtext"/>
      </w:pPr>
      <w:r>
        <w:t>This procedure meets the following purpose requirements:</w:t>
      </w:r>
    </w:p>
    <w:p>
      <w:pPr>
        <w:pStyle w:val="NormalNumberedtext"/>
      </w:pPr>
      <w:r>
        <w:t>This procedure establishes the minimum requirements for:</w:t>
      </w:r>
    </w:p>
    <w:p>
      <w:pPr>
        <w:pStyle w:val="NumberedBulletL1"/>
      </w:pPr>
      <w:r>
        <w:t>Classifying all incidents and near misses using the Rio Tinto incident classification matrix.</w:t>
      </w:r>
    </w:p>
    <w:p>
      <w:pPr>
        <w:pStyle w:val="NumberedBulletL1"/>
      </w:pPr>
      <w:r>
        <w:t>Notifying the project owner and regulatory authorities within required timeframes.</w:t>
      </w:r>
    </w:p>
    <w:p>
      <w:pPr>
        <w:pStyle w:val="NumberedBulletL1"/>
      </w:pPr>
      <w:r>
        <w:t>Conducting investigations proportionate to incident classification.</w:t>
      </w:r>
    </w:p>
    <w:p>
      <w:pPr>
        <w:pStyle w:val="NumberedBulletL1"/>
      </w:pPr>
      <w:r>
        <w:t>Managing corrective actions to verified closeout.</w:t>
      </w:r>
    </w:p>
    <w:p>
      <w:pPr>
        <w:pStyle w:val="NumberedBulletL1"/>
      </w:pPr>
      <w:r>
        <w:t>Applying a just culture process to human behavioural non-conformances.</w:t>
      </w:r>
    </w:p>
    <w:p>
      <w:pPr>
        <w:pStyle w:val="NormalNumberedtext"/>
      </w:pPr>
      <w:r>
        <w:t>This procedure operationalises the Rio Tinto Incident Reporting and Investigation Standard and the Rio Tinto Management and Compliance Standard into a documented, project-specific process. It applies to all incidents occurring on or arising from project activities, regardless of the employment type of the persons involved.</w:t>
      </w:r>
    </w:p>
    <w:p>
      <w:pPr>
        <w:pStyle w:val="NormalNumberedtext"/>
      </w:pPr>
      <w:r>
        <w:t>Incident data generated under this procedure is an input to the improvement planning process. For requirements governing the use of incident trend data to drive management system improvement, refer to [INSERT: Project Document Number] - Improvement Planning.</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incident types, personnel, and lifecycle phases are governed by this procedure.</w:t>
      </w:r>
    </w:p>
    <w:p>
      <w:pPr>
        <w:pStyle w:val="NormalNumberedtext"/>
      </w:pPr>
      <w:r>
        <w:t>This procedure applies to all incidents, near misses, and hazard events occurring on or arising from project activities during the execution, commissioning, and handover phases. It applies to all Rio Tinto staff, all contractor organisations, subcontractors, visitors, and community members affected by project activities.</w:t>
      </w:r>
    </w:p>
    <w:p>
      <w:pPr>
        <w:pStyle w:val="NormalNumberedtext"/>
      </w:pPr>
      <w:r>
        <w:t>Investigation records generated under this procedure are managed in accordance with [INSERT: Project Document Number] - Document Control and retained in accordance with [INSERT: Project Document Number] - Records Management. Investigation team competency requirements are addressed in [INSERT: Project Document Number] - Training.</w:t>
      </w:r>
    </w:p>
    <w:p>
      <w:pPr>
        <w:pStyle w:val="NormalNumberedtext"/>
      </w:pPr>
    </w:p>
    <w:p>
      <w:pPr>
        <w:pStyle w:val="Heading1Numbered"/>
        <w:numPr>
          <w:ilvl w:val="0"/>
          <w:numId w:val="1"/>
        </w:numPr>
      </w:pPr>
      <w:r>
        <w:rPr>
          <w:rFonts w:ascii="Arial" w:hAnsi="Arial" w:cs="Arial" w:eastAsia="Arial"/>
        </w:rPr>
        <w:t>Incident Classification</w:t>
      </w:r>
    </w:p>
    <w:p>
      <w:pPr>
        <w:pStyle w:val="NormalNumberedtext"/>
      </w:pPr>
      <w:r>
        <w:t>This section defines all project incident categories, the severity assessment method applied to each, and the requirements that ensure classification does not create barriers to reporting.</w:t>
      </w:r>
    </w:p>
    <w:p>
      <w:pPr>
        <w:pStyle w:val="NormalNumberedtext"/>
      </w:pPr>
    </w:p>
    <w:p>
      <w:pPr>
        <w:pStyle w:val="Heading2Numbered"/>
        <w:numPr>
          <w:ilvl w:val="1"/>
          <w:numId w:val="1"/>
        </w:numPr>
      </w:pPr>
      <w:r>
        <w:rPr>
          <w:rFonts w:ascii="Arial" w:hAnsi="Arial" w:cs="Arial" w:eastAsia="Arial"/>
        </w:rPr>
        <w:t>Incident Categories</w:t>
      </w:r>
    </w:p>
    <w:p>
      <w:pPr>
        <w:pStyle w:val="NormalNumberedtext"/>
      </w:pPr>
      <w:r>
        <w:t>All incidents and near misses on this project are classified using the Rio Tinto incident classification matrix defined in this section.</w:t>
      </w:r>
    </w:p>
    <w:p>
      <w:pPr>
        <w:pStyle w:val="NormalNumberedtext"/>
      </w:pPr>
      <w:r>
        <w:t>The HSESC team classifies every incident and near miss reported on this project against the categories defined in Table 1. Classification determines the investigation methodology, notification timeline, and reporting obligations that apply. All categories must be applied consistently across the project to support accurate trend analysis and management system review.</w:t>
      </w:r>
    </w:p>
    <w:p>
      <w:pPr>
        <w:pStyle w:val="NormalNumberedtext"/>
      </w:pPr>
      <w:r>
        <w:t>Table 1: Project Incident Classification Categories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Category</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Definition</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Examples</w:t>
            </w:r>
          </w:p>
        </w:tc>
      </w:tr>
      <w:tr>
        <w:tc>
          <w:tcPr>
            <w:tcW w:type="dxa" w:w="3008"/>
          </w:tcPr>
          <w:p>
            <w:pPr>
              <w:pStyle w:val="TableContents"/>
              <w:spacing w:before="0" w:after="0" w:line="240" w:lineRule="atLeast"/>
            </w:pPr>
            <w:r>
              <w:rPr>
                <w:rFonts w:ascii="Arial" w:hAnsi="Arial" w:cs="Arial" w:eastAsia="Arial"/>
                <w:sz w:val="16"/>
                <w:szCs w:val="16"/>
              </w:rPr>
              <w:t>First Aid Case (FAC)</w:t>
            </w:r>
          </w:p>
        </w:tc>
        <w:tc>
          <w:tcPr>
            <w:tcW w:type="dxa" w:w="3008"/>
          </w:tcPr>
          <w:p>
            <w:pPr>
              <w:pStyle w:val="TableContents"/>
              <w:spacing w:before="0" w:after="0" w:line="240" w:lineRule="atLeast"/>
            </w:pPr>
            <w:r>
              <w:rPr>
                <w:rFonts w:ascii="Arial" w:hAnsi="Arial" w:cs="Arial" w:eastAsia="Arial"/>
                <w:sz w:val="16"/>
                <w:szCs w:val="16"/>
              </w:rPr>
              <w:t>A work-related injury or illness requiring only first aid treatment as defined by the RT standard.</w:t>
            </w:r>
          </w:p>
        </w:tc>
        <w:tc>
          <w:tcPr>
            <w:tcW w:type="dxa" w:w="3010"/>
          </w:tcPr>
          <w:p>
            <w:pPr>
              <w:pStyle w:val="TableContents"/>
              <w:spacing w:before="0" w:after="0" w:line="240" w:lineRule="atLeast"/>
            </w:pPr>
            <w:r>
              <w:rPr>
                <w:rFonts w:ascii="Arial" w:hAnsi="Arial" w:cs="Arial" w:eastAsia="Arial"/>
                <w:sz w:val="16"/>
                <w:szCs w:val="16"/>
              </w:rPr>
              <w:t>Minor laceration treated on-site; superficial burn; eye irrigation.</w:t>
            </w:r>
          </w:p>
        </w:tc>
      </w:tr>
      <w:tr>
        <w:tc>
          <w:tcPr>
            <w:tcW w:type="dxa" w:w="3008"/>
          </w:tcPr>
          <w:p>
            <w:pPr>
              <w:pStyle w:val="TableContents"/>
              <w:spacing w:before="0" w:after="0" w:line="240" w:lineRule="atLeast"/>
            </w:pPr>
            <w:r>
              <w:rPr>
                <w:rFonts w:ascii="Arial" w:hAnsi="Arial" w:cs="Arial" w:eastAsia="Arial"/>
                <w:sz w:val="16"/>
                <w:szCs w:val="16"/>
              </w:rPr>
              <w:t>Near Miss</w:t>
            </w:r>
          </w:p>
        </w:tc>
        <w:tc>
          <w:tcPr>
            <w:tcW w:type="dxa" w:w="3008"/>
          </w:tcPr>
          <w:p>
            <w:pPr>
              <w:pStyle w:val="TableContents"/>
              <w:spacing w:before="0" w:after="0" w:line="240" w:lineRule="atLeast"/>
            </w:pPr>
            <w:r>
              <w:rPr>
                <w:rFonts w:ascii="Arial" w:hAnsi="Arial" w:cs="Arial" w:eastAsia="Arial"/>
                <w:sz w:val="16"/>
                <w:szCs w:val="16"/>
              </w:rPr>
              <w:t>An event that had the potential to cause injury, illness, property damage, or environmental harm but did not.</w:t>
            </w:r>
          </w:p>
        </w:tc>
        <w:tc>
          <w:tcPr>
            <w:tcW w:type="dxa" w:w="3010"/>
          </w:tcPr>
          <w:p>
            <w:pPr>
              <w:pStyle w:val="TableContents"/>
              <w:spacing w:before="0" w:after="0" w:line="240" w:lineRule="atLeast"/>
            </w:pPr>
            <w:r>
              <w:rPr>
                <w:rFonts w:ascii="Arial" w:hAnsi="Arial" w:cs="Arial" w:eastAsia="Arial"/>
                <w:sz w:val="16"/>
                <w:szCs w:val="16"/>
              </w:rPr>
              <w:t>Unsecured load shifted in transit; worker slipped without falling; near-collision of mobile plant.</w:t>
            </w:r>
          </w:p>
        </w:tc>
      </w:tr>
      <w:tr>
        <w:tc>
          <w:tcPr>
            <w:tcW w:type="dxa" w:w="3008"/>
          </w:tcPr>
          <w:p>
            <w:pPr>
              <w:pStyle w:val="TableContents"/>
              <w:spacing w:before="0" w:after="0" w:line="240" w:lineRule="atLeast"/>
            </w:pPr>
            <w:r>
              <w:rPr>
                <w:rFonts w:ascii="Arial" w:hAnsi="Arial" w:cs="Arial" w:eastAsia="Arial"/>
                <w:sz w:val="16"/>
                <w:szCs w:val="16"/>
              </w:rPr>
              <w:t>Medical Treatment Case Injury (MTCI)</w:t>
            </w:r>
          </w:p>
        </w:tc>
        <w:tc>
          <w:tcPr>
            <w:tcW w:type="dxa" w:w="3008"/>
          </w:tcPr>
          <w:p>
            <w:pPr>
              <w:pStyle w:val="TableContents"/>
              <w:spacing w:before="0" w:after="0" w:line="240" w:lineRule="atLeast"/>
            </w:pPr>
            <w:r>
              <w:rPr>
                <w:rFonts w:ascii="Arial" w:hAnsi="Arial" w:cs="Arial" w:eastAsia="Arial"/>
                <w:sz w:val="16"/>
                <w:szCs w:val="16"/>
              </w:rPr>
              <w:t>A work-related injury or illness requiring treatment beyond first aid by a medical professional.</w:t>
            </w:r>
          </w:p>
        </w:tc>
        <w:tc>
          <w:tcPr>
            <w:tcW w:type="dxa" w:w="3010"/>
          </w:tcPr>
          <w:p>
            <w:pPr>
              <w:pStyle w:val="TableContents"/>
              <w:spacing w:before="0" w:after="0" w:line="240" w:lineRule="atLeast"/>
            </w:pPr>
            <w:r>
              <w:rPr>
                <w:rFonts w:ascii="Arial" w:hAnsi="Arial" w:cs="Arial" w:eastAsia="Arial"/>
                <w:sz w:val="16"/>
                <w:szCs w:val="16"/>
              </w:rPr>
              <w:t>Sutures; prescription medication; physiotherapy following workplace injury.</w:t>
            </w:r>
          </w:p>
        </w:tc>
      </w:tr>
      <w:tr>
        <w:tc>
          <w:tcPr>
            <w:tcW w:type="dxa" w:w="3008"/>
          </w:tcPr>
          <w:p>
            <w:pPr>
              <w:pStyle w:val="TableContents"/>
              <w:spacing w:before="0" w:after="0" w:line="240" w:lineRule="atLeast"/>
            </w:pPr>
            <w:r>
              <w:rPr>
                <w:rFonts w:ascii="Arial" w:hAnsi="Arial" w:cs="Arial" w:eastAsia="Arial"/>
                <w:sz w:val="16"/>
                <w:szCs w:val="16"/>
              </w:rPr>
              <w:t>Lost Day Injury (LDI)</w:t>
            </w:r>
          </w:p>
        </w:tc>
        <w:tc>
          <w:tcPr>
            <w:tcW w:type="dxa" w:w="3008"/>
          </w:tcPr>
          <w:p>
            <w:pPr>
              <w:pStyle w:val="TableContents"/>
              <w:spacing w:before="0" w:after="0" w:line="240" w:lineRule="atLeast"/>
            </w:pPr>
            <w:r>
              <w:rPr>
                <w:rFonts w:ascii="Arial" w:hAnsi="Arial" w:cs="Arial" w:eastAsia="Arial"/>
                <w:sz w:val="16"/>
                <w:szCs w:val="16"/>
              </w:rPr>
              <w:t>A work-related injury or illness resulting in the worker being unable to perform any work on the next calendar day.</w:t>
            </w:r>
          </w:p>
        </w:tc>
        <w:tc>
          <w:tcPr>
            <w:tcW w:type="dxa" w:w="3010"/>
          </w:tcPr>
          <w:p>
            <w:pPr>
              <w:pStyle w:val="TableContents"/>
              <w:spacing w:before="0" w:after="0" w:line="240" w:lineRule="atLeast"/>
            </w:pPr>
            <w:r>
              <w:rPr>
                <w:rFonts w:ascii="Arial" w:hAnsi="Arial" w:cs="Arial" w:eastAsia="Arial"/>
                <w:sz w:val="16"/>
                <w:szCs w:val="16"/>
              </w:rPr>
              <w:t>Fracture; soft tissue injury requiring rest from all duties.</w:t>
            </w:r>
          </w:p>
        </w:tc>
      </w:tr>
      <w:tr>
        <w:tc>
          <w:tcPr>
            <w:tcW w:type="dxa" w:w="3008"/>
          </w:tcPr>
          <w:p>
            <w:pPr>
              <w:pStyle w:val="TableContents"/>
              <w:spacing w:before="0" w:after="0" w:line="240" w:lineRule="atLeast"/>
            </w:pPr>
            <w:r>
              <w:rPr>
                <w:rFonts w:ascii="Arial" w:hAnsi="Arial" w:cs="Arial" w:eastAsia="Arial"/>
                <w:sz w:val="16"/>
                <w:szCs w:val="16"/>
              </w:rPr>
              <w:t>Restricted Workday Injury (RWDI)</w:t>
            </w:r>
          </w:p>
        </w:tc>
        <w:tc>
          <w:tcPr>
            <w:tcW w:type="dxa" w:w="3008"/>
          </w:tcPr>
          <w:p>
            <w:pPr>
              <w:pStyle w:val="TableContents"/>
              <w:spacing w:before="0" w:after="0" w:line="240" w:lineRule="atLeast"/>
            </w:pPr>
            <w:r>
              <w:rPr>
                <w:rFonts w:ascii="Arial" w:hAnsi="Arial" w:cs="Arial" w:eastAsia="Arial"/>
                <w:sz w:val="16"/>
                <w:szCs w:val="16"/>
              </w:rPr>
              <w:t>A work-related injury or illness that restricts the worker to modified duties on any day following the incident.</w:t>
            </w:r>
          </w:p>
        </w:tc>
        <w:tc>
          <w:tcPr>
            <w:tcW w:type="dxa" w:w="3010"/>
          </w:tcPr>
          <w:p>
            <w:pPr>
              <w:pStyle w:val="TableContents"/>
              <w:spacing w:before="0" w:after="0" w:line="240" w:lineRule="atLeast"/>
            </w:pPr>
            <w:r>
              <w:rPr>
                <w:rFonts w:ascii="Arial" w:hAnsi="Arial" w:cs="Arial" w:eastAsia="Arial"/>
                <w:sz w:val="16"/>
                <w:szCs w:val="16"/>
              </w:rPr>
              <w:t>Worker placed on light duties following musculoskeletal injury.</w:t>
            </w:r>
          </w:p>
        </w:tc>
      </w:tr>
      <w:tr>
        <w:tc>
          <w:tcPr>
            <w:tcW w:type="dxa" w:w="3008"/>
          </w:tcPr>
          <w:p>
            <w:pPr>
              <w:pStyle w:val="TableContents"/>
              <w:spacing w:before="0" w:after="0" w:line="240" w:lineRule="atLeast"/>
            </w:pPr>
            <w:r>
              <w:rPr>
                <w:rFonts w:ascii="Arial" w:hAnsi="Arial" w:cs="Arial" w:eastAsia="Arial"/>
                <w:sz w:val="16"/>
                <w:szCs w:val="16"/>
              </w:rPr>
              <w:t>Potentially Fatal Incident (PFI)</w:t>
            </w:r>
          </w:p>
        </w:tc>
        <w:tc>
          <w:tcPr>
            <w:tcW w:type="dxa" w:w="3008"/>
          </w:tcPr>
          <w:p>
            <w:pPr>
              <w:pStyle w:val="TableContents"/>
              <w:spacing w:before="0" w:after="0" w:line="240" w:lineRule="atLeast"/>
            </w:pPr>
            <w:r>
              <w:rPr>
                <w:rFonts w:ascii="Arial" w:hAnsi="Arial" w:cs="Arial" w:eastAsia="Arial"/>
                <w:sz w:val="16"/>
                <w:szCs w:val="16"/>
              </w:rPr>
              <w:t>An incident that, under slightly different circumstances, could have resulted in a fatality.</w:t>
            </w:r>
          </w:p>
        </w:tc>
        <w:tc>
          <w:tcPr>
            <w:tcW w:type="dxa" w:w="3010"/>
          </w:tcPr>
          <w:p>
            <w:pPr>
              <w:pStyle w:val="TableContents"/>
              <w:spacing w:before="0" w:after="0" w:line="240" w:lineRule="atLeast"/>
            </w:pPr>
            <w:r>
              <w:rPr>
                <w:rFonts w:ascii="Arial" w:hAnsi="Arial" w:cs="Arial" w:eastAsia="Arial"/>
                <w:sz w:val="16"/>
                <w:szCs w:val="16"/>
              </w:rPr>
              <w:t>Struck-by event involving mobile plant; fall from height with minor injury outcome.</w:t>
            </w:r>
          </w:p>
        </w:tc>
      </w:tr>
      <w:tr>
        <w:tc>
          <w:tcPr>
            <w:tcW w:type="dxa" w:w="3008"/>
          </w:tcPr>
          <w:p>
            <w:pPr>
              <w:pStyle w:val="TableContents"/>
              <w:spacing w:before="0" w:after="0" w:line="240" w:lineRule="atLeast"/>
            </w:pPr>
            <w:r>
              <w:rPr>
                <w:rFonts w:ascii="Arial" w:hAnsi="Arial" w:cs="Arial" w:eastAsia="Arial"/>
                <w:sz w:val="16"/>
                <w:szCs w:val="16"/>
              </w:rPr>
              <w:t>Significant Potential Incident (SPI)</w:t>
            </w:r>
          </w:p>
        </w:tc>
        <w:tc>
          <w:tcPr>
            <w:tcW w:type="dxa" w:w="3008"/>
          </w:tcPr>
          <w:p>
            <w:pPr>
              <w:pStyle w:val="TableContents"/>
              <w:spacing w:before="0" w:after="0" w:line="240" w:lineRule="atLeast"/>
            </w:pPr>
            <w:r>
              <w:rPr>
                <w:rFonts w:ascii="Arial" w:hAnsi="Arial" w:cs="Arial" w:eastAsia="Arial"/>
                <w:sz w:val="16"/>
                <w:szCs w:val="16"/>
              </w:rPr>
              <w:t>An incident with potential for serious injury or significant consequence, assessed against the RT 5x5 MRO criteria.</w:t>
            </w:r>
          </w:p>
        </w:tc>
        <w:tc>
          <w:tcPr>
            <w:tcW w:type="dxa" w:w="3010"/>
          </w:tcPr>
          <w:p>
            <w:pPr>
              <w:pStyle w:val="TableContents"/>
              <w:spacing w:before="0" w:after="0" w:line="240" w:lineRule="atLeast"/>
            </w:pPr>
            <w:r>
              <w:rPr>
                <w:rFonts w:ascii="Arial" w:hAnsi="Arial" w:cs="Arial" w:eastAsia="Arial"/>
                <w:sz w:val="16"/>
                <w:szCs w:val="16"/>
              </w:rPr>
              <w:t>Refer MRO assessment requirements in Section 2.2.</w:t>
            </w:r>
          </w:p>
        </w:tc>
      </w:tr>
      <w:tr>
        <w:tc>
          <w:tcPr>
            <w:tcW w:type="dxa" w:w="3008"/>
          </w:tcPr>
          <w:p>
            <w:pPr>
              <w:pStyle w:val="TableContents"/>
              <w:spacing w:before="0" w:after="0" w:line="240" w:lineRule="atLeast"/>
            </w:pPr>
            <w:r>
              <w:rPr>
                <w:rFonts w:ascii="Arial" w:hAnsi="Arial" w:cs="Arial" w:eastAsia="Arial"/>
                <w:sz w:val="16"/>
                <w:szCs w:val="16"/>
              </w:rPr>
              <w:t>Fatality</w:t>
            </w:r>
          </w:p>
        </w:tc>
        <w:tc>
          <w:tcPr>
            <w:tcW w:type="dxa" w:w="3008"/>
          </w:tcPr>
          <w:p>
            <w:pPr>
              <w:pStyle w:val="TableContents"/>
              <w:spacing w:before="0" w:after="0" w:line="240" w:lineRule="atLeast"/>
            </w:pPr>
            <w:r>
              <w:rPr>
                <w:rFonts w:ascii="Arial" w:hAnsi="Arial" w:cs="Arial" w:eastAsia="Arial"/>
                <w:sz w:val="16"/>
                <w:szCs w:val="16"/>
              </w:rPr>
              <w:t>A work-related death of any project-affiliated person.</w:t>
            </w:r>
          </w:p>
        </w:tc>
        <w:tc>
          <w:tcPr>
            <w:tcW w:type="dxa" w:w="3010"/>
          </w:tcPr>
          <w:p>
            <w:pPr>
              <w:pStyle w:val="TableContents"/>
              <w:spacing w:before="0" w:after="0" w:line="240" w:lineRule="atLeast"/>
            </w:pPr>
            <w:r>
              <w:rPr>
                <w:rFonts w:ascii="Arial" w:hAnsi="Arial" w:cs="Arial" w:eastAsia="Arial"/>
                <w:sz w:val="16"/>
                <w:szCs w:val="16"/>
              </w:rPr>
              <w:t>Death of worker, contractor, visitor, or community member arising from project activities.</w:t>
            </w:r>
          </w:p>
        </w:tc>
      </w:tr>
      <w:tr>
        <w:tc>
          <w:tcPr>
            <w:tcW w:type="dxa" w:w="3008"/>
          </w:tcPr>
          <w:p>
            <w:pPr>
              <w:pStyle w:val="TableContents"/>
              <w:spacing w:before="0" w:after="0" w:line="240" w:lineRule="atLeast"/>
            </w:pPr>
            <w:r>
              <w:rPr>
                <w:rFonts w:ascii="Arial" w:hAnsi="Arial" w:cs="Arial" w:eastAsia="Arial"/>
                <w:sz w:val="16"/>
                <w:szCs w:val="16"/>
              </w:rPr>
              <w:t>Property Damage</w:t>
            </w:r>
          </w:p>
        </w:tc>
        <w:tc>
          <w:tcPr>
            <w:tcW w:type="dxa" w:w="3008"/>
          </w:tcPr>
          <w:p>
            <w:pPr>
              <w:pStyle w:val="TableContents"/>
              <w:spacing w:before="0" w:after="0" w:line="240" w:lineRule="atLeast"/>
            </w:pPr>
            <w:r>
              <w:rPr>
                <w:rFonts w:ascii="Arial" w:hAnsi="Arial" w:cs="Arial" w:eastAsia="Arial"/>
                <w:sz w:val="16"/>
                <w:szCs w:val="16"/>
              </w:rPr>
              <w:t>Damage to plant, equipment, structures, or materials arising from a project-related event.</w:t>
            </w:r>
          </w:p>
        </w:tc>
        <w:tc>
          <w:tcPr>
            <w:tcW w:type="dxa" w:w="3010"/>
          </w:tcPr>
          <w:p>
            <w:pPr>
              <w:pStyle w:val="TableContents"/>
              <w:spacing w:before="0" w:after="0" w:line="240" w:lineRule="atLeast"/>
            </w:pPr>
            <w:r>
              <w:rPr>
                <w:rFonts w:ascii="Arial" w:hAnsi="Arial" w:cs="Arial" w:eastAsia="Arial"/>
                <w:sz w:val="16"/>
                <w:szCs w:val="16"/>
              </w:rPr>
              <w:t>Crane collision with structure; mobile plant rollover without injury.</w:t>
            </w:r>
          </w:p>
        </w:tc>
      </w:tr>
      <w:tr>
        <w:tc>
          <w:tcPr>
            <w:tcW w:type="dxa" w:w="3008"/>
          </w:tcPr>
          <w:p>
            <w:pPr>
              <w:pStyle w:val="TableContents"/>
              <w:spacing w:before="0" w:after="0" w:line="240" w:lineRule="atLeast"/>
            </w:pPr>
            <w:r>
              <w:rPr>
                <w:rFonts w:ascii="Arial" w:hAnsi="Arial" w:cs="Arial" w:eastAsia="Arial"/>
                <w:sz w:val="16"/>
                <w:szCs w:val="16"/>
              </w:rPr>
              <w:t>Vehicle Incident</w:t>
            </w:r>
          </w:p>
        </w:tc>
        <w:tc>
          <w:tcPr>
            <w:tcW w:type="dxa" w:w="3008"/>
          </w:tcPr>
          <w:p>
            <w:pPr>
              <w:pStyle w:val="TableContents"/>
              <w:spacing w:before="0" w:after="0" w:line="240" w:lineRule="atLeast"/>
            </w:pPr>
            <w:r>
              <w:rPr>
                <w:rFonts w:ascii="Arial" w:hAnsi="Arial" w:cs="Arial" w:eastAsia="Arial"/>
                <w:sz w:val="16"/>
                <w:szCs w:val="16"/>
              </w:rPr>
              <w:t>Any incident involving a project-affiliated vehicle, including collisions, rollovers, and near misses.</w:t>
            </w:r>
          </w:p>
        </w:tc>
        <w:tc>
          <w:tcPr>
            <w:tcW w:type="dxa" w:w="3010"/>
          </w:tcPr>
          <w:p>
            <w:pPr>
              <w:pStyle w:val="TableContents"/>
              <w:spacing w:before="0" w:after="0" w:line="240" w:lineRule="atLeast"/>
            </w:pPr>
            <w:r>
              <w:rPr>
                <w:rFonts w:ascii="Arial" w:hAnsi="Arial" w:cs="Arial" w:eastAsia="Arial"/>
                <w:sz w:val="16"/>
                <w:szCs w:val="16"/>
              </w:rPr>
              <w:t>Light vehicle collision; heavy vehicle near miss at site access.</w:t>
            </w:r>
          </w:p>
        </w:tc>
      </w:tr>
      <w:tr>
        <w:tc>
          <w:tcPr>
            <w:tcW w:type="dxa" w:w="3008"/>
          </w:tcPr>
          <w:p>
            <w:pPr>
              <w:pStyle w:val="TableContents"/>
              <w:spacing w:before="0" w:after="0" w:line="240" w:lineRule="atLeast"/>
            </w:pPr>
            <w:r>
              <w:rPr>
                <w:rFonts w:ascii="Arial" w:hAnsi="Arial" w:cs="Arial" w:eastAsia="Arial"/>
                <w:sz w:val="16"/>
                <w:szCs w:val="16"/>
              </w:rPr>
              <w:t>Process Safety Incident</w:t>
            </w:r>
          </w:p>
        </w:tc>
        <w:tc>
          <w:tcPr>
            <w:tcW w:type="dxa" w:w="3008"/>
          </w:tcPr>
          <w:p>
            <w:pPr>
              <w:pStyle w:val="TableContents"/>
              <w:spacing w:before="0" w:after="0" w:line="240" w:lineRule="atLeast"/>
            </w:pPr>
            <w:r>
              <w:rPr>
                <w:rFonts w:ascii="Arial" w:hAnsi="Arial" w:cs="Arial" w:eastAsia="Arial"/>
                <w:sz w:val="16"/>
                <w:szCs w:val="16"/>
              </w:rPr>
              <w:t>An unplanned or uncontrolled release of hazardous material or energy from a process.</w:t>
            </w:r>
          </w:p>
        </w:tc>
        <w:tc>
          <w:tcPr>
            <w:tcW w:type="dxa" w:w="3010"/>
          </w:tcPr>
          <w:p>
            <w:pPr>
              <w:pStyle w:val="TableContents"/>
              <w:spacing w:before="0" w:after="0" w:line="240" w:lineRule="atLeast"/>
            </w:pPr>
            <w:r>
              <w:rPr>
                <w:rFonts w:ascii="Arial" w:hAnsi="Arial" w:cs="Arial" w:eastAsia="Arial"/>
                <w:sz w:val="16"/>
                <w:szCs w:val="16"/>
              </w:rPr>
              <w:t>Pressure vessel failure; uncontrolled hydrocarbon release.</w:t>
            </w:r>
          </w:p>
        </w:tc>
      </w:tr>
      <w:tr>
        <w:tc>
          <w:tcPr>
            <w:tcW w:type="dxa" w:w="3008"/>
          </w:tcPr>
          <w:p>
            <w:pPr>
              <w:pStyle w:val="TableContents"/>
              <w:spacing w:before="0" w:after="0" w:line="240" w:lineRule="atLeast"/>
            </w:pPr>
            <w:r>
              <w:rPr>
                <w:rFonts w:ascii="Arial" w:hAnsi="Arial" w:cs="Arial" w:eastAsia="Arial"/>
                <w:sz w:val="16"/>
                <w:szCs w:val="16"/>
              </w:rPr>
              <w:t>Environmental - Low</w:t>
            </w:r>
          </w:p>
        </w:tc>
        <w:tc>
          <w:tcPr>
            <w:tcW w:type="dxa" w:w="3008"/>
          </w:tcPr>
          <w:p>
            <w:pPr>
              <w:pStyle w:val="TableContents"/>
              <w:spacing w:before="0" w:after="0" w:line="240" w:lineRule="atLeast"/>
            </w:pPr>
            <w:r>
              <w:rPr>
                <w:rFonts w:ascii="Arial" w:hAnsi="Arial" w:cs="Arial" w:eastAsia="Arial"/>
                <w:sz w:val="16"/>
                <w:szCs w:val="16"/>
              </w:rPr>
              <w:t>An incident with minor environmental consequence, managed within the immediate work area.</w:t>
            </w:r>
          </w:p>
        </w:tc>
        <w:tc>
          <w:tcPr>
            <w:tcW w:type="dxa" w:w="3010"/>
          </w:tcPr>
          <w:p>
            <w:pPr>
              <w:pStyle w:val="TableContents"/>
              <w:spacing w:before="0" w:after="0" w:line="240" w:lineRule="atLeast"/>
            </w:pPr>
            <w:r>
              <w:rPr>
                <w:rFonts w:ascii="Arial" w:hAnsi="Arial" w:cs="Arial" w:eastAsia="Arial"/>
                <w:sz w:val="16"/>
                <w:szCs w:val="16"/>
              </w:rPr>
              <w:t>Small hydrocarbon spill contained on hardstand; minor vegetation disturbance.</w:t>
            </w:r>
          </w:p>
        </w:tc>
      </w:tr>
      <w:tr>
        <w:tc>
          <w:tcPr>
            <w:tcW w:type="dxa" w:w="3008"/>
          </w:tcPr>
          <w:p>
            <w:pPr>
              <w:pStyle w:val="TableContents"/>
              <w:spacing w:before="0" w:after="0" w:line="240" w:lineRule="atLeast"/>
            </w:pPr>
            <w:r>
              <w:rPr>
                <w:rFonts w:ascii="Arial" w:hAnsi="Arial" w:cs="Arial" w:eastAsia="Arial"/>
                <w:sz w:val="16"/>
                <w:szCs w:val="16"/>
              </w:rPr>
              <w:t>Environmental - Medium</w:t>
            </w:r>
          </w:p>
        </w:tc>
        <w:tc>
          <w:tcPr>
            <w:tcW w:type="dxa" w:w="3008"/>
          </w:tcPr>
          <w:p>
            <w:pPr>
              <w:pStyle w:val="TableContents"/>
              <w:spacing w:before="0" w:after="0" w:line="240" w:lineRule="atLeast"/>
            </w:pPr>
            <w:r>
              <w:rPr>
                <w:rFonts w:ascii="Arial" w:hAnsi="Arial" w:cs="Arial" w:eastAsia="Arial"/>
                <w:sz w:val="16"/>
                <w:szCs w:val="16"/>
              </w:rPr>
              <w:t>An incident with moderate environmental consequence extending beyond the immediate work area.</w:t>
            </w:r>
          </w:p>
        </w:tc>
        <w:tc>
          <w:tcPr>
            <w:tcW w:type="dxa" w:w="3010"/>
          </w:tcPr>
          <w:p>
            <w:pPr>
              <w:pStyle w:val="TableContents"/>
              <w:spacing w:before="0" w:after="0" w:line="240" w:lineRule="atLeast"/>
            </w:pPr>
            <w:r>
              <w:rPr>
                <w:rFonts w:ascii="Arial" w:hAnsi="Arial" w:cs="Arial" w:eastAsia="Arial"/>
                <w:sz w:val="16"/>
                <w:szCs w:val="16"/>
              </w:rPr>
              <w:t>Hydrocarbon spill reaching drainage channel; sediment release into waterway.</w:t>
            </w:r>
          </w:p>
        </w:tc>
      </w:tr>
      <w:tr>
        <w:tc>
          <w:tcPr>
            <w:tcW w:type="dxa" w:w="3008"/>
          </w:tcPr>
          <w:p>
            <w:pPr>
              <w:pStyle w:val="TableContents"/>
              <w:spacing w:before="0" w:after="0" w:line="240" w:lineRule="atLeast"/>
            </w:pPr>
            <w:r>
              <w:rPr>
                <w:rFonts w:ascii="Arial" w:hAnsi="Arial" w:cs="Arial" w:eastAsia="Arial"/>
                <w:sz w:val="16"/>
                <w:szCs w:val="16"/>
              </w:rPr>
              <w:t>Environmental - Significant</w:t>
            </w:r>
          </w:p>
        </w:tc>
        <w:tc>
          <w:tcPr>
            <w:tcW w:type="dxa" w:w="3008"/>
          </w:tcPr>
          <w:p>
            <w:pPr>
              <w:pStyle w:val="TableContents"/>
              <w:spacing w:before="0" w:after="0" w:line="240" w:lineRule="atLeast"/>
            </w:pPr>
            <w:r>
              <w:rPr>
                <w:rFonts w:ascii="Arial" w:hAnsi="Arial" w:cs="Arial" w:eastAsia="Arial"/>
                <w:sz w:val="16"/>
                <w:szCs w:val="16"/>
              </w:rPr>
              <w:t>An incident with significant environmental consequence requiring regulatory notification.</w:t>
            </w:r>
          </w:p>
        </w:tc>
        <w:tc>
          <w:tcPr>
            <w:tcW w:type="dxa" w:w="3010"/>
          </w:tcPr>
          <w:p>
            <w:pPr>
              <w:pStyle w:val="TableContents"/>
              <w:spacing w:before="0" w:after="0" w:line="240" w:lineRule="atLeast"/>
            </w:pPr>
            <w:r>
              <w:rPr>
                <w:rFonts w:ascii="Arial" w:hAnsi="Arial" w:cs="Arial" w:eastAsia="Arial"/>
                <w:sz w:val="16"/>
                <w:szCs w:val="16"/>
              </w:rPr>
              <w:t>Reportable spill to waterway; damage to listed vegetation community.</w:t>
            </w:r>
          </w:p>
        </w:tc>
      </w:tr>
      <w:tr>
        <w:tc>
          <w:tcPr>
            <w:tcW w:type="dxa" w:w="3008"/>
          </w:tcPr>
          <w:p>
            <w:pPr>
              <w:pStyle w:val="TableContents"/>
              <w:spacing w:before="0" w:after="0" w:line="240" w:lineRule="atLeast"/>
            </w:pPr>
            <w:r>
              <w:rPr>
                <w:rFonts w:ascii="Arial" w:hAnsi="Arial" w:cs="Arial" w:eastAsia="Arial"/>
                <w:sz w:val="16"/>
                <w:szCs w:val="16"/>
              </w:rPr>
              <w:t>Environmental - High</w:t>
            </w:r>
          </w:p>
        </w:tc>
        <w:tc>
          <w:tcPr>
            <w:tcW w:type="dxa" w:w="3008"/>
          </w:tcPr>
          <w:p>
            <w:pPr>
              <w:pStyle w:val="TableContents"/>
              <w:spacing w:before="0" w:after="0" w:line="240" w:lineRule="atLeast"/>
            </w:pPr>
            <w:r>
              <w:rPr>
                <w:rFonts w:ascii="Arial" w:hAnsi="Arial" w:cs="Arial" w:eastAsia="Arial"/>
                <w:sz w:val="16"/>
                <w:szCs w:val="16"/>
              </w:rPr>
              <w:t>An incident with major or irreversible environmental consequence.</w:t>
            </w:r>
          </w:p>
        </w:tc>
        <w:tc>
          <w:tcPr>
            <w:tcW w:type="dxa" w:w="3010"/>
          </w:tcPr>
          <w:p>
            <w:pPr>
              <w:pStyle w:val="TableContents"/>
              <w:spacing w:before="0" w:after="0" w:line="240" w:lineRule="atLeast"/>
            </w:pPr>
            <w:r>
              <w:rPr>
                <w:rFonts w:ascii="Arial" w:hAnsi="Arial" w:cs="Arial" w:eastAsia="Arial"/>
                <w:sz w:val="16"/>
                <w:szCs w:val="16"/>
              </w:rPr>
              <w:t>Large-scale contamination event; fatality of listed species.</w:t>
            </w:r>
          </w:p>
        </w:tc>
      </w:tr>
      <w:tr>
        <w:tc>
          <w:tcPr>
            <w:tcW w:type="dxa" w:w="3008"/>
          </w:tcPr>
          <w:p>
            <w:pPr>
              <w:pStyle w:val="TableContents"/>
              <w:spacing w:before="0" w:after="0" w:line="240" w:lineRule="atLeast"/>
            </w:pPr>
            <w:r>
              <w:rPr>
                <w:rFonts w:ascii="Arial" w:hAnsi="Arial" w:cs="Arial" w:eastAsia="Arial"/>
                <w:sz w:val="16"/>
                <w:szCs w:val="16"/>
              </w:rPr>
              <w:t>Community - Low</w:t>
            </w:r>
          </w:p>
        </w:tc>
        <w:tc>
          <w:tcPr>
            <w:tcW w:type="dxa" w:w="3008"/>
          </w:tcPr>
          <w:p>
            <w:pPr>
              <w:pStyle w:val="TableContents"/>
              <w:spacing w:before="0" w:after="0" w:line="240" w:lineRule="atLeast"/>
            </w:pPr>
            <w:r>
              <w:rPr>
                <w:rFonts w:ascii="Arial" w:hAnsi="Arial" w:cs="Arial" w:eastAsia="Arial"/>
                <w:sz w:val="16"/>
                <w:szCs w:val="16"/>
              </w:rPr>
              <w:t>An incident with minor impact on community members, assets, or relationships.</w:t>
            </w:r>
          </w:p>
        </w:tc>
        <w:tc>
          <w:tcPr>
            <w:tcW w:type="dxa" w:w="3010"/>
          </w:tcPr>
          <w:p>
            <w:pPr>
              <w:pStyle w:val="TableContents"/>
              <w:spacing w:before="0" w:after="0" w:line="240" w:lineRule="atLeast"/>
            </w:pPr>
            <w:r>
              <w:rPr>
                <w:rFonts w:ascii="Arial" w:hAnsi="Arial" w:cs="Arial" w:eastAsia="Arial"/>
                <w:sz w:val="16"/>
                <w:szCs w:val="16"/>
              </w:rPr>
              <w:t>Isolated complaint; minor dust event affecting a single property.</w:t>
            </w:r>
          </w:p>
        </w:tc>
      </w:tr>
      <w:tr>
        <w:tc>
          <w:tcPr>
            <w:tcW w:type="dxa" w:w="3008"/>
          </w:tcPr>
          <w:p>
            <w:pPr>
              <w:pStyle w:val="TableContents"/>
              <w:spacing w:before="0" w:after="0" w:line="240" w:lineRule="atLeast"/>
            </w:pPr>
            <w:r>
              <w:rPr>
                <w:rFonts w:ascii="Arial" w:hAnsi="Arial" w:cs="Arial" w:eastAsia="Arial"/>
                <w:sz w:val="16"/>
                <w:szCs w:val="16"/>
              </w:rPr>
              <w:t>Community - Medium</w:t>
            </w:r>
          </w:p>
        </w:tc>
        <w:tc>
          <w:tcPr>
            <w:tcW w:type="dxa" w:w="3008"/>
          </w:tcPr>
          <w:p>
            <w:pPr>
              <w:pStyle w:val="TableContents"/>
              <w:spacing w:before="0" w:after="0" w:line="240" w:lineRule="atLeast"/>
            </w:pPr>
            <w:r>
              <w:rPr>
                <w:rFonts w:ascii="Arial" w:hAnsi="Arial" w:cs="Arial" w:eastAsia="Arial"/>
                <w:sz w:val="16"/>
                <w:szCs w:val="16"/>
              </w:rPr>
              <w:t>An incident with moderate impact requiring active community engagement and management.</w:t>
            </w:r>
          </w:p>
        </w:tc>
        <w:tc>
          <w:tcPr>
            <w:tcW w:type="dxa" w:w="3010"/>
          </w:tcPr>
          <w:p>
            <w:pPr>
              <w:pStyle w:val="TableContents"/>
              <w:spacing w:before="0" w:after="0" w:line="240" w:lineRule="atLeast"/>
            </w:pPr>
            <w:r>
              <w:rPr>
                <w:rFonts w:ascii="Arial" w:hAnsi="Arial" w:cs="Arial" w:eastAsia="Arial"/>
                <w:sz w:val="16"/>
                <w:szCs w:val="16"/>
              </w:rPr>
              <w:t>Noise event generating multiple complaints; minor traffic disruption.</w:t>
            </w:r>
          </w:p>
        </w:tc>
      </w:tr>
      <w:tr>
        <w:tc>
          <w:tcPr>
            <w:tcW w:type="dxa" w:w="3008"/>
          </w:tcPr>
          <w:p>
            <w:pPr>
              <w:pStyle w:val="TableContents"/>
              <w:spacing w:before="0" w:after="0" w:line="240" w:lineRule="atLeast"/>
            </w:pPr>
            <w:r>
              <w:rPr>
                <w:rFonts w:ascii="Arial" w:hAnsi="Arial" w:cs="Arial" w:eastAsia="Arial"/>
                <w:sz w:val="16"/>
                <w:szCs w:val="16"/>
              </w:rPr>
              <w:t>Community - High</w:t>
            </w:r>
          </w:p>
        </w:tc>
        <w:tc>
          <w:tcPr>
            <w:tcW w:type="dxa" w:w="3008"/>
          </w:tcPr>
          <w:p>
            <w:pPr>
              <w:pStyle w:val="TableContents"/>
              <w:spacing w:before="0" w:after="0" w:line="240" w:lineRule="atLeast"/>
            </w:pPr>
            <w:r>
              <w:rPr>
                <w:rFonts w:ascii="Arial" w:hAnsi="Arial" w:cs="Arial" w:eastAsia="Arial"/>
                <w:sz w:val="16"/>
                <w:szCs w:val="16"/>
              </w:rPr>
              <w:t>An incident with significant impact on community health, safety, or trust.</w:t>
            </w:r>
          </w:p>
        </w:tc>
        <w:tc>
          <w:tcPr>
            <w:tcW w:type="dxa" w:w="3010"/>
          </w:tcPr>
          <w:p>
            <w:pPr>
              <w:pStyle w:val="TableContents"/>
              <w:spacing w:before="0" w:after="0" w:line="240" w:lineRule="atLeast"/>
            </w:pPr>
            <w:r>
              <w:rPr>
                <w:rFonts w:ascii="Arial" w:hAnsi="Arial" w:cs="Arial" w:eastAsia="Arial"/>
                <w:sz w:val="16"/>
                <w:szCs w:val="16"/>
              </w:rPr>
              <w:t>Community member fatality or serious injury; significant infrastructure damage.</w:t>
            </w:r>
          </w:p>
        </w:tc>
      </w:tr>
      <w:tr>
        <w:tc>
          <w:tcPr>
            <w:tcW w:type="dxa" w:w="3008"/>
          </w:tcPr>
          <w:p>
            <w:pPr>
              <w:pStyle w:val="TableContents"/>
              <w:spacing w:before="0" w:after="0" w:line="240" w:lineRule="atLeast"/>
            </w:pPr>
            <w:r>
              <w:rPr>
                <w:rFonts w:ascii="Arial" w:hAnsi="Arial" w:cs="Arial" w:eastAsia="Arial"/>
                <w:sz w:val="16"/>
                <w:szCs w:val="16"/>
              </w:rPr>
              <w:t>Security Event</w:t>
            </w:r>
          </w:p>
        </w:tc>
        <w:tc>
          <w:tcPr>
            <w:tcW w:type="dxa" w:w="3008"/>
          </w:tcPr>
          <w:p>
            <w:pPr>
              <w:pStyle w:val="TableContents"/>
              <w:spacing w:before="0" w:after="0" w:line="240" w:lineRule="atLeast"/>
            </w:pPr>
            <w:r>
              <w:rPr>
                <w:rFonts w:ascii="Arial" w:hAnsi="Arial" w:cs="Arial" w:eastAsia="Arial"/>
                <w:sz w:val="16"/>
                <w:szCs w:val="16"/>
              </w:rPr>
              <w:t>An incident involving a security threat, breach, or escalation affecting project personnel or assets.</w:t>
            </w:r>
          </w:p>
        </w:tc>
        <w:tc>
          <w:tcPr>
            <w:tcW w:type="dxa" w:w="3010"/>
          </w:tcPr>
          <w:p>
            <w:pPr>
              <w:pStyle w:val="TableContents"/>
              <w:spacing w:before="0" w:after="0" w:line="240" w:lineRule="atLeast"/>
            </w:pPr>
            <w:r>
              <w:rPr>
                <w:rFonts w:ascii="Arial" w:hAnsi="Arial" w:cs="Arial" w:eastAsia="Arial"/>
                <w:sz w:val="16"/>
                <w:szCs w:val="16"/>
              </w:rPr>
              <w:t>Unauthorised site access; theft of equipment; threat to personnel.</w:t>
            </w:r>
          </w:p>
        </w:tc>
      </w:tr>
    </w:tbl>
    <w:p>
      <w:pPr>
        <w:pStyle w:val="NormalNumberedtext"/>
      </w:pPr>
    </w:p>
    <w:p>
      <w:pPr>
        <w:pStyle w:val="Heading2Numbered"/>
        <w:numPr>
          <w:ilvl w:val="1"/>
          <w:numId w:val="1"/>
        </w:numPr>
      </w:pPr>
      <w:r>
        <w:rPr>
          <w:rFonts w:ascii="Arial" w:hAnsi="Arial" w:cs="Arial" w:eastAsia="Arial"/>
        </w:rPr>
        <w:t>Severity Assessment - Actual Outcome and Maximum Reasonable Outcome</w:t>
      </w:r>
    </w:p>
    <w:p>
      <w:pPr>
        <w:pStyle w:val="NormalNumberedtext"/>
      </w:pPr>
      <w:r>
        <w:t>Every incident is assessed for both actual severity and Maximum Reasonable Outcome severity to determine investigation and reporting obligations.</w:t>
      </w:r>
    </w:p>
    <w:p>
      <w:pPr>
        <w:pStyle w:val="NormalNumberedtext"/>
      </w:pPr>
      <w:r>
        <w:t>The HSESC Manager ensures that every incident reported on this project is assessed for both its actual outcome and its Maximum Reasonable Outcome (MRO) severity. Both assessments use the RT 5x5 Risk Matrix. The methodology for applying the 5x5 matrix is defined in [INSERT: Project Document Number] - Risk Management and is not reproduced in this procedure.</w:t>
      </w:r>
    </w:p>
    <w:p>
      <w:pPr>
        <w:pStyle w:val="NormalNumberedtext"/>
      </w:pPr>
      <w:r>
        <w:t>The MRO assessment determines the most severe credible outcome that could have resulted from the same event under slightly different circumstances. Where the MRO severity rating results in a higher classification than the actual outcome, the higher classification governs investigation and notification requirements.</w:t>
      </w:r>
    </w:p>
    <w:p>
      <w:pPr>
        <w:pStyle w:val="NormalNumberedtext"/>
      </w:pPr>
      <w:r>
        <w:t>Dropped object events and near misses involving falling objects are classified using the DROPS Online Calculator before the MRO assessment is finalised. The DROPS classification is recorded in the incident report alongside the actual and MRO severity ratings.</w:t>
      </w:r>
    </w:p>
    <w:p>
      <w:pPr>
        <w:pStyle w:val="NormalNumberedtext"/>
      </w:pPr>
      <w:r>
        <w:t>The incident classification system is applied without creating incentives that discourage reporting of minor injuries or near misses. First Aid Cases and near misses are classified and investigated to the same procedural standard as more severe events, and no disciplinary action is taken solely because a worker reported an incident or near miss. This requirement reflects the obligations under IFC PS2 to document and report occupational injuries and illnesses consistently.</w:t>
      </w:r>
    </w:p>
    <w:p>
      <w:pPr>
        <w:pStyle w:val="NormalNumberedtext"/>
      </w:pPr>
    </w:p>
    <w:p>
      <w:pPr>
        <w:pStyle w:val="Heading1Numbered"/>
        <w:numPr>
          <w:ilvl w:val="0"/>
          <w:numId w:val="1"/>
        </w:numPr>
      </w:pPr>
      <w:r>
        <w:rPr>
          <w:rFonts w:ascii="Arial" w:hAnsi="Arial" w:cs="Arial" w:eastAsia="Arial"/>
        </w:rPr>
        <w:t>Incident Notification Timelines</w:t>
      </w:r>
    </w:p>
    <w:p>
      <w:pPr>
        <w:pStyle w:val="NormalNumberedtext"/>
      </w:pPr>
      <w:r>
        <w:t>This section defines who must be notified of an incident, within what timeframe, through which channel, and what information must be provided at each stage.</w:t>
      </w:r>
    </w:p>
    <w:p>
      <w:pPr>
        <w:pStyle w:val="NormalNumberedtext"/>
      </w:pPr>
    </w:p>
    <w:p>
      <w:pPr>
        <w:pStyle w:val="Heading2Numbered"/>
        <w:numPr>
          <w:ilvl w:val="1"/>
          <w:numId w:val="1"/>
        </w:numPr>
      </w:pPr>
      <w:r>
        <w:rPr>
          <w:rFonts w:ascii="Arial" w:hAnsi="Arial" w:cs="Arial" w:eastAsia="Arial"/>
        </w:rPr>
        <w:t>One-Hour Verbal Notification</w:t>
      </w:r>
    </w:p>
    <w:p>
      <w:pPr>
        <w:pStyle w:val="NormalNumberedtext"/>
      </w:pPr>
      <w:r>
        <w:t>A verbal notification to the project owner is required within one hour of all reportable incidents.</w:t>
      </w:r>
    </w:p>
    <w:p>
      <w:pPr>
        <w:pStyle w:val="NormalNumberedtext"/>
      </w:pPr>
      <w:r>
        <w:t>The site supervisor or HSESC representative initiates a verbal notification to the project owner within one hour of becoming aware of any incident in the following categories:</w:t>
      </w:r>
    </w:p>
    <w:p>
      <w:pPr>
        <w:pStyle w:val="NormalNumberedtext"/>
      </w:pPr>
      <w:r>
        <w:t>One-hour verbal notification applies to:</w:t>
      </w:r>
    </w:p>
    <w:p>
      <w:pPr>
        <w:pStyle w:val="NumberedBulletL1"/>
      </w:pPr>
      <w:r>
        <w:t>All work-related injuries, regardless of severity classification.</w:t>
      </w:r>
    </w:p>
    <w:p>
      <w:pPr>
        <w:pStyle w:val="NumberedBulletL1"/>
      </w:pPr>
      <w:r>
        <w:t>Any significant injuries or fatalities involving community members.</w:t>
      </w:r>
    </w:p>
    <w:p>
      <w:pPr>
        <w:pStyle w:val="NumberedBulletL1"/>
      </w:pPr>
      <w:r>
        <w:t>Any project-related incident affecting community safety, health, or trust.</w:t>
      </w:r>
    </w:p>
    <w:p>
      <w:pPr>
        <w:pStyle w:val="NumberedBulletL1"/>
      </w:pPr>
      <w:r>
        <w:t>Any incident classified as PFI, SPI, Fatality, Environmental - Significant or High, Community - High, or Process Safety Incident.</w:t>
      </w:r>
    </w:p>
    <w:p>
      <w:pPr>
        <w:pStyle w:val="NumberedBulletL1"/>
      </w:pPr>
      <w:r>
        <w:t>Any incident where the MRO assessment results in a higher classification than the actual outcome and that higher classification falls within the categories listed above.</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CRITICAL - Insert the project-specific incident notification contact list before mobilisation. The list must identify: the role and name of the person who receives the one-hour verbal notification for each incident type; the backup contact where the primary contact is unavailable; and the method of contact (phone number or radio channel). This information is project-specific and cannot be pre-populated in this template.</w:t>
            </w:r>
          </w:p>
        </w:tc>
      </w:tr>
    </w:tbl>
    <w:p>
      <w:pPr>
        <w:pStyle w:val="NormalNumberedtext"/>
      </w:pPr>
    </w:p>
    <w:p>
      <w:pPr>
        <w:pStyle w:val="NormalNumberedtext"/>
      </w:pPr>
      <w:r>
        <w:rPr>
          <w:b/>
          <w:bCs/>
          <w:color w:val="0059D1"/>
        </w:rPr>
        <w:t>[INSERT: verbal_notification_contact_list] — Insert the project-specific verbal notification contact list, listing recipient role, name, contact number, and incident types they receive notification for. This must be confirmed before mobilisation.</w:t>
      </w:r>
    </w:p>
    <w:p>
      <w:pPr>
        <w:pStyle w:val="NormalNumberedtext"/>
      </w:pPr>
    </w:p>
    <w:p>
      <w:pPr>
        <w:pStyle w:val="Heading2Numbered"/>
        <w:numPr>
          <w:ilvl w:val="1"/>
          <w:numId w:val="1"/>
        </w:numPr>
      </w:pPr>
      <w:r>
        <w:rPr>
          <w:rFonts w:ascii="Arial" w:hAnsi="Arial" w:cs="Arial" w:eastAsia="Arial"/>
        </w:rPr>
        <w:t>End-of-Shift Email Notification</w:t>
      </w:r>
    </w:p>
    <w:p>
      <w:pPr>
        <w:pStyle w:val="NormalNumberedtext"/>
      </w:pPr>
      <w:r>
        <w:t>An initial incident email is sent to the project owner by end of the shift in which the incident occurred.</w:t>
      </w:r>
    </w:p>
    <w:p>
      <w:pPr>
        <w:pStyle w:val="NormalNumberedtext"/>
      </w:pPr>
      <w:r>
        <w:t>Following the verbal notification, the HSESC representative prepares and sends an email to the project owner by the end of the shift in which the incident occurred. The email is not a substitute for the HSESC Incident Reporting Form but provides initial information to allow the project owner to assess notification obligations and support requirements.</w:t>
      </w:r>
    </w:p>
    <w:p>
      <w:pPr>
        <w:pStyle w:val="NormalNumberedtext"/>
      </w:pPr>
      <w:r>
        <w:t>The end-of-shift email notification must include:</w:t>
      </w:r>
    </w:p>
    <w:p>
      <w:pPr>
        <w:pStyle w:val="NumberedBulletL1"/>
      </w:pPr>
      <w:r>
        <w:t>Date and time of the incident.</w:t>
      </w:r>
    </w:p>
    <w:p>
      <w:pPr>
        <w:pStyle w:val="NumberedBulletL1"/>
      </w:pPr>
      <w:r>
        <w:t>Location of the incident, including site area and GPS coordinates where applicable.</w:t>
      </w:r>
    </w:p>
    <w:p>
      <w:pPr>
        <w:pStyle w:val="NumberedBulletL1"/>
      </w:pPr>
      <w:r>
        <w:t>Persons involved, including name, employer, role, and employment type.</w:t>
      </w:r>
    </w:p>
    <w:p>
      <w:pPr>
        <w:pStyle w:val="NumberedBulletL1"/>
      </w:pPr>
      <w:r>
        <w:t>Description of the incident, including the sequence of events as understood at the time.</w:t>
      </w:r>
    </w:p>
    <w:p>
      <w:pPr>
        <w:pStyle w:val="NumberedBulletL1"/>
      </w:pPr>
      <w:r>
        <w:t>Draft classification: actual outcome category and MRO category.</w:t>
      </w:r>
    </w:p>
    <w:p>
      <w:pPr>
        <w:pStyle w:val="NumberedBulletL1"/>
      </w:pPr>
      <w:r>
        <w:t>Actions taken immediately following the incident, including first aid, site preservation, and personnel welfare.</w:t>
      </w:r>
    </w:p>
    <w:p>
      <w:pPr>
        <w:pStyle w:val="NumberedBulletL1"/>
      </w:pPr>
      <w:r>
        <w:t>Contributing factors identified at the time of notification.</w:t>
      </w:r>
    </w:p>
    <w:p>
      <w:pPr>
        <w:pStyle w:val="NumberedBulletL1"/>
      </w:pPr>
      <w:r>
        <w:t>Relevant incident history for the work area or activity type.</w:t>
      </w:r>
    </w:p>
    <w:p>
      <w:pPr>
        <w:pStyle w:val="NumberedBulletL1"/>
      </w:pPr>
      <w:r>
        <w:t>Next steps planned, including investigation commencement and team composition.</w:t>
      </w:r>
    </w:p>
    <w:p>
      <w:pPr>
        <w:pStyle w:val="NumberedBulletL1"/>
      </w:pPr>
      <w:r>
        <w:t>Required follow-up actions and responsible persons.</w:t>
      </w:r>
    </w:p>
    <w:p>
      <w:pPr>
        <w:pStyle w:val="NormalNumberedtext"/>
      </w:pPr>
      <w:r>
        <w:rPr>
          <w:b/>
          <w:bCs/>
          <w:color w:val="0059D1"/>
        </w:rPr>
        <w:t>[INSERT: email_notification_recipient_list] — Insert the distribution list for end-of-shift email notifications, listing roles and names. Confirm whether the project owner contact differs from the verbal notification contact.</w:t>
      </w:r>
    </w:p>
    <w:p>
      <w:pPr>
        <w:pStyle w:val="NormalNumberedtext"/>
      </w:pPr>
    </w:p>
    <w:p>
      <w:pPr>
        <w:pStyle w:val="Heading2Numbered"/>
        <w:numPr>
          <w:ilvl w:val="1"/>
          <w:numId w:val="1"/>
        </w:numPr>
      </w:pPr>
      <w:r>
        <w:rPr>
          <w:rFonts w:ascii="Arial" w:hAnsi="Arial" w:cs="Arial" w:eastAsia="Arial"/>
        </w:rPr>
        <w:t>HSESC Incident Reporting Form and Investigation Timeline</w:t>
      </w:r>
    </w:p>
    <w:p>
      <w:pPr>
        <w:pStyle w:val="NormalNumberedtext"/>
      </w:pPr>
      <w:r>
        <w:t>The HSESC Incident Reporting Form is submitted within 24 hours and triggers the formal investigation timeline defined in this section.</w:t>
      </w:r>
    </w:p>
    <w:p>
      <w:pPr>
        <w:pStyle w:val="NormalNumberedtext"/>
      </w:pPr>
      <w:r>
        <w:t>The HSESC representative submits the completed HSESC Incident Reporting Form [INSERT: Project Document Number] to the project owner within 24 hours of the incident. The form captures all fields required to initiate the formal investigation process and establishes the investigation timeline applicable to the incident classification.</w:t>
      </w:r>
    </w:p>
    <w:p>
      <w:pPr>
        <w:pStyle w:val="NormalNumberedtext"/>
      </w:pPr>
      <w:r>
        <w:t>The investigation timeline is determined by the higher of the actual and MRO classification. Table 2 defines the mandatory milestones for each classification. Milestones are measured from the date and time the incident occurred unless an alternative start date is approved by the project owner in writing.</w:t>
      </w:r>
    </w:p>
    <w:p>
      <w:pPr>
        <w:pStyle w:val="NormalNumberedtext"/>
      </w:pPr>
      <w:r>
        <w:t>Table 2: Investigation Timeline Matrix by Incident Classification</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Classification</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Orange Banner</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Terms of Reference to Owner</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Investigation Commencement</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Draft Report to Owner</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Final Report to Owner</w:t>
            </w:r>
          </w:p>
        </w:tc>
        <w:tc>
          <w:tcPr>
            <w:shd w:val="clear" w:color="auto" w:fill="1F3864"/>
            <w:tcW w:type="dxa" w:w="1292"/>
          </w:tcPr>
          <w:p>
            <w:pPr>
              <w:pStyle w:val="TableContents"/>
              <w:spacing w:before="0" w:after="0" w:line="240" w:lineRule="atLeast"/>
            </w:pPr>
            <w:r>
              <w:rPr>
                <w:rFonts w:ascii="Arial" w:hAnsi="Arial" w:cs="Arial" w:eastAsia="Arial"/>
                <w:b/>
                <w:bCs/>
                <w:color w:val="FFFFFF"/>
                <w:sz w:val="16"/>
                <w:szCs w:val="16"/>
              </w:rPr>
              <w:t>Red Banner</w:t>
            </w:r>
          </w:p>
        </w:tc>
      </w:tr>
      <w:tr>
        <w:tc>
          <w:tcPr>
            <w:tcW w:type="dxa" w:w="1289"/>
          </w:tcPr>
          <w:p>
            <w:pPr>
              <w:pStyle w:val="TableContents"/>
              <w:spacing w:before="0" w:after="0" w:line="240" w:lineRule="atLeast"/>
            </w:pPr>
            <w:r>
              <w:rPr>
                <w:rFonts w:ascii="Arial" w:hAnsi="Arial" w:cs="Arial" w:eastAsia="Arial"/>
                <w:sz w:val="16"/>
                <w:szCs w:val="16"/>
              </w:rPr>
              <w:t>First Aid Case</w:t>
            </w:r>
          </w:p>
        </w:tc>
        <w:tc>
          <w:tcPr>
            <w:tcW w:type="dxa" w:w="1289"/>
          </w:tcPr>
          <w:p>
            <w:pPr>
              <w:pStyle w:val="TableContents"/>
              <w:spacing w:before="0" w:after="0" w:line="240" w:lineRule="atLeast"/>
            </w:pPr>
            <w:r>
              <w:rPr>
                <w:rFonts w:ascii="Arial" w:hAnsi="Arial" w:cs="Arial" w:eastAsia="Arial"/>
                <w:sz w:val="16"/>
                <w:szCs w:val="16"/>
              </w:rPr>
              <w:t>Not required</w:t>
            </w:r>
          </w:p>
        </w:tc>
        <w:tc>
          <w:tcPr>
            <w:tcW w:type="dxa" w:w="1289"/>
          </w:tcPr>
          <w:p>
            <w:pPr>
              <w:pStyle w:val="TableContents"/>
              <w:spacing w:before="0" w:after="0" w:line="240" w:lineRule="atLeast"/>
            </w:pPr>
            <w:r>
              <w:rPr>
                <w:rFonts w:ascii="Arial" w:hAnsi="Arial" w:cs="Arial" w:eastAsia="Arial"/>
                <w:sz w:val="16"/>
                <w:szCs w:val="16"/>
              </w:rPr>
              <w:t>Not required</w:t>
            </w:r>
          </w:p>
        </w:tc>
        <w:tc>
          <w:tcPr>
            <w:tcW w:type="dxa" w:w="1289"/>
          </w:tcPr>
          <w:p>
            <w:pPr>
              <w:pStyle w:val="TableContents"/>
              <w:spacing w:before="0" w:after="0" w:line="240" w:lineRule="atLeast"/>
            </w:pPr>
            <w:r>
              <w:rPr>
                <w:rFonts w:ascii="Arial" w:hAnsi="Arial" w:cs="Arial" w:eastAsia="Arial"/>
                <w:sz w:val="16"/>
                <w:szCs w:val="16"/>
              </w:rPr>
              <w:t>Within 5 business days</w:t>
            </w:r>
          </w:p>
        </w:tc>
        <w:tc>
          <w:tcPr>
            <w:tcW w:type="dxa" w:w="1289"/>
          </w:tcPr>
          <w:p>
            <w:pPr>
              <w:pStyle w:val="TableContents"/>
              <w:spacing w:before="0" w:after="0" w:line="240" w:lineRule="atLeast"/>
            </w:pPr>
            <w:r>
              <w:rPr>
                <w:rFonts w:ascii="Arial" w:hAnsi="Arial" w:cs="Arial" w:eastAsia="Arial"/>
                <w:sz w:val="16"/>
                <w:szCs w:val="16"/>
              </w:rPr>
              <w:t>Within 10 business days</w:t>
            </w:r>
          </w:p>
        </w:tc>
        <w:tc>
          <w:tcPr>
            <w:tcW w:type="dxa" w:w="1289"/>
          </w:tcPr>
          <w:p>
            <w:pPr>
              <w:pStyle w:val="TableContents"/>
              <w:spacing w:before="0" w:after="0" w:line="240" w:lineRule="atLeast"/>
            </w:pPr>
            <w:r>
              <w:rPr>
                <w:rFonts w:ascii="Arial" w:hAnsi="Arial" w:cs="Arial" w:eastAsia="Arial"/>
                <w:sz w:val="16"/>
                <w:szCs w:val="16"/>
              </w:rPr>
              <w:t>Within 15 business days</w:t>
            </w:r>
          </w:p>
        </w:tc>
        <w:tc>
          <w:tcPr>
            <w:tcW w:type="dxa" w:w="1292"/>
          </w:tcPr>
          <w:p>
            <w:pPr>
              <w:pStyle w:val="TableContents"/>
              <w:spacing w:before="0" w:after="0" w:line="240" w:lineRule="atLeast"/>
            </w:pPr>
            <w:r>
              <w:rPr>
                <w:rFonts w:ascii="Arial" w:hAnsi="Arial" w:cs="Arial" w:eastAsia="Arial"/>
                <w:sz w:val="16"/>
                <w:szCs w:val="16"/>
              </w:rPr>
              <w:t>Not required</w:t>
            </w:r>
          </w:p>
        </w:tc>
      </w:tr>
      <w:tr>
        <w:tc>
          <w:tcPr>
            <w:tcW w:type="dxa" w:w="1289"/>
          </w:tcPr>
          <w:p>
            <w:pPr>
              <w:pStyle w:val="TableContents"/>
              <w:spacing w:before="0" w:after="0" w:line="240" w:lineRule="atLeast"/>
            </w:pPr>
            <w:r>
              <w:rPr>
                <w:rFonts w:ascii="Arial" w:hAnsi="Arial" w:cs="Arial" w:eastAsia="Arial"/>
                <w:sz w:val="16"/>
                <w:szCs w:val="16"/>
              </w:rPr>
              <w:t>Near Miss</w:t>
            </w:r>
          </w:p>
        </w:tc>
        <w:tc>
          <w:tcPr>
            <w:tcW w:type="dxa" w:w="1289"/>
          </w:tcPr>
          <w:p>
            <w:pPr>
              <w:pStyle w:val="TableContents"/>
              <w:spacing w:before="0" w:after="0" w:line="240" w:lineRule="atLeast"/>
            </w:pPr>
            <w:r>
              <w:rPr>
                <w:rFonts w:ascii="Arial" w:hAnsi="Arial" w:cs="Arial" w:eastAsia="Arial"/>
                <w:sz w:val="16"/>
                <w:szCs w:val="16"/>
              </w:rPr>
              <w:t>Not required</w:t>
            </w:r>
          </w:p>
        </w:tc>
        <w:tc>
          <w:tcPr>
            <w:tcW w:type="dxa" w:w="1289"/>
          </w:tcPr>
          <w:p>
            <w:pPr>
              <w:pStyle w:val="TableContents"/>
              <w:spacing w:before="0" w:after="0" w:line="240" w:lineRule="atLeast"/>
            </w:pPr>
            <w:r>
              <w:rPr>
                <w:rFonts w:ascii="Arial" w:hAnsi="Arial" w:cs="Arial" w:eastAsia="Arial"/>
                <w:sz w:val="16"/>
                <w:szCs w:val="16"/>
              </w:rPr>
              <w:t>Not required</w:t>
            </w:r>
          </w:p>
        </w:tc>
        <w:tc>
          <w:tcPr>
            <w:tcW w:type="dxa" w:w="1289"/>
          </w:tcPr>
          <w:p>
            <w:pPr>
              <w:pStyle w:val="TableContents"/>
              <w:spacing w:before="0" w:after="0" w:line="240" w:lineRule="atLeast"/>
            </w:pPr>
            <w:r>
              <w:rPr>
                <w:rFonts w:ascii="Arial" w:hAnsi="Arial" w:cs="Arial" w:eastAsia="Arial"/>
                <w:sz w:val="16"/>
                <w:szCs w:val="16"/>
              </w:rPr>
              <w:t>Within 5 business days</w:t>
            </w:r>
          </w:p>
        </w:tc>
        <w:tc>
          <w:tcPr>
            <w:tcW w:type="dxa" w:w="1289"/>
          </w:tcPr>
          <w:p>
            <w:pPr>
              <w:pStyle w:val="TableContents"/>
              <w:spacing w:before="0" w:after="0" w:line="240" w:lineRule="atLeast"/>
            </w:pPr>
            <w:r>
              <w:rPr>
                <w:rFonts w:ascii="Arial" w:hAnsi="Arial" w:cs="Arial" w:eastAsia="Arial"/>
                <w:sz w:val="16"/>
                <w:szCs w:val="16"/>
              </w:rPr>
              <w:t>Within 10 business days</w:t>
            </w:r>
          </w:p>
        </w:tc>
        <w:tc>
          <w:tcPr>
            <w:tcW w:type="dxa" w:w="1289"/>
          </w:tcPr>
          <w:p>
            <w:pPr>
              <w:pStyle w:val="TableContents"/>
              <w:spacing w:before="0" w:after="0" w:line="240" w:lineRule="atLeast"/>
            </w:pPr>
            <w:r>
              <w:rPr>
                <w:rFonts w:ascii="Arial" w:hAnsi="Arial" w:cs="Arial" w:eastAsia="Arial"/>
                <w:sz w:val="16"/>
                <w:szCs w:val="16"/>
              </w:rPr>
              <w:t>Within 15 business days</w:t>
            </w:r>
          </w:p>
        </w:tc>
        <w:tc>
          <w:tcPr>
            <w:tcW w:type="dxa" w:w="1292"/>
          </w:tcPr>
          <w:p>
            <w:pPr>
              <w:pStyle w:val="TableContents"/>
              <w:spacing w:before="0" w:after="0" w:line="240" w:lineRule="atLeast"/>
            </w:pPr>
            <w:r>
              <w:rPr>
                <w:rFonts w:ascii="Arial" w:hAnsi="Arial" w:cs="Arial" w:eastAsia="Arial"/>
                <w:sz w:val="16"/>
                <w:szCs w:val="16"/>
              </w:rPr>
              <w:t>Not required</w:t>
            </w:r>
          </w:p>
        </w:tc>
      </w:tr>
      <w:tr>
        <w:tc>
          <w:tcPr>
            <w:tcW w:type="dxa" w:w="1289"/>
          </w:tcPr>
          <w:p>
            <w:pPr>
              <w:pStyle w:val="TableContents"/>
              <w:spacing w:before="0" w:after="0" w:line="240" w:lineRule="atLeast"/>
            </w:pPr>
            <w:r>
              <w:rPr>
                <w:rFonts w:ascii="Arial" w:hAnsi="Arial" w:cs="Arial" w:eastAsia="Arial"/>
                <w:sz w:val="16"/>
                <w:szCs w:val="16"/>
              </w:rPr>
              <w:t>MTCI</w:t>
            </w:r>
          </w:p>
        </w:tc>
        <w:tc>
          <w:tcPr>
            <w:tcW w:type="dxa" w:w="1289"/>
          </w:tcPr>
          <w:p>
            <w:pPr>
              <w:pStyle w:val="TableContents"/>
              <w:spacing w:before="0" w:after="0" w:line="240" w:lineRule="atLeast"/>
            </w:pPr>
            <w:r>
              <w:rPr>
                <w:rFonts w:ascii="Arial" w:hAnsi="Arial" w:cs="Arial" w:eastAsia="Arial"/>
                <w:sz w:val="16"/>
                <w:szCs w:val="16"/>
              </w:rPr>
              <w:t>Within 24 hours of incident</w:t>
            </w:r>
          </w:p>
        </w:tc>
        <w:tc>
          <w:tcPr>
            <w:tcW w:type="dxa" w:w="1289"/>
          </w:tcPr>
          <w:p>
            <w:pPr>
              <w:pStyle w:val="TableContents"/>
              <w:spacing w:before="0" w:after="0" w:line="240" w:lineRule="atLeast"/>
            </w:pPr>
            <w:r>
              <w:rPr>
                <w:rFonts w:ascii="Arial" w:hAnsi="Arial" w:cs="Arial" w:eastAsia="Arial"/>
                <w:sz w:val="16"/>
                <w:szCs w:val="16"/>
              </w:rPr>
              <w:t>48 hours before commencement</w:t>
            </w:r>
          </w:p>
        </w:tc>
        <w:tc>
          <w:tcPr>
            <w:tcW w:type="dxa" w:w="1289"/>
          </w:tcPr>
          <w:p>
            <w:pPr>
              <w:pStyle w:val="TableContents"/>
              <w:spacing w:before="0" w:after="0" w:line="240" w:lineRule="atLeast"/>
            </w:pPr>
            <w:r>
              <w:rPr>
                <w:rFonts w:ascii="Arial" w:hAnsi="Arial" w:cs="Arial" w:eastAsia="Arial"/>
                <w:sz w:val="16"/>
                <w:szCs w:val="16"/>
              </w:rPr>
              <w:t>Within 3 business days</w:t>
            </w:r>
          </w:p>
        </w:tc>
        <w:tc>
          <w:tcPr>
            <w:tcW w:type="dxa" w:w="1289"/>
          </w:tcPr>
          <w:p>
            <w:pPr>
              <w:pStyle w:val="TableContents"/>
              <w:spacing w:before="0" w:after="0" w:line="240" w:lineRule="atLeast"/>
            </w:pPr>
            <w:r>
              <w:rPr>
                <w:rFonts w:ascii="Arial" w:hAnsi="Arial" w:cs="Arial" w:eastAsia="Arial"/>
                <w:sz w:val="16"/>
                <w:szCs w:val="16"/>
              </w:rPr>
              <w:t>Within 15 business days</w:t>
            </w:r>
          </w:p>
        </w:tc>
        <w:tc>
          <w:tcPr>
            <w:tcW w:type="dxa" w:w="1289"/>
          </w:tcPr>
          <w:p>
            <w:pPr>
              <w:pStyle w:val="TableContents"/>
              <w:spacing w:before="0" w:after="0" w:line="240" w:lineRule="atLeast"/>
            </w:pPr>
            <w:r>
              <w:rPr>
                <w:rFonts w:ascii="Arial" w:hAnsi="Arial" w:cs="Arial" w:eastAsia="Arial"/>
                <w:sz w:val="16"/>
                <w:szCs w:val="16"/>
              </w:rPr>
              <w:t>Within 21 business days</w:t>
            </w:r>
          </w:p>
        </w:tc>
        <w:tc>
          <w:tcPr>
            <w:tcW w:type="dxa" w:w="1292"/>
          </w:tcPr>
          <w:p>
            <w:pPr>
              <w:pStyle w:val="TableContents"/>
              <w:spacing w:before="0" w:after="0" w:line="240" w:lineRule="atLeast"/>
            </w:pPr>
            <w:r>
              <w:rPr>
                <w:rFonts w:ascii="Arial" w:hAnsi="Arial" w:cs="Arial" w:eastAsia="Arial"/>
                <w:sz w:val="16"/>
                <w:szCs w:val="16"/>
              </w:rPr>
              <w:t>Not required</w:t>
            </w:r>
          </w:p>
        </w:tc>
      </w:tr>
      <w:tr>
        <w:tc>
          <w:tcPr>
            <w:tcW w:type="dxa" w:w="1289"/>
          </w:tcPr>
          <w:p>
            <w:pPr>
              <w:pStyle w:val="TableContents"/>
              <w:spacing w:before="0" w:after="0" w:line="240" w:lineRule="atLeast"/>
            </w:pPr>
            <w:r>
              <w:rPr>
                <w:rFonts w:ascii="Arial" w:hAnsi="Arial" w:cs="Arial" w:eastAsia="Arial"/>
                <w:sz w:val="16"/>
                <w:szCs w:val="16"/>
              </w:rPr>
              <w:t>RWDI</w:t>
            </w:r>
          </w:p>
        </w:tc>
        <w:tc>
          <w:tcPr>
            <w:tcW w:type="dxa" w:w="1289"/>
          </w:tcPr>
          <w:p>
            <w:pPr>
              <w:pStyle w:val="TableContents"/>
              <w:spacing w:before="0" w:after="0" w:line="240" w:lineRule="atLeast"/>
            </w:pPr>
            <w:r>
              <w:rPr>
                <w:rFonts w:ascii="Arial" w:hAnsi="Arial" w:cs="Arial" w:eastAsia="Arial"/>
                <w:sz w:val="16"/>
                <w:szCs w:val="16"/>
              </w:rPr>
              <w:t>Within 24 hours of incident</w:t>
            </w:r>
          </w:p>
        </w:tc>
        <w:tc>
          <w:tcPr>
            <w:tcW w:type="dxa" w:w="1289"/>
          </w:tcPr>
          <w:p>
            <w:pPr>
              <w:pStyle w:val="TableContents"/>
              <w:spacing w:before="0" w:after="0" w:line="240" w:lineRule="atLeast"/>
            </w:pPr>
            <w:r>
              <w:rPr>
                <w:rFonts w:ascii="Arial" w:hAnsi="Arial" w:cs="Arial" w:eastAsia="Arial"/>
                <w:sz w:val="16"/>
                <w:szCs w:val="16"/>
              </w:rPr>
              <w:t>48 hours before commencement</w:t>
            </w:r>
          </w:p>
        </w:tc>
        <w:tc>
          <w:tcPr>
            <w:tcW w:type="dxa" w:w="1289"/>
          </w:tcPr>
          <w:p>
            <w:pPr>
              <w:pStyle w:val="TableContents"/>
              <w:spacing w:before="0" w:after="0" w:line="240" w:lineRule="atLeast"/>
            </w:pPr>
            <w:r>
              <w:rPr>
                <w:rFonts w:ascii="Arial" w:hAnsi="Arial" w:cs="Arial" w:eastAsia="Arial"/>
                <w:sz w:val="16"/>
                <w:szCs w:val="16"/>
              </w:rPr>
              <w:t>Within 3 business days</w:t>
            </w:r>
          </w:p>
        </w:tc>
        <w:tc>
          <w:tcPr>
            <w:tcW w:type="dxa" w:w="1289"/>
          </w:tcPr>
          <w:p>
            <w:pPr>
              <w:pStyle w:val="TableContents"/>
              <w:spacing w:before="0" w:after="0" w:line="240" w:lineRule="atLeast"/>
            </w:pPr>
            <w:r>
              <w:rPr>
                <w:rFonts w:ascii="Arial" w:hAnsi="Arial" w:cs="Arial" w:eastAsia="Arial"/>
                <w:sz w:val="16"/>
                <w:szCs w:val="16"/>
              </w:rPr>
              <w:t>Within 15 business days</w:t>
            </w:r>
          </w:p>
        </w:tc>
        <w:tc>
          <w:tcPr>
            <w:tcW w:type="dxa" w:w="1289"/>
          </w:tcPr>
          <w:p>
            <w:pPr>
              <w:pStyle w:val="TableContents"/>
              <w:spacing w:before="0" w:after="0" w:line="240" w:lineRule="atLeast"/>
            </w:pPr>
            <w:r>
              <w:rPr>
                <w:rFonts w:ascii="Arial" w:hAnsi="Arial" w:cs="Arial" w:eastAsia="Arial"/>
                <w:sz w:val="16"/>
                <w:szCs w:val="16"/>
              </w:rPr>
              <w:t>Within 21 business days</w:t>
            </w:r>
          </w:p>
        </w:tc>
        <w:tc>
          <w:tcPr>
            <w:tcW w:type="dxa" w:w="1292"/>
          </w:tcPr>
          <w:p>
            <w:pPr>
              <w:pStyle w:val="TableContents"/>
              <w:spacing w:before="0" w:after="0" w:line="240" w:lineRule="atLeast"/>
            </w:pPr>
            <w:r>
              <w:rPr>
                <w:rFonts w:ascii="Arial" w:hAnsi="Arial" w:cs="Arial" w:eastAsia="Arial"/>
                <w:sz w:val="16"/>
                <w:szCs w:val="16"/>
              </w:rPr>
              <w:t>Not required</w:t>
            </w:r>
          </w:p>
        </w:tc>
      </w:tr>
      <w:tr>
        <w:tc>
          <w:tcPr>
            <w:tcW w:type="dxa" w:w="1289"/>
          </w:tcPr>
          <w:p>
            <w:pPr>
              <w:pStyle w:val="TableContents"/>
              <w:spacing w:before="0" w:after="0" w:line="240" w:lineRule="atLeast"/>
            </w:pPr>
            <w:r>
              <w:rPr>
                <w:rFonts w:ascii="Arial" w:hAnsi="Arial" w:cs="Arial" w:eastAsia="Arial"/>
                <w:sz w:val="16"/>
                <w:szCs w:val="16"/>
              </w:rPr>
              <w:t>LDI</w:t>
            </w:r>
          </w:p>
        </w:tc>
        <w:tc>
          <w:tcPr>
            <w:tcW w:type="dxa" w:w="1289"/>
          </w:tcPr>
          <w:p>
            <w:pPr>
              <w:pStyle w:val="TableContents"/>
              <w:spacing w:before="0" w:after="0" w:line="240" w:lineRule="atLeast"/>
            </w:pPr>
            <w:r>
              <w:rPr>
                <w:rFonts w:ascii="Arial" w:hAnsi="Arial" w:cs="Arial" w:eastAsia="Arial"/>
                <w:sz w:val="16"/>
                <w:szCs w:val="16"/>
              </w:rPr>
              <w:t>Within 24 hours of incident</w:t>
            </w:r>
          </w:p>
        </w:tc>
        <w:tc>
          <w:tcPr>
            <w:tcW w:type="dxa" w:w="1289"/>
          </w:tcPr>
          <w:p>
            <w:pPr>
              <w:pStyle w:val="TableContents"/>
              <w:spacing w:before="0" w:after="0" w:line="240" w:lineRule="atLeast"/>
            </w:pPr>
            <w:r>
              <w:rPr>
                <w:rFonts w:ascii="Arial" w:hAnsi="Arial" w:cs="Arial" w:eastAsia="Arial"/>
                <w:sz w:val="16"/>
                <w:szCs w:val="16"/>
              </w:rPr>
              <w:t>48 hours before commencement</w:t>
            </w:r>
          </w:p>
        </w:tc>
        <w:tc>
          <w:tcPr>
            <w:tcW w:type="dxa" w:w="1289"/>
          </w:tcPr>
          <w:p>
            <w:pPr>
              <w:pStyle w:val="TableContents"/>
              <w:spacing w:before="0" w:after="0" w:line="240" w:lineRule="atLeast"/>
            </w:pPr>
            <w:r>
              <w:rPr>
                <w:rFonts w:ascii="Arial" w:hAnsi="Arial" w:cs="Arial" w:eastAsia="Arial"/>
                <w:sz w:val="16"/>
                <w:szCs w:val="16"/>
              </w:rPr>
              <w:t>Within 2 business days</w:t>
            </w:r>
          </w:p>
        </w:tc>
        <w:tc>
          <w:tcPr>
            <w:tcW w:type="dxa" w:w="1289"/>
          </w:tcPr>
          <w:p>
            <w:pPr>
              <w:pStyle w:val="TableContents"/>
              <w:spacing w:before="0" w:after="0" w:line="240" w:lineRule="atLeast"/>
            </w:pPr>
            <w:r>
              <w:rPr>
                <w:rFonts w:ascii="Arial" w:hAnsi="Arial" w:cs="Arial" w:eastAsia="Arial"/>
                <w:sz w:val="16"/>
                <w:szCs w:val="16"/>
              </w:rPr>
              <w:t>Within 15 business days</w:t>
            </w:r>
          </w:p>
        </w:tc>
        <w:tc>
          <w:tcPr>
            <w:tcW w:type="dxa" w:w="1289"/>
          </w:tcPr>
          <w:p>
            <w:pPr>
              <w:pStyle w:val="TableContents"/>
              <w:spacing w:before="0" w:after="0" w:line="240" w:lineRule="atLeast"/>
            </w:pPr>
            <w:r>
              <w:rPr>
                <w:rFonts w:ascii="Arial" w:hAnsi="Arial" w:cs="Arial" w:eastAsia="Arial"/>
                <w:sz w:val="16"/>
                <w:szCs w:val="16"/>
              </w:rPr>
              <w:t>Within 21 business days</w:t>
            </w:r>
          </w:p>
        </w:tc>
        <w:tc>
          <w:tcPr>
            <w:tcW w:type="dxa" w:w="1292"/>
          </w:tcPr>
          <w:p>
            <w:pPr>
              <w:pStyle w:val="TableContents"/>
              <w:spacing w:before="0" w:after="0" w:line="240" w:lineRule="atLeast"/>
            </w:pPr>
            <w:r>
              <w:rPr>
                <w:rFonts w:ascii="Arial" w:hAnsi="Arial" w:cs="Arial" w:eastAsia="Arial"/>
                <w:sz w:val="16"/>
                <w:szCs w:val="16"/>
              </w:rPr>
              <w:t>Not required</w:t>
            </w:r>
          </w:p>
        </w:tc>
      </w:tr>
      <w:tr>
        <w:tc>
          <w:tcPr>
            <w:tcW w:type="dxa" w:w="1289"/>
          </w:tcPr>
          <w:p>
            <w:pPr>
              <w:pStyle w:val="TableContents"/>
              <w:spacing w:before="0" w:after="0" w:line="240" w:lineRule="atLeast"/>
            </w:pPr>
            <w:r>
              <w:rPr>
                <w:rFonts w:ascii="Arial" w:hAnsi="Arial" w:cs="Arial" w:eastAsia="Arial"/>
                <w:sz w:val="16"/>
                <w:szCs w:val="16"/>
              </w:rPr>
              <w:t>Vehicle Incident (significant)</w:t>
            </w:r>
          </w:p>
        </w:tc>
        <w:tc>
          <w:tcPr>
            <w:tcW w:type="dxa" w:w="1289"/>
          </w:tcPr>
          <w:p>
            <w:pPr>
              <w:pStyle w:val="TableContents"/>
              <w:spacing w:before="0" w:after="0" w:line="240" w:lineRule="atLeast"/>
            </w:pPr>
            <w:r>
              <w:rPr>
                <w:rFonts w:ascii="Arial" w:hAnsi="Arial" w:cs="Arial" w:eastAsia="Arial"/>
                <w:sz w:val="16"/>
                <w:szCs w:val="16"/>
              </w:rPr>
              <w:t>Within 24 hours of incident</w:t>
            </w:r>
          </w:p>
        </w:tc>
        <w:tc>
          <w:tcPr>
            <w:tcW w:type="dxa" w:w="1289"/>
          </w:tcPr>
          <w:p>
            <w:pPr>
              <w:pStyle w:val="TableContents"/>
              <w:spacing w:before="0" w:after="0" w:line="240" w:lineRule="atLeast"/>
            </w:pPr>
            <w:r>
              <w:rPr>
                <w:rFonts w:ascii="Arial" w:hAnsi="Arial" w:cs="Arial" w:eastAsia="Arial"/>
                <w:sz w:val="16"/>
                <w:szCs w:val="16"/>
              </w:rPr>
              <w:t>48 hours before commencement</w:t>
            </w:r>
          </w:p>
        </w:tc>
        <w:tc>
          <w:tcPr>
            <w:tcW w:type="dxa" w:w="1289"/>
          </w:tcPr>
          <w:p>
            <w:pPr>
              <w:pStyle w:val="TableContents"/>
              <w:spacing w:before="0" w:after="0" w:line="240" w:lineRule="atLeast"/>
            </w:pPr>
            <w:r>
              <w:rPr>
                <w:rFonts w:ascii="Arial" w:hAnsi="Arial" w:cs="Arial" w:eastAsia="Arial"/>
                <w:sz w:val="16"/>
                <w:szCs w:val="16"/>
              </w:rPr>
              <w:t>Within 2 business days</w:t>
            </w:r>
          </w:p>
        </w:tc>
        <w:tc>
          <w:tcPr>
            <w:tcW w:type="dxa" w:w="1289"/>
          </w:tcPr>
          <w:p>
            <w:pPr>
              <w:pStyle w:val="TableContents"/>
              <w:spacing w:before="0" w:after="0" w:line="240" w:lineRule="atLeast"/>
            </w:pPr>
            <w:r>
              <w:rPr>
                <w:rFonts w:ascii="Arial" w:hAnsi="Arial" w:cs="Arial" w:eastAsia="Arial"/>
                <w:sz w:val="16"/>
                <w:szCs w:val="16"/>
              </w:rPr>
              <w:t>Within 15 business days</w:t>
            </w:r>
          </w:p>
        </w:tc>
        <w:tc>
          <w:tcPr>
            <w:tcW w:type="dxa" w:w="1289"/>
          </w:tcPr>
          <w:p>
            <w:pPr>
              <w:pStyle w:val="TableContents"/>
              <w:spacing w:before="0" w:after="0" w:line="240" w:lineRule="atLeast"/>
            </w:pPr>
            <w:r>
              <w:rPr>
                <w:rFonts w:ascii="Arial" w:hAnsi="Arial" w:cs="Arial" w:eastAsia="Arial"/>
                <w:sz w:val="16"/>
                <w:szCs w:val="16"/>
              </w:rPr>
              <w:t>Within 21 business days</w:t>
            </w:r>
          </w:p>
        </w:tc>
        <w:tc>
          <w:tcPr>
            <w:tcW w:type="dxa" w:w="1292"/>
          </w:tcPr>
          <w:p>
            <w:pPr>
              <w:pStyle w:val="TableContents"/>
              <w:spacing w:before="0" w:after="0" w:line="240" w:lineRule="atLeast"/>
            </w:pPr>
            <w:r>
              <w:rPr>
                <w:rFonts w:ascii="Arial" w:hAnsi="Arial" w:cs="Arial" w:eastAsia="Arial"/>
                <w:sz w:val="16"/>
                <w:szCs w:val="16"/>
              </w:rPr>
              <w:t>Not required</w:t>
            </w:r>
          </w:p>
        </w:tc>
      </w:tr>
      <w:tr>
        <w:tc>
          <w:tcPr>
            <w:tcW w:type="dxa" w:w="1289"/>
          </w:tcPr>
          <w:p>
            <w:pPr>
              <w:pStyle w:val="TableContents"/>
              <w:spacing w:before="0" w:after="0" w:line="240" w:lineRule="atLeast"/>
            </w:pPr>
            <w:r>
              <w:rPr>
                <w:rFonts w:ascii="Arial" w:hAnsi="Arial" w:cs="Arial" w:eastAsia="Arial"/>
                <w:sz w:val="16"/>
                <w:szCs w:val="16"/>
              </w:rPr>
              <w:t>PFI</w:t>
            </w:r>
          </w:p>
        </w:tc>
        <w:tc>
          <w:tcPr>
            <w:tcW w:type="dxa" w:w="1289"/>
          </w:tcPr>
          <w:p>
            <w:pPr>
              <w:pStyle w:val="TableContents"/>
              <w:spacing w:before="0" w:after="0" w:line="240" w:lineRule="atLeast"/>
            </w:pPr>
            <w:r>
              <w:rPr>
                <w:rFonts w:ascii="Arial" w:hAnsi="Arial" w:cs="Arial" w:eastAsia="Arial"/>
                <w:sz w:val="16"/>
                <w:szCs w:val="16"/>
              </w:rPr>
              <w:t>Within 24 hours of incident</w:t>
            </w:r>
          </w:p>
        </w:tc>
        <w:tc>
          <w:tcPr>
            <w:tcW w:type="dxa" w:w="1289"/>
          </w:tcPr>
          <w:p>
            <w:pPr>
              <w:pStyle w:val="TableContents"/>
              <w:spacing w:before="0" w:after="0" w:line="240" w:lineRule="atLeast"/>
            </w:pPr>
            <w:r>
              <w:rPr>
                <w:rFonts w:ascii="Arial" w:hAnsi="Arial" w:cs="Arial" w:eastAsia="Arial"/>
                <w:sz w:val="16"/>
                <w:szCs w:val="16"/>
              </w:rPr>
              <w:t>48 hours before commencement</w:t>
            </w:r>
          </w:p>
        </w:tc>
        <w:tc>
          <w:tcPr>
            <w:tcW w:type="dxa" w:w="1289"/>
          </w:tcPr>
          <w:p>
            <w:pPr>
              <w:pStyle w:val="TableContents"/>
              <w:spacing w:before="0" w:after="0" w:line="240" w:lineRule="atLeast"/>
            </w:pPr>
            <w:r>
              <w:rPr>
                <w:rFonts w:ascii="Arial" w:hAnsi="Arial" w:cs="Arial" w:eastAsia="Arial"/>
                <w:sz w:val="16"/>
                <w:szCs w:val="16"/>
              </w:rPr>
              <w:t>Within 1 business day</w:t>
            </w:r>
          </w:p>
        </w:tc>
        <w:tc>
          <w:tcPr>
            <w:tcW w:type="dxa" w:w="1289"/>
          </w:tcPr>
          <w:p>
            <w:pPr>
              <w:pStyle w:val="TableContents"/>
              <w:spacing w:before="0" w:after="0" w:line="240" w:lineRule="atLeast"/>
            </w:pPr>
            <w:r>
              <w:rPr>
                <w:rFonts w:ascii="Arial" w:hAnsi="Arial" w:cs="Arial" w:eastAsia="Arial"/>
                <w:sz w:val="16"/>
                <w:szCs w:val="16"/>
              </w:rPr>
              <w:t>Within 10 business days</w:t>
            </w:r>
          </w:p>
        </w:tc>
        <w:tc>
          <w:tcPr>
            <w:tcW w:type="dxa" w:w="1289"/>
          </w:tcPr>
          <w:p>
            <w:pPr>
              <w:pStyle w:val="TableContents"/>
              <w:spacing w:before="0" w:after="0" w:line="240" w:lineRule="atLeast"/>
            </w:pPr>
            <w:r>
              <w:rPr>
                <w:rFonts w:ascii="Arial" w:hAnsi="Arial" w:cs="Arial" w:eastAsia="Arial"/>
                <w:sz w:val="16"/>
                <w:szCs w:val="16"/>
              </w:rPr>
              <w:t>Within 15 business days</w:t>
            </w:r>
          </w:p>
        </w:tc>
        <w:tc>
          <w:tcPr>
            <w:tcW w:type="dxa" w:w="1292"/>
          </w:tcPr>
          <w:p>
            <w:pPr>
              <w:pStyle w:val="TableContents"/>
              <w:spacing w:before="0" w:after="0" w:line="240" w:lineRule="atLeast"/>
            </w:pPr>
            <w:r>
              <w:rPr>
                <w:rFonts w:ascii="Arial" w:hAnsi="Arial" w:cs="Arial" w:eastAsia="Arial"/>
                <w:sz w:val="16"/>
                <w:szCs w:val="16"/>
              </w:rPr>
              <w:t>Required - issued with final report</w:t>
            </w:r>
          </w:p>
        </w:tc>
      </w:tr>
      <w:tr>
        <w:tc>
          <w:tcPr>
            <w:tcW w:type="dxa" w:w="1289"/>
          </w:tcPr>
          <w:p>
            <w:pPr>
              <w:pStyle w:val="TableContents"/>
              <w:spacing w:before="0" w:after="0" w:line="240" w:lineRule="atLeast"/>
            </w:pPr>
            <w:r>
              <w:rPr>
                <w:rFonts w:ascii="Arial" w:hAnsi="Arial" w:cs="Arial" w:eastAsia="Arial"/>
                <w:sz w:val="16"/>
                <w:szCs w:val="16"/>
              </w:rPr>
              <w:t>SPI</w:t>
            </w:r>
          </w:p>
        </w:tc>
        <w:tc>
          <w:tcPr>
            <w:tcW w:type="dxa" w:w="1289"/>
          </w:tcPr>
          <w:p>
            <w:pPr>
              <w:pStyle w:val="TableContents"/>
              <w:spacing w:before="0" w:after="0" w:line="240" w:lineRule="atLeast"/>
            </w:pPr>
            <w:r>
              <w:rPr>
                <w:rFonts w:ascii="Arial" w:hAnsi="Arial" w:cs="Arial" w:eastAsia="Arial"/>
                <w:sz w:val="16"/>
                <w:szCs w:val="16"/>
              </w:rPr>
              <w:t>Within 24 hours of incident</w:t>
            </w:r>
          </w:p>
        </w:tc>
        <w:tc>
          <w:tcPr>
            <w:tcW w:type="dxa" w:w="1289"/>
          </w:tcPr>
          <w:p>
            <w:pPr>
              <w:pStyle w:val="TableContents"/>
              <w:spacing w:before="0" w:after="0" w:line="240" w:lineRule="atLeast"/>
            </w:pPr>
            <w:r>
              <w:rPr>
                <w:rFonts w:ascii="Arial" w:hAnsi="Arial" w:cs="Arial" w:eastAsia="Arial"/>
                <w:sz w:val="16"/>
                <w:szCs w:val="16"/>
              </w:rPr>
              <w:t>48 hours before commencement</w:t>
            </w:r>
          </w:p>
        </w:tc>
        <w:tc>
          <w:tcPr>
            <w:tcW w:type="dxa" w:w="1289"/>
          </w:tcPr>
          <w:p>
            <w:pPr>
              <w:pStyle w:val="TableContents"/>
              <w:spacing w:before="0" w:after="0" w:line="240" w:lineRule="atLeast"/>
            </w:pPr>
            <w:r>
              <w:rPr>
                <w:rFonts w:ascii="Arial" w:hAnsi="Arial" w:cs="Arial" w:eastAsia="Arial"/>
                <w:sz w:val="16"/>
                <w:szCs w:val="16"/>
              </w:rPr>
              <w:t>Within 1 business day</w:t>
            </w:r>
          </w:p>
        </w:tc>
        <w:tc>
          <w:tcPr>
            <w:tcW w:type="dxa" w:w="1289"/>
          </w:tcPr>
          <w:p>
            <w:pPr>
              <w:pStyle w:val="TableContents"/>
              <w:spacing w:before="0" w:after="0" w:line="240" w:lineRule="atLeast"/>
            </w:pPr>
            <w:r>
              <w:rPr>
                <w:rFonts w:ascii="Arial" w:hAnsi="Arial" w:cs="Arial" w:eastAsia="Arial"/>
                <w:sz w:val="16"/>
                <w:szCs w:val="16"/>
              </w:rPr>
              <w:t>Within 10 business days</w:t>
            </w:r>
          </w:p>
        </w:tc>
        <w:tc>
          <w:tcPr>
            <w:tcW w:type="dxa" w:w="1289"/>
          </w:tcPr>
          <w:p>
            <w:pPr>
              <w:pStyle w:val="TableContents"/>
              <w:spacing w:before="0" w:after="0" w:line="240" w:lineRule="atLeast"/>
            </w:pPr>
            <w:r>
              <w:rPr>
                <w:rFonts w:ascii="Arial" w:hAnsi="Arial" w:cs="Arial" w:eastAsia="Arial"/>
                <w:sz w:val="16"/>
                <w:szCs w:val="16"/>
              </w:rPr>
              <w:t>Within 15 business days</w:t>
            </w:r>
          </w:p>
        </w:tc>
        <w:tc>
          <w:tcPr>
            <w:tcW w:type="dxa" w:w="1292"/>
          </w:tcPr>
          <w:p>
            <w:pPr>
              <w:pStyle w:val="TableContents"/>
              <w:spacing w:before="0" w:after="0" w:line="240" w:lineRule="atLeast"/>
            </w:pPr>
            <w:r>
              <w:rPr>
                <w:rFonts w:ascii="Arial" w:hAnsi="Arial" w:cs="Arial" w:eastAsia="Arial"/>
                <w:sz w:val="16"/>
                <w:szCs w:val="16"/>
              </w:rPr>
              <w:t>Required - issued with final report</w:t>
            </w:r>
          </w:p>
        </w:tc>
      </w:tr>
      <w:tr>
        <w:tc>
          <w:tcPr>
            <w:tcW w:type="dxa" w:w="1289"/>
          </w:tcPr>
          <w:p>
            <w:pPr>
              <w:pStyle w:val="TableContents"/>
              <w:spacing w:before="0" w:after="0" w:line="240" w:lineRule="atLeast"/>
            </w:pPr>
            <w:r>
              <w:rPr>
                <w:rFonts w:ascii="Arial" w:hAnsi="Arial" w:cs="Arial" w:eastAsia="Arial"/>
                <w:sz w:val="16"/>
                <w:szCs w:val="16"/>
              </w:rPr>
              <w:t>Fatality</w:t>
            </w:r>
          </w:p>
        </w:tc>
        <w:tc>
          <w:tcPr>
            <w:tcW w:type="dxa" w:w="1289"/>
          </w:tcPr>
          <w:p>
            <w:pPr>
              <w:pStyle w:val="TableContents"/>
              <w:spacing w:before="0" w:after="0" w:line="240" w:lineRule="atLeast"/>
            </w:pPr>
            <w:r>
              <w:rPr>
                <w:rFonts w:ascii="Arial" w:hAnsi="Arial" w:cs="Arial" w:eastAsia="Arial"/>
                <w:sz w:val="16"/>
                <w:szCs w:val="16"/>
              </w:rPr>
              <w:t>Immediately upon notification</w:t>
            </w:r>
          </w:p>
        </w:tc>
        <w:tc>
          <w:tcPr>
            <w:tcW w:type="dxa" w:w="1289"/>
          </w:tcPr>
          <w:p>
            <w:pPr>
              <w:pStyle w:val="TableContents"/>
              <w:spacing w:before="0" w:after="0" w:line="240" w:lineRule="atLeast"/>
            </w:pPr>
            <w:r>
              <w:rPr>
                <w:rFonts w:ascii="Arial" w:hAnsi="Arial" w:cs="Arial" w:eastAsia="Arial"/>
                <w:sz w:val="16"/>
                <w:szCs w:val="16"/>
              </w:rPr>
              <w:t>48 hours before commencement</w:t>
            </w:r>
          </w:p>
        </w:tc>
        <w:tc>
          <w:tcPr>
            <w:tcW w:type="dxa" w:w="1289"/>
          </w:tcPr>
          <w:p>
            <w:pPr>
              <w:pStyle w:val="TableContents"/>
              <w:spacing w:before="0" w:after="0" w:line="240" w:lineRule="atLeast"/>
            </w:pPr>
            <w:r>
              <w:rPr>
                <w:rFonts w:ascii="Arial" w:hAnsi="Arial" w:cs="Arial" w:eastAsia="Arial"/>
                <w:sz w:val="16"/>
                <w:szCs w:val="16"/>
              </w:rPr>
              <w:t>Immediately - independent external investigation</w:t>
            </w:r>
          </w:p>
        </w:tc>
        <w:tc>
          <w:tcPr>
            <w:tcW w:type="dxa" w:w="1289"/>
          </w:tcPr>
          <w:p>
            <w:pPr>
              <w:pStyle w:val="TableContents"/>
              <w:spacing w:before="0" w:after="0" w:line="240" w:lineRule="atLeast"/>
            </w:pPr>
            <w:r>
              <w:rPr>
                <w:rFonts w:ascii="Arial" w:hAnsi="Arial" w:cs="Arial" w:eastAsia="Arial"/>
                <w:sz w:val="16"/>
                <w:szCs w:val="16"/>
              </w:rPr>
              <w:t>As directed by project owner</w:t>
            </w:r>
          </w:p>
        </w:tc>
        <w:tc>
          <w:tcPr>
            <w:tcW w:type="dxa" w:w="1289"/>
          </w:tcPr>
          <w:p>
            <w:pPr>
              <w:pStyle w:val="TableContents"/>
              <w:spacing w:before="0" w:after="0" w:line="240" w:lineRule="atLeast"/>
            </w:pPr>
            <w:r>
              <w:rPr>
                <w:rFonts w:ascii="Arial" w:hAnsi="Arial" w:cs="Arial" w:eastAsia="Arial"/>
                <w:sz w:val="16"/>
                <w:szCs w:val="16"/>
              </w:rPr>
              <w:t>As directed by project owner</w:t>
            </w:r>
          </w:p>
        </w:tc>
        <w:tc>
          <w:tcPr>
            <w:tcW w:type="dxa" w:w="1292"/>
          </w:tcPr>
          <w:p>
            <w:pPr>
              <w:pStyle w:val="TableContents"/>
              <w:spacing w:before="0" w:after="0" w:line="240" w:lineRule="atLeast"/>
            </w:pPr>
            <w:r>
              <w:rPr>
                <w:rFonts w:ascii="Arial" w:hAnsi="Arial" w:cs="Arial" w:eastAsia="Arial"/>
                <w:sz w:val="16"/>
                <w:szCs w:val="16"/>
              </w:rPr>
              <w:t>Required - issued immediately</w:t>
            </w:r>
          </w:p>
        </w:tc>
      </w:tr>
      <w:tr>
        <w:tc>
          <w:tcPr>
            <w:tcW w:type="dxa" w:w="1289"/>
          </w:tcPr>
          <w:p>
            <w:pPr>
              <w:pStyle w:val="TableContents"/>
              <w:spacing w:before="0" w:after="0" w:line="240" w:lineRule="atLeast"/>
            </w:pPr>
            <w:r>
              <w:rPr>
                <w:rFonts w:ascii="Arial" w:hAnsi="Arial" w:cs="Arial" w:eastAsia="Arial"/>
                <w:sz w:val="16"/>
                <w:szCs w:val="16"/>
              </w:rPr>
              <w:t>Environmental - Significant or High</w:t>
            </w:r>
          </w:p>
        </w:tc>
        <w:tc>
          <w:tcPr>
            <w:tcW w:type="dxa" w:w="1289"/>
          </w:tcPr>
          <w:p>
            <w:pPr>
              <w:pStyle w:val="TableContents"/>
              <w:spacing w:before="0" w:after="0" w:line="240" w:lineRule="atLeast"/>
            </w:pPr>
            <w:r>
              <w:rPr>
                <w:rFonts w:ascii="Arial" w:hAnsi="Arial" w:cs="Arial" w:eastAsia="Arial"/>
                <w:sz w:val="16"/>
                <w:szCs w:val="16"/>
              </w:rPr>
              <w:t>Within 24 hours of incident</w:t>
            </w:r>
          </w:p>
        </w:tc>
        <w:tc>
          <w:tcPr>
            <w:tcW w:type="dxa" w:w="1289"/>
          </w:tcPr>
          <w:p>
            <w:pPr>
              <w:pStyle w:val="TableContents"/>
              <w:spacing w:before="0" w:after="0" w:line="240" w:lineRule="atLeast"/>
            </w:pPr>
            <w:r>
              <w:rPr>
                <w:rFonts w:ascii="Arial" w:hAnsi="Arial" w:cs="Arial" w:eastAsia="Arial"/>
                <w:sz w:val="16"/>
                <w:szCs w:val="16"/>
              </w:rPr>
              <w:t>48 hours before commencement</w:t>
            </w:r>
          </w:p>
        </w:tc>
        <w:tc>
          <w:tcPr>
            <w:tcW w:type="dxa" w:w="1289"/>
          </w:tcPr>
          <w:p>
            <w:pPr>
              <w:pStyle w:val="TableContents"/>
              <w:spacing w:before="0" w:after="0" w:line="240" w:lineRule="atLeast"/>
            </w:pPr>
            <w:r>
              <w:rPr>
                <w:rFonts w:ascii="Arial" w:hAnsi="Arial" w:cs="Arial" w:eastAsia="Arial"/>
                <w:sz w:val="16"/>
                <w:szCs w:val="16"/>
              </w:rPr>
              <w:t>Within 2 business days</w:t>
            </w:r>
          </w:p>
        </w:tc>
        <w:tc>
          <w:tcPr>
            <w:tcW w:type="dxa" w:w="1289"/>
          </w:tcPr>
          <w:p>
            <w:pPr>
              <w:pStyle w:val="TableContents"/>
              <w:spacing w:before="0" w:after="0" w:line="240" w:lineRule="atLeast"/>
            </w:pPr>
            <w:r>
              <w:rPr>
                <w:rFonts w:ascii="Arial" w:hAnsi="Arial" w:cs="Arial" w:eastAsia="Arial"/>
                <w:sz w:val="16"/>
                <w:szCs w:val="16"/>
              </w:rPr>
              <w:t>Within 15 business days</w:t>
            </w:r>
          </w:p>
        </w:tc>
        <w:tc>
          <w:tcPr>
            <w:tcW w:type="dxa" w:w="1289"/>
          </w:tcPr>
          <w:p>
            <w:pPr>
              <w:pStyle w:val="TableContents"/>
              <w:spacing w:before="0" w:after="0" w:line="240" w:lineRule="atLeast"/>
            </w:pPr>
            <w:r>
              <w:rPr>
                <w:rFonts w:ascii="Arial" w:hAnsi="Arial" w:cs="Arial" w:eastAsia="Arial"/>
                <w:sz w:val="16"/>
                <w:szCs w:val="16"/>
              </w:rPr>
              <w:t>Within 21 business days</w:t>
            </w:r>
          </w:p>
        </w:tc>
        <w:tc>
          <w:tcPr>
            <w:tcW w:type="dxa" w:w="1292"/>
          </w:tcPr>
          <w:p>
            <w:pPr>
              <w:pStyle w:val="TableContents"/>
              <w:spacing w:before="0" w:after="0" w:line="240" w:lineRule="atLeast"/>
            </w:pPr>
            <w:r>
              <w:rPr>
                <w:rFonts w:ascii="Arial" w:hAnsi="Arial" w:cs="Arial" w:eastAsia="Arial"/>
                <w:sz w:val="16"/>
                <w:szCs w:val="16"/>
              </w:rPr>
              <w:t>Required - issued with final report</w:t>
            </w:r>
          </w:p>
        </w:tc>
      </w:tr>
      <w:tr>
        <w:tc>
          <w:tcPr>
            <w:tcW w:type="dxa" w:w="1289"/>
          </w:tcPr>
          <w:p>
            <w:pPr>
              <w:pStyle w:val="TableContents"/>
              <w:spacing w:before="0" w:after="0" w:line="240" w:lineRule="atLeast"/>
            </w:pPr>
            <w:r>
              <w:rPr>
                <w:rFonts w:ascii="Arial" w:hAnsi="Arial" w:cs="Arial" w:eastAsia="Arial"/>
                <w:sz w:val="16"/>
                <w:szCs w:val="16"/>
              </w:rPr>
              <w:t>Community - High</w:t>
            </w:r>
          </w:p>
        </w:tc>
        <w:tc>
          <w:tcPr>
            <w:tcW w:type="dxa" w:w="1289"/>
          </w:tcPr>
          <w:p>
            <w:pPr>
              <w:pStyle w:val="TableContents"/>
              <w:spacing w:before="0" w:after="0" w:line="240" w:lineRule="atLeast"/>
            </w:pPr>
            <w:r>
              <w:rPr>
                <w:rFonts w:ascii="Arial" w:hAnsi="Arial" w:cs="Arial" w:eastAsia="Arial"/>
                <w:sz w:val="16"/>
                <w:szCs w:val="16"/>
              </w:rPr>
              <w:t>Within 24 hours of incident</w:t>
            </w:r>
          </w:p>
        </w:tc>
        <w:tc>
          <w:tcPr>
            <w:tcW w:type="dxa" w:w="1289"/>
          </w:tcPr>
          <w:p>
            <w:pPr>
              <w:pStyle w:val="TableContents"/>
              <w:spacing w:before="0" w:after="0" w:line="240" w:lineRule="atLeast"/>
            </w:pPr>
            <w:r>
              <w:rPr>
                <w:rFonts w:ascii="Arial" w:hAnsi="Arial" w:cs="Arial" w:eastAsia="Arial"/>
                <w:sz w:val="16"/>
                <w:szCs w:val="16"/>
              </w:rPr>
              <w:t>48 hours before commencement</w:t>
            </w:r>
          </w:p>
        </w:tc>
        <w:tc>
          <w:tcPr>
            <w:tcW w:type="dxa" w:w="1289"/>
          </w:tcPr>
          <w:p>
            <w:pPr>
              <w:pStyle w:val="TableContents"/>
              <w:spacing w:before="0" w:after="0" w:line="240" w:lineRule="atLeast"/>
            </w:pPr>
            <w:r>
              <w:rPr>
                <w:rFonts w:ascii="Arial" w:hAnsi="Arial" w:cs="Arial" w:eastAsia="Arial"/>
                <w:sz w:val="16"/>
                <w:szCs w:val="16"/>
              </w:rPr>
              <w:t>Within 2 business days</w:t>
            </w:r>
          </w:p>
        </w:tc>
        <w:tc>
          <w:tcPr>
            <w:tcW w:type="dxa" w:w="1289"/>
          </w:tcPr>
          <w:p>
            <w:pPr>
              <w:pStyle w:val="TableContents"/>
              <w:spacing w:before="0" w:after="0" w:line="240" w:lineRule="atLeast"/>
            </w:pPr>
            <w:r>
              <w:rPr>
                <w:rFonts w:ascii="Arial" w:hAnsi="Arial" w:cs="Arial" w:eastAsia="Arial"/>
                <w:sz w:val="16"/>
                <w:szCs w:val="16"/>
              </w:rPr>
              <w:t>Within 15 business days</w:t>
            </w:r>
          </w:p>
        </w:tc>
        <w:tc>
          <w:tcPr>
            <w:tcW w:type="dxa" w:w="1289"/>
          </w:tcPr>
          <w:p>
            <w:pPr>
              <w:pStyle w:val="TableContents"/>
              <w:spacing w:before="0" w:after="0" w:line="240" w:lineRule="atLeast"/>
            </w:pPr>
            <w:r>
              <w:rPr>
                <w:rFonts w:ascii="Arial" w:hAnsi="Arial" w:cs="Arial" w:eastAsia="Arial"/>
                <w:sz w:val="16"/>
                <w:szCs w:val="16"/>
              </w:rPr>
              <w:t>Within 21 business days</w:t>
            </w:r>
          </w:p>
        </w:tc>
        <w:tc>
          <w:tcPr>
            <w:tcW w:type="dxa" w:w="1292"/>
          </w:tcPr>
          <w:p>
            <w:pPr>
              <w:pStyle w:val="TableContents"/>
              <w:spacing w:before="0" w:after="0" w:line="240" w:lineRule="atLeast"/>
            </w:pPr>
            <w:r>
              <w:rPr>
                <w:rFonts w:ascii="Arial" w:hAnsi="Arial" w:cs="Arial" w:eastAsia="Arial"/>
                <w:sz w:val="16"/>
                <w:szCs w:val="16"/>
              </w:rPr>
              <w:t>Required - issued with final report</w:t>
            </w:r>
          </w:p>
        </w:tc>
      </w:tr>
      <w:tr>
        <w:tc>
          <w:tcPr>
            <w:tcW w:type="dxa" w:w="1289"/>
          </w:tcPr>
          <w:p>
            <w:pPr>
              <w:pStyle w:val="TableContents"/>
              <w:spacing w:before="0" w:after="0" w:line="240" w:lineRule="atLeast"/>
            </w:pPr>
            <w:r>
              <w:rPr>
                <w:rFonts w:ascii="Arial" w:hAnsi="Arial" w:cs="Arial" w:eastAsia="Arial"/>
                <w:sz w:val="16"/>
                <w:szCs w:val="16"/>
              </w:rPr>
              <w:t>Process Safety Incident</w:t>
            </w:r>
          </w:p>
        </w:tc>
        <w:tc>
          <w:tcPr>
            <w:tcW w:type="dxa" w:w="1289"/>
          </w:tcPr>
          <w:p>
            <w:pPr>
              <w:pStyle w:val="TableContents"/>
              <w:spacing w:before="0" w:after="0" w:line="240" w:lineRule="atLeast"/>
            </w:pPr>
            <w:r>
              <w:rPr>
                <w:rFonts w:ascii="Arial" w:hAnsi="Arial" w:cs="Arial" w:eastAsia="Arial"/>
                <w:sz w:val="16"/>
                <w:szCs w:val="16"/>
              </w:rPr>
              <w:t>Within 24 hours of incident</w:t>
            </w:r>
          </w:p>
        </w:tc>
        <w:tc>
          <w:tcPr>
            <w:tcW w:type="dxa" w:w="1289"/>
          </w:tcPr>
          <w:p>
            <w:pPr>
              <w:pStyle w:val="TableContents"/>
              <w:spacing w:before="0" w:after="0" w:line="240" w:lineRule="atLeast"/>
            </w:pPr>
            <w:r>
              <w:rPr>
                <w:rFonts w:ascii="Arial" w:hAnsi="Arial" w:cs="Arial" w:eastAsia="Arial"/>
                <w:sz w:val="16"/>
                <w:szCs w:val="16"/>
              </w:rPr>
              <w:t>48 hours before commencement</w:t>
            </w:r>
          </w:p>
        </w:tc>
        <w:tc>
          <w:tcPr>
            <w:tcW w:type="dxa" w:w="1289"/>
          </w:tcPr>
          <w:p>
            <w:pPr>
              <w:pStyle w:val="TableContents"/>
              <w:spacing w:before="0" w:after="0" w:line="240" w:lineRule="atLeast"/>
            </w:pPr>
            <w:r>
              <w:rPr>
                <w:rFonts w:ascii="Arial" w:hAnsi="Arial" w:cs="Arial" w:eastAsia="Arial"/>
                <w:sz w:val="16"/>
                <w:szCs w:val="16"/>
              </w:rPr>
              <w:t>Within 1 business day</w:t>
            </w:r>
          </w:p>
        </w:tc>
        <w:tc>
          <w:tcPr>
            <w:tcW w:type="dxa" w:w="1289"/>
          </w:tcPr>
          <w:p>
            <w:pPr>
              <w:pStyle w:val="TableContents"/>
              <w:spacing w:before="0" w:after="0" w:line="240" w:lineRule="atLeast"/>
            </w:pPr>
            <w:r>
              <w:rPr>
                <w:rFonts w:ascii="Arial" w:hAnsi="Arial" w:cs="Arial" w:eastAsia="Arial"/>
                <w:sz w:val="16"/>
                <w:szCs w:val="16"/>
              </w:rPr>
              <w:t>Within 10 business days</w:t>
            </w:r>
          </w:p>
        </w:tc>
        <w:tc>
          <w:tcPr>
            <w:tcW w:type="dxa" w:w="1289"/>
          </w:tcPr>
          <w:p>
            <w:pPr>
              <w:pStyle w:val="TableContents"/>
              <w:spacing w:before="0" w:after="0" w:line="240" w:lineRule="atLeast"/>
            </w:pPr>
            <w:r>
              <w:rPr>
                <w:rFonts w:ascii="Arial" w:hAnsi="Arial" w:cs="Arial" w:eastAsia="Arial"/>
                <w:sz w:val="16"/>
                <w:szCs w:val="16"/>
              </w:rPr>
              <w:t>Within 15 business days</w:t>
            </w:r>
          </w:p>
        </w:tc>
        <w:tc>
          <w:tcPr>
            <w:tcW w:type="dxa" w:w="1292"/>
          </w:tcPr>
          <w:p>
            <w:pPr>
              <w:pStyle w:val="TableContents"/>
              <w:spacing w:before="0" w:after="0" w:line="240" w:lineRule="atLeast"/>
            </w:pPr>
            <w:r>
              <w:rPr>
                <w:rFonts w:ascii="Arial" w:hAnsi="Arial" w:cs="Arial" w:eastAsia="Arial"/>
                <w:sz w:val="16"/>
                <w:szCs w:val="16"/>
              </w:rPr>
              <w:t>Required - issued with final report</w:t>
            </w:r>
          </w:p>
        </w:tc>
      </w:tr>
    </w:tbl>
    <w:p>
      <w:pPr>
        <w:pStyle w:val="NormalNumberedtext"/>
      </w:pPr>
    </w:p>
    <w:p>
      <w:pPr>
        <w:pStyle w:val="NormalNumberedtext"/>
      </w:pPr>
      <w:r>
        <w:t>Orange Banner and Red Banner notifications are issued to the project owner and relevant Rio Tinto corporate function in the format required by the RT Incident Reporting and Investigation Standard. The HSESC Manager is responsible for issuing these notifications within the timeframes defined in Table 2.</w:t>
      </w:r>
    </w:p>
    <w:p>
      <w:pPr>
        <w:pStyle w:val="NormalNumberedtext"/>
      </w:pPr>
    </w:p>
    <w:p>
      <w:pPr>
        <w:pStyle w:val="Heading1Numbered"/>
        <w:numPr>
          <w:ilvl w:val="0"/>
          <w:numId w:val="1"/>
        </w:numPr>
      </w:pPr>
      <w:r>
        <w:rPr>
          <w:rFonts w:ascii="Arial" w:hAnsi="Arial" w:cs="Arial" w:eastAsia="Arial"/>
        </w:rPr>
        <w:t>Incident Investigation</w:t>
      </w:r>
    </w:p>
    <w:p>
      <w:pPr>
        <w:pStyle w:val="NormalNumberedtext"/>
      </w:pPr>
      <w:r>
        <w:t>This section defines the investigation methodology applied by incident classification, Terms of Reference requirements, mandatory report content, and the use of investigation data to improve management controls.</w:t>
      </w:r>
    </w:p>
    <w:p>
      <w:pPr>
        <w:pStyle w:val="NormalNumberedtext"/>
      </w:pPr>
    </w:p>
    <w:p>
      <w:pPr>
        <w:pStyle w:val="Heading2Numbered"/>
        <w:numPr>
          <w:ilvl w:val="1"/>
          <w:numId w:val="1"/>
        </w:numPr>
      </w:pPr>
      <w:r>
        <w:rPr>
          <w:rFonts w:ascii="Arial" w:hAnsi="Arial" w:cs="Arial" w:eastAsia="Arial"/>
        </w:rPr>
        <w:t>Investigation Methodology by Classification</w:t>
      </w:r>
    </w:p>
    <w:p>
      <w:pPr>
        <w:pStyle w:val="NormalNumberedtext"/>
      </w:pPr>
      <w:r>
        <w:t>Investigation methodology is calibrated to incident classification and must identify both system and human or behavioural root causes.</w:t>
      </w:r>
    </w:p>
    <w:p>
      <w:pPr>
        <w:pStyle w:val="NormalNumberedtext"/>
      </w:pPr>
      <w:r>
        <w:t>The HSESC Manager confirms the investigation methodology applied to each incident before the investigation commences. The methodology is determined by the higher of the actual and MRO classification as shown in Table 3. All investigations, regardless of methodology, must identify system root causes and human or behavioural root causes. Surface-level cause identification is not sufficient.</w:t>
      </w:r>
    </w:p>
    <w:p>
      <w:pPr>
        <w:pStyle w:val="NormalNumberedtext"/>
      </w:pPr>
      <w:r>
        <w:t>Table 3: Investigation Methodology by Incident Classification</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Classification</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Required Methodology</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Led By</w:t>
            </w:r>
          </w:p>
        </w:tc>
      </w:tr>
      <w:tr>
        <w:tc>
          <w:tcPr>
            <w:tcW w:type="dxa" w:w="3008"/>
          </w:tcPr>
          <w:p>
            <w:pPr>
              <w:pStyle w:val="TableContents"/>
              <w:spacing w:before="0" w:after="0" w:line="240" w:lineRule="atLeast"/>
            </w:pPr>
            <w:r>
              <w:rPr>
                <w:rFonts w:ascii="Arial" w:hAnsi="Arial" w:cs="Arial" w:eastAsia="Arial"/>
                <w:sz w:val="16"/>
                <w:szCs w:val="16"/>
              </w:rPr>
              <w:t>First Aid Case</w:t>
            </w:r>
          </w:p>
        </w:tc>
        <w:tc>
          <w:tcPr>
            <w:tcW w:type="dxa" w:w="3008"/>
          </w:tcPr>
          <w:p>
            <w:pPr>
              <w:pStyle w:val="TableContents"/>
              <w:spacing w:before="0" w:after="0" w:line="240" w:lineRule="atLeast"/>
            </w:pPr>
            <w:r>
              <w:rPr>
                <w:rFonts w:ascii="Arial" w:hAnsi="Arial" w:cs="Arial" w:eastAsia="Arial"/>
                <w:sz w:val="16"/>
                <w:szCs w:val="16"/>
              </w:rPr>
              <w:t>5-Why analysis</w:t>
            </w:r>
          </w:p>
        </w:tc>
        <w:tc>
          <w:tcPr>
            <w:tcW w:type="dxa" w:w="3010"/>
          </w:tcPr>
          <w:p>
            <w:pPr>
              <w:pStyle w:val="TableContents"/>
              <w:spacing w:before="0" w:after="0" w:line="240" w:lineRule="atLeast"/>
            </w:pPr>
            <w:r>
              <w:rPr>
                <w:rFonts w:ascii="Arial" w:hAnsi="Arial" w:cs="Arial" w:eastAsia="Arial"/>
                <w:sz w:val="16"/>
                <w:szCs w:val="16"/>
              </w:rPr>
              <w:t>Work supervisor, supported by HSESC representative</w:t>
            </w:r>
          </w:p>
        </w:tc>
      </w:tr>
      <w:tr>
        <w:tc>
          <w:tcPr>
            <w:tcW w:type="dxa" w:w="3008"/>
          </w:tcPr>
          <w:p>
            <w:pPr>
              <w:pStyle w:val="TableContents"/>
              <w:spacing w:before="0" w:after="0" w:line="240" w:lineRule="atLeast"/>
            </w:pPr>
            <w:r>
              <w:rPr>
                <w:rFonts w:ascii="Arial" w:hAnsi="Arial" w:cs="Arial" w:eastAsia="Arial"/>
                <w:sz w:val="16"/>
                <w:szCs w:val="16"/>
              </w:rPr>
              <w:t>Near Miss</w:t>
            </w:r>
          </w:p>
        </w:tc>
        <w:tc>
          <w:tcPr>
            <w:tcW w:type="dxa" w:w="3008"/>
          </w:tcPr>
          <w:p>
            <w:pPr>
              <w:pStyle w:val="TableContents"/>
              <w:spacing w:before="0" w:after="0" w:line="240" w:lineRule="atLeast"/>
            </w:pPr>
            <w:r>
              <w:rPr>
                <w:rFonts w:ascii="Arial" w:hAnsi="Arial" w:cs="Arial" w:eastAsia="Arial"/>
                <w:sz w:val="16"/>
                <w:szCs w:val="16"/>
              </w:rPr>
              <w:t>5-Why analysis</w:t>
            </w:r>
          </w:p>
        </w:tc>
        <w:tc>
          <w:tcPr>
            <w:tcW w:type="dxa" w:w="3010"/>
          </w:tcPr>
          <w:p>
            <w:pPr>
              <w:pStyle w:val="TableContents"/>
              <w:spacing w:before="0" w:after="0" w:line="240" w:lineRule="atLeast"/>
            </w:pPr>
            <w:r>
              <w:rPr>
                <w:rFonts w:ascii="Arial" w:hAnsi="Arial" w:cs="Arial" w:eastAsia="Arial"/>
                <w:sz w:val="16"/>
                <w:szCs w:val="16"/>
              </w:rPr>
              <w:t>Work supervisor, supported by HSESC representative</w:t>
            </w:r>
          </w:p>
        </w:tc>
      </w:tr>
      <w:tr>
        <w:tc>
          <w:tcPr>
            <w:tcW w:type="dxa" w:w="3008"/>
          </w:tcPr>
          <w:p>
            <w:pPr>
              <w:pStyle w:val="TableContents"/>
              <w:spacing w:before="0" w:after="0" w:line="240" w:lineRule="atLeast"/>
            </w:pPr>
            <w:r>
              <w:rPr>
                <w:rFonts w:ascii="Arial" w:hAnsi="Arial" w:cs="Arial" w:eastAsia="Arial"/>
                <w:sz w:val="16"/>
                <w:szCs w:val="16"/>
              </w:rPr>
              <w:t>MTCI</w:t>
            </w:r>
          </w:p>
        </w:tc>
        <w:tc>
          <w:tcPr>
            <w:tcW w:type="dxa" w:w="3008"/>
          </w:tcPr>
          <w:p>
            <w:pPr>
              <w:pStyle w:val="TableContents"/>
              <w:spacing w:before="0" w:after="0" w:line="240" w:lineRule="atLeast"/>
            </w:pPr>
            <w:r>
              <w:rPr>
                <w:rFonts w:ascii="Arial" w:hAnsi="Arial" w:cs="Arial" w:eastAsia="Arial"/>
                <w:sz w:val="16"/>
                <w:szCs w:val="16"/>
              </w:rPr>
              <w:t>Taproot or approved RCA methodology</w:t>
            </w:r>
          </w:p>
        </w:tc>
        <w:tc>
          <w:tcPr>
            <w:tcW w:type="dxa" w:w="3010"/>
          </w:tcPr>
          <w:p>
            <w:pPr>
              <w:pStyle w:val="TableContents"/>
              <w:spacing w:before="0" w:after="0" w:line="240" w:lineRule="atLeast"/>
            </w:pPr>
            <w:r>
              <w:rPr>
                <w:rFonts w:ascii="Arial" w:hAnsi="Arial" w:cs="Arial" w:eastAsia="Arial"/>
                <w:sz w:val="16"/>
                <w:szCs w:val="16"/>
              </w:rPr>
              <w:t>Project management personnel trained in RCA</w:t>
            </w:r>
          </w:p>
        </w:tc>
      </w:tr>
      <w:tr>
        <w:tc>
          <w:tcPr>
            <w:tcW w:type="dxa" w:w="3008"/>
          </w:tcPr>
          <w:p>
            <w:pPr>
              <w:pStyle w:val="TableContents"/>
              <w:spacing w:before="0" w:after="0" w:line="240" w:lineRule="atLeast"/>
            </w:pPr>
            <w:r>
              <w:rPr>
                <w:rFonts w:ascii="Arial" w:hAnsi="Arial" w:cs="Arial" w:eastAsia="Arial"/>
                <w:sz w:val="16"/>
                <w:szCs w:val="16"/>
              </w:rPr>
              <w:t>RWDI</w:t>
            </w:r>
          </w:p>
        </w:tc>
        <w:tc>
          <w:tcPr>
            <w:tcW w:type="dxa" w:w="3008"/>
          </w:tcPr>
          <w:p>
            <w:pPr>
              <w:pStyle w:val="TableContents"/>
              <w:spacing w:before="0" w:after="0" w:line="240" w:lineRule="atLeast"/>
            </w:pPr>
            <w:r>
              <w:rPr>
                <w:rFonts w:ascii="Arial" w:hAnsi="Arial" w:cs="Arial" w:eastAsia="Arial"/>
                <w:sz w:val="16"/>
                <w:szCs w:val="16"/>
              </w:rPr>
              <w:t>Taproot or approved RCA methodology</w:t>
            </w:r>
          </w:p>
        </w:tc>
        <w:tc>
          <w:tcPr>
            <w:tcW w:type="dxa" w:w="3010"/>
          </w:tcPr>
          <w:p>
            <w:pPr>
              <w:pStyle w:val="TableContents"/>
              <w:spacing w:before="0" w:after="0" w:line="240" w:lineRule="atLeast"/>
            </w:pPr>
            <w:r>
              <w:rPr>
                <w:rFonts w:ascii="Arial" w:hAnsi="Arial" w:cs="Arial" w:eastAsia="Arial"/>
                <w:sz w:val="16"/>
                <w:szCs w:val="16"/>
              </w:rPr>
              <w:t>Project management personnel trained in RCA</w:t>
            </w:r>
          </w:p>
        </w:tc>
      </w:tr>
      <w:tr>
        <w:tc>
          <w:tcPr>
            <w:tcW w:type="dxa" w:w="3008"/>
          </w:tcPr>
          <w:p>
            <w:pPr>
              <w:pStyle w:val="TableContents"/>
              <w:spacing w:before="0" w:after="0" w:line="240" w:lineRule="atLeast"/>
            </w:pPr>
            <w:r>
              <w:rPr>
                <w:rFonts w:ascii="Arial" w:hAnsi="Arial" w:cs="Arial" w:eastAsia="Arial"/>
                <w:sz w:val="16"/>
                <w:szCs w:val="16"/>
              </w:rPr>
              <w:t>LDI</w:t>
            </w:r>
          </w:p>
        </w:tc>
        <w:tc>
          <w:tcPr>
            <w:tcW w:type="dxa" w:w="3008"/>
          </w:tcPr>
          <w:p>
            <w:pPr>
              <w:pStyle w:val="TableContents"/>
              <w:spacing w:before="0" w:after="0" w:line="240" w:lineRule="atLeast"/>
            </w:pPr>
            <w:r>
              <w:rPr>
                <w:rFonts w:ascii="Arial" w:hAnsi="Arial" w:cs="Arial" w:eastAsia="Arial"/>
                <w:sz w:val="16"/>
                <w:szCs w:val="16"/>
              </w:rPr>
              <w:t>Taproot or approved RCA methodology</w:t>
            </w:r>
          </w:p>
        </w:tc>
        <w:tc>
          <w:tcPr>
            <w:tcW w:type="dxa" w:w="3010"/>
          </w:tcPr>
          <w:p>
            <w:pPr>
              <w:pStyle w:val="TableContents"/>
              <w:spacing w:before="0" w:after="0" w:line="240" w:lineRule="atLeast"/>
            </w:pPr>
            <w:r>
              <w:rPr>
                <w:rFonts w:ascii="Arial" w:hAnsi="Arial" w:cs="Arial" w:eastAsia="Arial"/>
                <w:sz w:val="16"/>
                <w:szCs w:val="16"/>
              </w:rPr>
              <w:t>Project management personnel trained in RCA</w:t>
            </w:r>
          </w:p>
        </w:tc>
      </w:tr>
      <w:tr>
        <w:tc>
          <w:tcPr>
            <w:tcW w:type="dxa" w:w="3008"/>
          </w:tcPr>
          <w:p>
            <w:pPr>
              <w:pStyle w:val="TableContents"/>
              <w:spacing w:before="0" w:after="0" w:line="240" w:lineRule="atLeast"/>
            </w:pPr>
            <w:r>
              <w:rPr>
                <w:rFonts w:ascii="Arial" w:hAnsi="Arial" w:cs="Arial" w:eastAsia="Arial"/>
                <w:sz w:val="16"/>
                <w:szCs w:val="16"/>
              </w:rPr>
              <w:t>Vehicle Incident (significant)</w:t>
            </w:r>
          </w:p>
        </w:tc>
        <w:tc>
          <w:tcPr>
            <w:tcW w:type="dxa" w:w="3008"/>
          </w:tcPr>
          <w:p>
            <w:pPr>
              <w:pStyle w:val="TableContents"/>
              <w:spacing w:before="0" w:after="0" w:line="240" w:lineRule="atLeast"/>
            </w:pPr>
            <w:r>
              <w:rPr>
                <w:rFonts w:ascii="Arial" w:hAnsi="Arial" w:cs="Arial" w:eastAsia="Arial"/>
                <w:sz w:val="16"/>
                <w:szCs w:val="16"/>
              </w:rPr>
              <w:t>Taproot or approved RCA methodology</w:t>
            </w:r>
          </w:p>
        </w:tc>
        <w:tc>
          <w:tcPr>
            <w:tcW w:type="dxa" w:w="3010"/>
          </w:tcPr>
          <w:p>
            <w:pPr>
              <w:pStyle w:val="TableContents"/>
              <w:spacing w:before="0" w:after="0" w:line="240" w:lineRule="atLeast"/>
            </w:pPr>
            <w:r>
              <w:rPr>
                <w:rFonts w:ascii="Arial" w:hAnsi="Arial" w:cs="Arial" w:eastAsia="Arial"/>
                <w:sz w:val="16"/>
                <w:szCs w:val="16"/>
              </w:rPr>
              <w:t>Project management personnel trained in RCA</w:t>
            </w:r>
          </w:p>
        </w:tc>
      </w:tr>
      <w:tr>
        <w:tc>
          <w:tcPr>
            <w:tcW w:type="dxa" w:w="3008"/>
          </w:tcPr>
          <w:p>
            <w:pPr>
              <w:pStyle w:val="TableContents"/>
              <w:spacing w:before="0" w:after="0" w:line="240" w:lineRule="atLeast"/>
            </w:pPr>
            <w:r>
              <w:rPr>
                <w:rFonts w:ascii="Arial" w:hAnsi="Arial" w:cs="Arial" w:eastAsia="Arial"/>
                <w:sz w:val="16"/>
                <w:szCs w:val="16"/>
              </w:rPr>
              <w:t>PFI</w:t>
            </w:r>
          </w:p>
        </w:tc>
        <w:tc>
          <w:tcPr>
            <w:tcW w:type="dxa" w:w="3008"/>
          </w:tcPr>
          <w:p>
            <w:pPr>
              <w:pStyle w:val="TableContents"/>
              <w:spacing w:before="0" w:after="0" w:line="240" w:lineRule="atLeast"/>
            </w:pPr>
            <w:r>
              <w:rPr>
                <w:rFonts w:ascii="Arial" w:hAnsi="Arial" w:cs="Arial" w:eastAsia="Arial"/>
                <w:sz w:val="16"/>
                <w:szCs w:val="16"/>
              </w:rPr>
              <w:t>Taproot or approved RCA methodology</w:t>
            </w:r>
          </w:p>
        </w:tc>
        <w:tc>
          <w:tcPr>
            <w:tcW w:type="dxa" w:w="3010"/>
          </w:tcPr>
          <w:p>
            <w:pPr>
              <w:pStyle w:val="TableContents"/>
              <w:spacing w:before="0" w:after="0" w:line="240" w:lineRule="atLeast"/>
            </w:pPr>
            <w:r>
              <w:rPr>
                <w:rFonts w:ascii="Arial" w:hAnsi="Arial" w:cs="Arial" w:eastAsia="Arial"/>
                <w:sz w:val="16"/>
                <w:szCs w:val="16"/>
              </w:rPr>
              <w:t>Project management personnel trained in RCA</w:t>
            </w:r>
          </w:p>
        </w:tc>
      </w:tr>
      <w:tr>
        <w:tc>
          <w:tcPr>
            <w:tcW w:type="dxa" w:w="3008"/>
          </w:tcPr>
          <w:p>
            <w:pPr>
              <w:pStyle w:val="TableContents"/>
              <w:spacing w:before="0" w:after="0" w:line="240" w:lineRule="atLeast"/>
            </w:pPr>
            <w:r>
              <w:rPr>
                <w:rFonts w:ascii="Arial" w:hAnsi="Arial" w:cs="Arial" w:eastAsia="Arial"/>
                <w:sz w:val="16"/>
                <w:szCs w:val="16"/>
              </w:rPr>
              <w:t>SPI</w:t>
            </w:r>
          </w:p>
        </w:tc>
        <w:tc>
          <w:tcPr>
            <w:tcW w:type="dxa" w:w="3008"/>
          </w:tcPr>
          <w:p>
            <w:pPr>
              <w:pStyle w:val="TableContents"/>
              <w:spacing w:before="0" w:after="0" w:line="240" w:lineRule="atLeast"/>
            </w:pPr>
            <w:r>
              <w:rPr>
                <w:rFonts w:ascii="Arial" w:hAnsi="Arial" w:cs="Arial" w:eastAsia="Arial"/>
                <w:sz w:val="16"/>
                <w:szCs w:val="16"/>
              </w:rPr>
              <w:t>Taproot or approved RCA methodology</w:t>
            </w:r>
          </w:p>
        </w:tc>
        <w:tc>
          <w:tcPr>
            <w:tcW w:type="dxa" w:w="3010"/>
          </w:tcPr>
          <w:p>
            <w:pPr>
              <w:pStyle w:val="TableContents"/>
              <w:spacing w:before="0" w:after="0" w:line="240" w:lineRule="atLeast"/>
            </w:pPr>
            <w:r>
              <w:rPr>
                <w:rFonts w:ascii="Arial" w:hAnsi="Arial" w:cs="Arial" w:eastAsia="Arial"/>
                <w:sz w:val="16"/>
                <w:szCs w:val="16"/>
              </w:rPr>
              <w:t>Project management personnel trained in RCA</w:t>
            </w:r>
          </w:p>
        </w:tc>
      </w:tr>
      <w:tr>
        <w:tc>
          <w:tcPr>
            <w:tcW w:type="dxa" w:w="3008"/>
          </w:tcPr>
          <w:p>
            <w:pPr>
              <w:pStyle w:val="TableContents"/>
              <w:spacing w:before="0" w:after="0" w:line="240" w:lineRule="atLeast"/>
            </w:pPr>
            <w:r>
              <w:rPr>
                <w:rFonts w:ascii="Arial" w:hAnsi="Arial" w:cs="Arial" w:eastAsia="Arial"/>
                <w:sz w:val="16"/>
                <w:szCs w:val="16"/>
              </w:rPr>
              <w:t>Fatality</w:t>
            </w:r>
          </w:p>
        </w:tc>
        <w:tc>
          <w:tcPr>
            <w:tcW w:type="dxa" w:w="3008"/>
          </w:tcPr>
          <w:p>
            <w:pPr>
              <w:pStyle w:val="TableContents"/>
              <w:spacing w:before="0" w:after="0" w:line="240" w:lineRule="atLeast"/>
            </w:pPr>
            <w:r>
              <w:rPr>
                <w:rFonts w:ascii="Arial" w:hAnsi="Arial" w:cs="Arial" w:eastAsia="Arial"/>
                <w:sz w:val="16"/>
                <w:szCs w:val="16"/>
              </w:rPr>
              <w:t>Independent external investigation</w:t>
            </w:r>
          </w:p>
        </w:tc>
        <w:tc>
          <w:tcPr>
            <w:tcW w:type="dxa" w:w="3010"/>
          </w:tcPr>
          <w:p>
            <w:pPr>
              <w:pStyle w:val="TableContents"/>
              <w:spacing w:before="0" w:after="0" w:line="240" w:lineRule="atLeast"/>
            </w:pPr>
            <w:r>
              <w:rPr>
                <w:rFonts w:ascii="Arial" w:hAnsi="Arial" w:cs="Arial" w:eastAsia="Arial"/>
                <w:sz w:val="16"/>
                <w:szCs w:val="16"/>
              </w:rPr>
              <w:t>Externally appointed investigation lead, approved by project owner</w:t>
            </w:r>
          </w:p>
        </w:tc>
      </w:tr>
      <w:tr>
        <w:tc>
          <w:tcPr>
            <w:tcW w:type="dxa" w:w="3008"/>
          </w:tcPr>
          <w:p>
            <w:pPr>
              <w:pStyle w:val="TableContents"/>
              <w:spacing w:before="0" w:after="0" w:line="240" w:lineRule="atLeast"/>
            </w:pPr>
            <w:r>
              <w:rPr>
                <w:rFonts w:ascii="Arial" w:hAnsi="Arial" w:cs="Arial" w:eastAsia="Arial"/>
                <w:sz w:val="16"/>
                <w:szCs w:val="16"/>
              </w:rPr>
              <w:t>Environmental - Significant or High</w:t>
            </w:r>
          </w:p>
        </w:tc>
        <w:tc>
          <w:tcPr>
            <w:tcW w:type="dxa" w:w="3008"/>
          </w:tcPr>
          <w:p>
            <w:pPr>
              <w:pStyle w:val="TableContents"/>
              <w:spacing w:before="0" w:after="0" w:line="240" w:lineRule="atLeast"/>
            </w:pPr>
            <w:r>
              <w:rPr>
                <w:rFonts w:ascii="Arial" w:hAnsi="Arial" w:cs="Arial" w:eastAsia="Arial"/>
                <w:sz w:val="16"/>
                <w:szCs w:val="16"/>
              </w:rPr>
              <w:t>Taproot or approved RCA methodology</w:t>
            </w:r>
          </w:p>
        </w:tc>
        <w:tc>
          <w:tcPr>
            <w:tcW w:type="dxa" w:w="3010"/>
          </w:tcPr>
          <w:p>
            <w:pPr>
              <w:pStyle w:val="TableContents"/>
              <w:spacing w:before="0" w:after="0" w:line="240" w:lineRule="atLeast"/>
            </w:pPr>
            <w:r>
              <w:rPr>
                <w:rFonts w:ascii="Arial" w:hAnsi="Arial" w:cs="Arial" w:eastAsia="Arial"/>
                <w:sz w:val="16"/>
                <w:szCs w:val="16"/>
              </w:rPr>
              <w:t>Project management personnel trained in RCA</w:t>
            </w:r>
          </w:p>
        </w:tc>
      </w:tr>
      <w:tr>
        <w:tc>
          <w:tcPr>
            <w:tcW w:type="dxa" w:w="3008"/>
          </w:tcPr>
          <w:p>
            <w:pPr>
              <w:pStyle w:val="TableContents"/>
              <w:spacing w:before="0" w:after="0" w:line="240" w:lineRule="atLeast"/>
            </w:pPr>
            <w:r>
              <w:rPr>
                <w:rFonts w:ascii="Arial" w:hAnsi="Arial" w:cs="Arial" w:eastAsia="Arial"/>
                <w:sz w:val="16"/>
                <w:szCs w:val="16"/>
              </w:rPr>
              <w:t>Community - High</w:t>
            </w:r>
          </w:p>
        </w:tc>
        <w:tc>
          <w:tcPr>
            <w:tcW w:type="dxa" w:w="3008"/>
          </w:tcPr>
          <w:p>
            <w:pPr>
              <w:pStyle w:val="TableContents"/>
              <w:spacing w:before="0" w:after="0" w:line="240" w:lineRule="atLeast"/>
            </w:pPr>
            <w:r>
              <w:rPr>
                <w:rFonts w:ascii="Arial" w:hAnsi="Arial" w:cs="Arial" w:eastAsia="Arial"/>
                <w:sz w:val="16"/>
                <w:szCs w:val="16"/>
              </w:rPr>
              <w:t>Taproot or approved RCA methodology</w:t>
            </w:r>
          </w:p>
        </w:tc>
        <w:tc>
          <w:tcPr>
            <w:tcW w:type="dxa" w:w="3010"/>
          </w:tcPr>
          <w:p>
            <w:pPr>
              <w:pStyle w:val="TableContents"/>
              <w:spacing w:before="0" w:after="0" w:line="240" w:lineRule="atLeast"/>
            </w:pPr>
            <w:r>
              <w:rPr>
                <w:rFonts w:ascii="Arial" w:hAnsi="Arial" w:cs="Arial" w:eastAsia="Arial"/>
                <w:sz w:val="16"/>
                <w:szCs w:val="16"/>
              </w:rPr>
              <w:t>Project management personnel trained in RCA</w:t>
            </w:r>
          </w:p>
        </w:tc>
      </w:tr>
      <w:tr>
        <w:tc>
          <w:tcPr>
            <w:tcW w:type="dxa" w:w="3008"/>
          </w:tcPr>
          <w:p>
            <w:pPr>
              <w:pStyle w:val="TableContents"/>
              <w:spacing w:before="0" w:after="0" w:line="240" w:lineRule="atLeast"/>
            </w:pPr>
            <w:r>
              <w:rPr>
                <w:rFonts w:ascii="Arial" w:hAnsi="Arial" w:cs="Arial" w:eastAsia="Arial"/>
                <w:sz w:val="16"/>
                <w:szCs w:val="16"/>
              </w:rPr>
              <w:t>Process Safety Incident</w:t>
            </w:r>
          </w:p>
        </w:tc>
        <w:tc>
          <w:tcPr>
            <w:tcW w:type="dxa" w:w="3008"/>
          </w:tcPr>
          <w:p>
            <w:pPr>
              <w:pStyle w:val="TableContents"/>
              <w:spacing w:before="0" w:after="0" w:line="240" w:lineRule="atLeast"/>
            </w:pPr>
            <w:r>
              <w:rPr>
                <w:rFonts w:ascii="Arial" w:hAnsi="Arial" w:cs="Arial" w:eastAsia="Arial"/>
                <w:sz w:val="16"/>
                <w:szCs w:val="16"/>
              </w:rPr>
              <w:t>Taproot or approved RCA methodology</w:t>
            </w:r>
          </w:p>
        </w:tc>
        <w:tc>
          <w:tcPr>
            <w:tcW w:type="dxa" w:w="3010"/>
          </w:tcPr>
          <w:p>
            <w:pPr>
              <w:pStyle w:val="TableContents"/>
              <w:spacing w:before="0" w:after="0" w:line="240" w:lineRule="atLeast"/>
            </w:pPr>
            <w:r>
              <w:rPr>
                <w:rFonts w:ascii="Arial" w:hAnsi="Arial" w:cs="Arial" w:eastAsia="Arial"/>
                <w:sz w:val="16"/>
                <w:szCs w:val="16"/>
              </w:rPr>
              <w:t>Project management personnel trained in RCA</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Confirm the investigation methodology approved for this project before mobilisation. The procedure lists Taproot as the default RCA methodology for formal investigations. The project team must confirm whether Taproot or an alternative RCA methodology is approved for use, and whether an approved provider list exists for external investigations required in the event of a fatality.</w:t>
            </w:r>
          </w:p>
        </w:tc>
      </w:tr>
    </w:tbl>
    <w:p>
      <w:pPr>
        <w:pStyle w:val="NormalNumberedtext"/>
      </w:pPr>
    </w:p>
    <w:p>
      <w:pPr>
        <w:pStyle w:val="NormalNumberedtext"/>
      </w:pPr>
      <w:r>
        <w:rPr>
          <w:b/>
          <w:bCs/>
          <w:color w:val="0059D1"/>
        </w:rPr>
        <w:t>[INSERT: approved_rca_methodology] — Confirm the approved RCA methodology for this project. State whether Taproot or an alternative methodology applies, and identify the approved provider list for external investigations if applicable.</w:t>
      </w:r>
    </w:p>
    <w:p>
      <w:pPr>
        <w:pStyle w:val="NormalNumberedtext"/>
      </w:pPr>
      <w:r>
        <w:t>Investigation team competency requirements are defined in [INSERT: Project Document Number] - Training. No investigation team member leads a formal investigation without documented competency in the approved methodology.</w:t>
      </w:r>
    </w:p>
    <w:p>
      <w:pPr>
        <w:pStyle w:val="NormalNumberedtext"/>
      </w:pPr>
    </w:p>
    <w:p>
      <w:pPr>
        <w:pStyle w:val="Heading2Numbered"/>
        <w:numPr>
          <w:ilvl w:val="1"/>
          <w:numId w:val="1"/>
        </w:numPr>
      </w:pPr>
      <w:r>
        <w:rPr>
          <w:rFonts w:ascii="Arial" w:hAnsi="Arial" w:cs="Arial" w:eastAsia="Arial"/>
        </w:rPr>
        <w:t>Terms of Reference Requirements</w:t>
      </w:r>
    </w:p>
    <w:p>
      <w:pPr>
        <w:pStyle w:val="NormalNumberedtext"/>
      </w:pPr>
      <w:r>
        <w:t>A Terms of Reference is submitted to the project owner at least 48 hours before any formal investigation commences.</w:t>
      </w:r>
    </w:p>
    <w:p>
      <w:pPr>
        <w:pStyle w:val="NormalNumberedtext"/>
      </w:pPr>
      <w:r>
        <w:t>The investigation team leader prepares a Terms of Reference for all investigations at MTCI classification and above and submits it to the project owner at least 48 hours before investigation commencement. The project owner reviews the Terms of Reference and confirms approval before the investigation proceeds. No formal investigation commences without this approval.</w:t>
      </w:r>
    </w:p>
    <w:p>
      <w:pPr>
        <w:pStyle w:val="NormalNumberedtext"/>
      </w:pPr>
      <w:r>
        <w:t>The Terms of Reference includes as a minimum:</w:t>
      </w:r>
    </w:p>
    <w:p>
      <w:pPr>
        <w:pStyle w:val="NumberedBulletL1"/>
      </w:pPr>
      <w:r>
        <w:t>Incident reference number, date, and classification.</w:t>
      </w:r>
    </w:p>
    <w:p>
      <w:pPr>
        <w:pStyle w:val="NumberedBulletL1"/>
      </w:pPr>
      <w:r>
        <w:t>Scope of the investigation and exclusions, if any.</w:t>
      </w:r>
    </w:p>
    <w:p>
      <w:pPr>
        <w:pStyle w:val="NumberedBulletL1"/>
      </w:pPr>
      <w:r>
        <w:t>Names, roles, and employers of all investigation team members.</w:t>
      </w:r>
    </w:p>
    <w:p>
      <w:pPr>
        <w:pStyle w:val="NumberedBulletL1"/>
      </w:pPr>
      <w:r>
        <w:t>Confirmation that the investigation lead holds documented RCA competency.</w:t>
      </w:r>
    </w:p>
    <w:p>
      <w:pPr>
        <w:pStyle w:val="NumberedBulletL1"/>
      </w:pPr>
      <w:r>
        <w:t>Investigation methodology to be applied.</w:t>
      </w:r>
    </w:p>
    <w:p>
      <w:pPr>
        <w:pStyle w:val="NumberedBulletL1"/>
      </w:pPr>
      <w:r>
        <w:t>Timeline for commencement, draft report, and final report.</w:t>
      </w:r>
    </w:p>
    <w:p>
      <w:pPr>
        <w:pStyle w:val="NumberedBulletL1"/>
      </w:pPr>
      <w:r>
        <w:t>Access requirements and site preservation status.</w:t>
      </w:r>
    </w:p>
    <w:p>
      <w:pPr>
        <w:pStyle w:val="NumberedBulletL1"/>
      </w:pPr>
      <w:r>
        <w:t>Data sources and evidence to be collected.</w:t>
      </w:r>
    </w:p>
    <w:p>
      <w:pPr>
        <w:pStyle w:val="NumberedBulletL1"/>
      </w:pPr>
      <w:r>
        <w:t>Interfaces with regulatory investigations, if applicable.</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Insert the project-specific Terms of Reference template for formal investigations. The template must be approved before mobilisation and stored in the project document management system.</w:t>
            </w:r>
          </w:p>
        </w:tc>
      </w:tr>
    </w:tbl>
    <w:p>
      <w:pPr>
        <w:pStyle w:val="NormalNumberedtext"/>
      </w:pPr>
    </w:p>
    <w:p>
      <w:pPr>
        <w:pStyle w:val="NormalNumberedtext"/>
      </w:pPr>
      <w:r>
        <w:rPr>
          <w:b/>
          <w:bCs/>
          <w:color w:val="0059D1"/>
        </w:rPr>
        <w:t>[INSERT: terms_of_reference_template] — Insert the reference number and title of the approved project Terms of Reference template, or embed the template directly in this section.</w:t>
      </w:r>
    </w:p>
    <w:p>
      <w:pPr>
        <w:pStyle w:val="NormalNumberedtext"/>
      </w:pPr>
    </w:p>
    <w:p>
      <w:pPr>
        <w:pStyle w:val="Heading2Numbered"/>
        <w:numPr>
          <w:ilvl w:val="1"/>
          <w:numId w:val="1"/>
        </w:numPr>
      </w:pPr>
      <w:r>
        <w:rPr>
          <w:rFonts w:ascii="Arial" w:hAnsi="Arial" w:cs="Arial" w:eastAsia="Arial"/>
        </w:rPr>
        <w:t>Mandatory Investigation Report Content</w:t>
      </w:r>
    </w:p>
    <w:p>
      <w:pPr>
        <w:pStyle w:val="NormalNumberedtext"/>
      </w:pPr>
      <w:r>
        <w:t>All formal investigation reports include the mandatory content defined in this section, regardless of investigation methodology.</w:t>
      </w:r>
    </w:p>
    <w:p>
      <w:pPr>
        <w:pStyle w:val="NormalNumberedtext"/>
      </w:pPr>
      <w:r>
        <w:t>The investigation team leader ensures every formal investigation report contains the mandatory content listed below before the draft report is submitted to the project owner. Content that is not yet finalised at draft stage is clearly flagged as pending with a due date for completion.</w:t>
      </w:r>
    </w:p>
    <w:p>
      <w:pPr>
        <w:pStyle w:val="NormalNumberedtext"/>
      </w:pPr>
      <w:r>
        <w:t>Every formal investigation report includes:</w:t>
      </w:r>
    </w:p>
    <w:p>
      <w:pPr>
        <w:pStyle w:val="NumberedBulletL1"/>
      </w:pPr>
      <w:r>
        <w:t>Date, time, and location of the incident.</w:t>
      </w:r>
    </w:p>
    <w:p>
      <w:pPr>
        <w:pStyle w:val="NumberedBulletL1"/>
      </w:pPr>
      <w:r>
        <w:t>Site area, work package, and contractor organisation involved.</w:t>
      </w:r>
    </w:p>
    <w:p>
      <w:pPr>
        <w:pStyle w:val="NumberedBulletL1"/>
      </w:pPr>
      <w:r>
        <w:t>Full description of the incident and sequence of events.</w:t>
      </w:r>
    </w:p>
    <w:p>
      <w:pPr>
        <w:pStyle w:val="NumberedBulletL1"/>
      </w:pPr>
      <w:r>
        <w:t>Names, roles, employers, and employment types of all persons involved.</w:t>
      </w:r>
    </w:p>
    <w:p>
      <w:pPr>
        <w:pStyle w:val="NumberedBulletL1"/>
      </w:pPr>
      <w:r>
        <w:t>Timeline of events from pre-task preparation through to incident occurrence and response.</w:t>
      </w:r>
    </w:p>
    <w:p>
      <w:pPr>
        <w:pStyle w:val="NumberedBulletL1"/>
      </w:pPr>
      <w:r>
        <w:t>Case management details, including medical treatment provided and current status of injured persons.</w:t>
      </w:r>
    </w:p>
    <w:p>
      <w:pPr>
        <w:pStyle w:val="NumberedBulletL1"/>
      </w:pPr>
      <w:r>
        <w:t>Actual outcome classification and MRO classification, both assessed using the RT 5x5 Risk Matrix.</w:t>
      </w:r>
    </w:p>
    <w:p>
      <w:pPr>
        <w:pStyle w:val="NumberedBulletL1"/>
      </w:pPr>
      <w:r>
        <w:t>Just culture assessment outcome for each person involved in the incident.</w:t>
      </w:r>
    </w:p>
    <w:p>
      <w:pPr>
        <w:pStyle w:val="NumberedBulletL1"/>
      </w:pPr>
      <w:r>
        <w:t>SSE (Serious Safety Event) status determination and rationale.</w:t>
      </w:r>
    </w:p>
    <w:p>
      <w:pPr>
        <w:pStyle w:val="NumberedBulletL1"/>
      </w:pPr>
      <w:r>
        <w:t>Root cause findings at both system and human or behavioural level.</w:t>
      </w:r>
    </w:p>
    <w:p>
      <w:pPr>
        <w:pStyle w:val="NumberedBulletL1"/>
      </w:pPr>
      <w:r>
        <w:t>Human factors analysis, including cognitive, physical, organisational, and environmental contributors.</w:t>
      </w:r>
    </w:p>
    <w:p>
      <w:pPr>
        <w:pStyle w:val="NumberedBulletL1"/>
      </w:pPr>
      <w:r>
        <w:t>Proposed corrective actions, each with an assigned owner, due date, and severity ranking.</w:t>
      </w:r>
    </w:p>
    <w:p>
      <w:pPr>
        <w:pStyle w:val="NumberedBulletL1"/>
      </w:pPr>
      <w:r>
        <w:t>Closeout justification for any corrective action proposed for closure at the time of the final report.</w:t>
      </w:r>
    </w:p>
    <w:p>
      <w:pPr>
        <w:pStyle w:val="NormalNumberedtext"/>
      </w:pPr>
    </w:p>
    <w:p>
      <w:pPr>
        <w:pStyle w:val="Heading2Numbered"/>
        <w:numPr>
          <w:ilvl w:val="1"/>
          <w:numId w:val="1"/>
        </w:numPr>
      </w:pPr>
      <w:r>
        <w:rPr>
          <w:rFonts w:ascii="Arial" w:hAnsi="Arial" w:cs="Arial" w:eastAsia="Arial"/>
        </w:rPr>
        <w:t>Use of Investigation Data for Management System Improvement</w:t>
      </w:r>
    </w:p>
    <w:p>
      <w:pPr>
        <w:pStyle w:val="NormalNumberedtext"/>
      </w:pPr>
      <w:r>
        <w:t>Investigation data and trend analysis are used to evaluate management control effectiveness and direct management system improvement.</w:t>
      </w:r>
    </w:p>
    <w:p>
      <w:pPr>
        <w:pStyle w:val="NormalNumberedtext"/>
      </w:pPr>
      <w:r>
        <w:t>The HSESC Manager compiles investigation findings and corrective action data into the project incident trend analysis, which is reviewed at each monthly HSESC leadership review. The trend analysis evaluates the effectiveness of existing management controls and identifies systemic issues requiring management system revision.</w:t>
      </w:r>
    </w:p>
    <w:p>
      <w:pPr>
        <w:pStyle w:val="NormalNumberedtext"/>
      </w:pPr>
      <w:r>
        <w:t>Investigation data is provided as a formal input to the improvement planning process in accordance with [INSERT: Project Document Number] - Improvement Planning. Where trend analysis identifies a pattern of control failure or a systemic gap, the HSESC Manager initiates a management system improvement action in the project action tracking register.</w:t>
      </w:r>
    </w:p>
    <w:p>
      <w:pPr>
        <w:pStyle w:val="NormalNumberedtext"/>
      </w:pPr>
    </w:p>
    <w:p>
      <w:pPr>
        <w:pStyle w:val="Heading1Numbered"/>
        <w:numPr>
          <w:ilvl w:val="0"/>
          <w:numId w:val="1"/>
        </w:numPr>
      </w:pPr>
      <w:r>
        <w:rPr>
          <w:rFonts w:ascii="Arial" w:hAnsi="Arial" w:cs="Arial" w:eastAsia="Arial"/>
        </w:rPr>
        <w:t>Just Culture and Consequence Management</w:t>
      </w:r>
    </w:p>
    <w:p>
      <w:pPr>
        <w:pStyle w:val="NormalNumberedtext"/>
      </w:pPr>
      <w:r>
        <w:t>This section defines the process for assessing human behavioural non-conformances, applying proportionate responses, and ensuring the process does not discourage incident reporting.</w:t>
      </w:r>
    </w:p>
    <w:p>
      <w:pPr>
        <w:pStyle w:val="NormalNumberedtext"/>
      </w:pPr>
    </w:p>
    <w:p>
      <w:pPr>
        <w:pStyle w:val="Heading2Numbered"/>
        <w:numPr>
          <w:ilvl w:val="1"/>
          <w:numId w:val="1"/>
        </w:numPr>
      </w:pPr>
      <w:r>
        <w:rPr>
          <w:rFonts w:ascii="Arial" w:hAnsi="Arial" w:cs="Arial" w:eastAsia="Arial"/>
        </w:rPr>
        <w:t>Just Culture Assessment Process</w:t>
      </w:r>
    </w:p>
    <w:p>
      <w:pPr>
        <w:pStyle w:val="NormalNumberedtext"/>
      </w:pPr>
      <w:r>
        <w:t>Every formal investigation includes a just culture assessment of each person whose behaviour or decisions contributed to the incident.</w:t>
      </w:r>
    </w:p>
    <w:p>
      <w:pPr>
        <w:pStyle w:val="NormalNumberedtext"/>
      </w:pPr>
      <w:r>
        <w:t>The investigation team applies a just culture assessment to every person whose behaviour or decision-making is identified as a contributing factor in the investigation. The assessment distinguishes between honest mistakes, at-risk behaviour, and reckless conduct, and assigns a differentiated response to each category. Applying a single disciplinary response to all three categories is not consistent with this procedure.</w:t>
      </w:r>
    </w:p>
    <w:p>
      <w:pPr>
        <w:pStyle w:val="NormalNumberedtext"/>
      </w:pPr>
      <w:r>
        <w:t>Table 4: Just Culture Assessment Categories and Default Responses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Behaviour Category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Definition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Primary Response</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Escalated Response</w:t>
            </w:r>
          </w:p>
        </w:tc>
      </w:tr>
      <w:tr>
        <w:tc>
          <w:tcPr>
            <w:tcW w:type="dxa" w:w="2256"/>
          </w:tcPr>
          <w:p>
            <w:pPr>
              <w:pStyle w:val="TableContents"/>
              <w:spacing w:before="0" w:after="0" w:line="240" w:lineRule="atLeast"/>
            </w:pPr>
            <w:r>
              <w:rPr>
                <w:rFonts w:ascii="Arial" w:hAnsi="Arial" w:cs="Arial" w:eastAsia="Arial"/>
                <w:sz w:val="16"/>
                <w:szCs w:val="16"/>
              </w:rPr>
              <w:t>Honest mistake</w:t>
            </w:r>
          </w:p>
        </w:tc>
        <w:tc>
          <w:tcPr>
            <w:tcW w:type="dxa" w:w="2256"/>
          </w:tcPr>
          <w:p>
            <w:pPr>
              <w:pStyle w:val="TableContents"/>
              <w:spacing w:before="0" w:after="0" w:line="240" w:lineRule="atLeast"/>
            </w:pPr>
            <w:r>
              <w:rPr>
                <w:rFonts w:ascii="Arial" w:hAnsi="Arial" w:cs="Arial" w:eastAsia="Arial"/>
                <w:sz w:val="16"/>
                <w:szCs w:val="16"/>
              </w:rPr>
              <w:t>The person acted in good faith, followed the process as they understood it, and the outcome was unforeseeable given their knowledge and training at the time.</w:t>
            </w:r>
          </w:p>
        </w:tc>
        <w:tc>
          <w:tcPr>
            <w:tcW w:type="dxa" w:w="2256"/>
          </w:tcPr>
          <w:p>
            <w:pPr>
              <w:pStyle w:val="TableContents"/>
              <w:spacing w:before="0" w:after="0" w:line="240" w:lineRule="atLeast"/>
            </w:pPr>
            <w:r>
              <w:rPr>
                <w:rFonts w:ascii="Arial" w:hAnsi="Arial" w:cs="Arial" w:eastAsia="Arial"/>
                <w:sz w:val="16"/>
                <w:szCs w:val="16"/>
              </w:rPr>
              <w:t>Coaching and clarification of correct process; review of training adequacy.</w:t>
            </w:r>
          </w:p>
        </w:tc>
        <w:tc>
          <w:tcPr>
            <w:tcW w:type="dxa" w:w="2258"/>
          </w:tcPr>
          <w:p>
            <w:pPr>
              <w:pStyle w:val="TableContents"/>
              <w:spacing w:before="0" w:after="0" w:line="240" w:lineRule="atLeast"/>
            </w:pPr>
            <w:r>
              <w:rPr>
                <w:rFonts w:ascii="Arial" w:hAnsi="Arial" w:cs="Arial" w:eastAsia="Arial"/>
                <w:sz w:val="16"/>
                <w:szCs w:val="16"/>
              </w:rPr>
              <w:t>System improvement to reduce reliance on individual judgement.</w:t>
            </w:r>
          </w:p>
        </w:tc>
      </w:tr>
      <w:tr>
        <w:tc>
          <w:tcPr>
            <w:tcW w:type="dxa" w:w="2256"/>
          </w:tcPr>
          <w:p>
            <w:pPr>
              <w:pStyle w:val="TableContents"/>
              <w:spacing w:before="0" w:after="0" w:line="240" w:lineRule="atLeast"/>
            </w:pPr>
            <w:r>
              <w:rPr>
                <w:rFonts w:ascii="Arial" w:hAnsi="Arial" w:cs="Arial" w:eastAsia="Arial"/>
                <w:sz w:val="16"/>
                <w:szCs w:val="16"/>
              </w:rPr>
              <w:t>At-risk behaviour</w:t>
            </w:r>
          </w:p>
        </w:tc>
        <w:tc>
          <w:tcPr>
            <w:tcW w:type="dxa" w:w="2256"/>
          </w:tcPr>
          <w:p>
            <w:pPr>
              <w:pStyle w:val="TableContents"/>
              <w:spacing w:before="0" w:after="0" w:line="240" w:lineRule="atLeast"/>
            </w:pPr>
            <w:r>
              <w:rPr>
                <w:rFonts w:ascii="Arial" w:hAnsi="Arial" w:cs="Arial" w:eastAsia="Arial"/>
                <w:sz w:val="16"/>
                <w:szCs w:val="16"/>
              </w:rPr>
              <w:t>The person deviated from a known process or standard, believing the risk to be acceptable or that the deviation was common practice.</w:t>
            </w:r>
          </w:p>
        </w:tc>
        <w:tc>
          <w:tcPr>
            <w:tcW w:type="dxa" w:w="2256"/>
          </w:tcPr>
          <w:p>
            <w:pPr>
              <w:pStyle w:val="TableContents"/>
              <w:spacing w:before="0" w:after="0" w:line="240" w:lineRule="atLeast"/>
            </w:pPr>
            <w:r>
              <w:rPr>
                <w:rFonts w:ascii="Arial" w:hAnsi="Arial" w:cs="Arial" w:eastAsia="Arial"/>
                <w:sz w:val="16"/>
                <w:szCs w:val="16"/>
              </w:rPr>
              <w:t>Retraining; coaching on risk recognition; review of supervision adequacy.</w:t>
            </w:r>
          </w:p>
        </w:tc>
        <w:tc>
          <w:tcPr>
            <w:tcW w:type="dxa" w:w="2258"/>
          </w:tcPr>
          <w:p>
            <w:pPr>
              <w:pStyle w:val="TableContents"/>
              <w:spacing w:before="0" w:after="0" w:line="240" w:lineRule="atLeast"/>
            </w:pPr>
            <w:r>
              <w:rPr>
                <w:rFonts w:ascii="Arial" w:hAnsi="Arial" w:cs="Arial" w:eastAsia="Arial"/>
                <w:sz w:val="16"/>
                <w:szCs w:val="16"/>
              </w:rPr>
              <w:t>Formal performance management if pattern of at-risk behaviour is established.</w:t>
            </w:r>
          </w:p>
        </w:tc>
      </w:tr>
      <w:tr>
        <w:tc>
          <w:tcPr>
            <w:tcW w:type="dxa" w:w="2256"/>
          </w:tcPr>
          <w:p>
            <w:pPr>
              <w:pStyle w:val="TableContents"/>
              <w:spacing w:before="0" w:after="0" w:line="240" w:lineRule="atLeast"/>
            </w:pPr>
            <w:r>
              <w:rPr>
                <w:rFonts w:ascii="Arial" w:hAnsi="Arial" w:cs="Arial" w:eastAsia="Arial"/>
                <w:sz w:val="16"/>
                <w:szCs w:val="16"/>
              </w:rPr>
              <w:t>Reckless conduct</w:t>
            </w:r>
          </w:p>
        </w:tc>
        <w:tc>
          <w:tcPr>
            <w:tcW w:type="dxa" w:w="2256"/>
          </w:tcPr>
          <w:p>
            <w:pPr>
              <w:pStyle w:val="TableContents"/>
              <w:spacing w:before="0" w:after="0" w:line="240" w:lineRule="atLeast"/>
            </w:pPr>
            <w:r>
              <w:rPr>
                <w:rFonts w:ascii="Arial" w:hAnsi="Arial" w:cs="Arial" w:eastAsia="Arial"/>
                <w:sz w:val="16"/>
                <w:szCs w:val="16"/>
              </w:rPr>
              <w:t>The person was aware of a substantial and unjustifiable risk and consciously disregarded it, or deliberately violated a known safety requirement.</w:t>
            </w:r>
          </w:p>
        </w:tc>
        <w:tc>
          <w:tcPr>
            <w:tcW w:type="dxa" w:w="2256"/>
          </w:tcPr>
          <w:p>
            <w:pPr>
              <w:pStyle w:val="TableContents"/>
              <w:spacing w:before="0" w:after="0" w:line="240" w:lineRule="atLeast"/>
            </w:pPr>
            <w:r>
              <w:rPr>
                <w:rFonts w:ascii="Arial" w:hAnsi="Arial" w:cs="Arial" w:eastAsia="Arial"/>
                <w:sz w:val="16"/>
                <w:szCs w:val="16"/>
              </w:rPr>
              <w:t>Formal performance management and disciplinary action proportionate to the severity of the risk.</w:t>
            </w:r>
          </w:p>
        </w:tc>
        <w:tc>
          <w:tcPr>
            <w:tcW w:type="dxa" w:w="2258"/>
          </w:tcPr>
          <w:p>
            <w:pPr>
              <w:pStyle w:val="TableContents"/>
              <w:spacing w:before="0" w:after="0" w:line="240" w:lineRule="atLeast"/>
            </w:pPr>
            <w:r>
              <w:rPr>
                <w:rFonts w:ascii="Arial" w:hAnsi="Arial" w:cs="Arial" w:eastAsia="Arial"/>
                <w:sz w:val="16"/>
                <w:szCs w:val="16"/>
              </w:rPr>
              <w:t>Termination of engagement where the conduct represents an immediate and ongoing risk to others.</w:t>
            </w:r>
          </w:p>
        </w:tc>
      </w:tr>
    </w:tbl>
    <w:p>
      <w:pPr>
        <w:pStyle w:val="NormalNumberedtext"/>
      </w:pPr>
    </w:p>
    <w:p>
      <w:pPr>
        <w:pStyle w:val="NormalNumberedtext"/>
      </w:pPr>
      <w:r>
        <w:t>Retraining and coaching are the primary interventions for honest mistakes and at-risk behaviour. Formal disciplinary action is reserved for reckless conduct and repeated at-risk behaviour where prior coaching has not resulted in behaviour change. All non-conformance instances and the actions taken in response are documented in the investigation report and the project action tracking register.</w:t>
      </w:r>
    </w:p>
    <w:p>
      <w:pPr>
        <w:pStyle w:val="NormalNumberedtext"/>
      </w:pPr>
      <w:r>
        <w:t>The just culture process does not create a disciplinary outcome for the act of reporting an incident or near miss. No person faces adverse consequence solely because they reported a hazard, injury, or near miss. This requirement applies regardless of whether the reporting person was involved in the incident.</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Define the just culture decision tool approved for this project before mobilisation. Some Rio Tinto projects use a specific decision tree or algorithm to guide the categorisation of behaviour. Insert or reference the approved tool here. Where no project-specific tool has been approved, the default categories and responses in Table 4 apply.</w:t>
            </w:r>
          </w:p>
        </w:tc>
      </w:tr>
    </w:tbl>
    <w:p>
      <w:pPr>
        <w:pStyle w:val="NormalNumberedtext"/>
      </w:pPr>
    </w:p>
    <w:p>
      <w:pPr>
        <w:pStyle w:val="NormalNumberedtext"/>
      </w:pPr>
      <w:r>
        <w:rPr>
          <w:b/>
          <w:bCs/>
          <w:color w:val="0059D1"/>
        </w:rPr>
        <w:t>[INSERT: just_culture_decision_tool] — Insert or reference the approved just culture decision tool or algorithm for this project. If a project-specific decision tree applies, embed it here or provide a document reference.</w:t>
      </w:r>
    </w:p>
    <w:p>
      <w:pPr>
        <w:pStyle w:val="NormalNumberedtext"/>
      </w:pPr>
    </w:p>
    <w:p>
      <w:pPr>
        <w:pStyle w:val="Heading1Numbered"/>
        <w:numPr>
          <w:ilvl w:val="0"/>
          <w:numId w:val="1"/>
        </w:numPr>
      </w:pPr>
      <w:r>
        <w:rPr>
          <w:rFonts w:ascii="Arial" w:hAnsi="Arial" w:cs="Arial" w:eastAsia="Arial"/>
        </w:rPr>
        <w:t>Action Management</w:t>
      </w:r>
    </w:p>
    <w:p>
      <w:pPr>
        <w:pStyle w:val="NormalNumberedtext"/>
      </w:pPr>
      <w:r>
        <w:t>This section defines how corrective actions arising from incident investigations are recorded, assigned, tracked, verified, and reported throughout the project.</w:t>
      </w:r>
    </w:p>
    <w:p>
      <w:pPr>
        <w:pStyle w:val="NormalNumberedtext"/>
      </w:pPr>
    </w:p>
    <w:p>
      <w:pPr>
        <w:pStyle w:val="Heading2Numbered"/>
        <w:numPr>
          <w:ilvl w:val="1"/>
          <w:numId w:val="1"/>
        </w:numPr>
      </w:pPr>
      <w:r>
        <w:rPr>
          <w:rFonts w:ascii="Arial" w:hAnsi="Arial" w:cs="Arial" w:eastAsia="Arial"/>
        </w:rPr>
        <w:t>Corrective Action Recording and Tracking</w:t>
      </w:r>
    </w:p>
    <w:p>
      <w:pPr>
        <w:pStyle w:val="NormalNumberedtext"/>
      </w:pPr>
      <w:r>
        <w:t>All corrective actions are recorded in the project action tracking register with severity ranking, ownership, and due dates assigned at the time of recording.</w:t>
      </w:r>
    </w:p>
    <w:p>
      <w:pPr>
        <w:pStyle w:val="NormalNumberedtext"/>
      </w:pPr>
      <w:r>
        <w:t>The HSESC Manager ensures every corrective action arising from an incident investigation is recorded in the project action tracking register within five business days of the final investigation report being approved. Each action is assigned a severity ranking of high, medium, or low; a due date proportionate to its severity; and a named owner responsible for implementation.</w:t>
      </w:r>
    </w:p>
    <w:p>
      <w:pPr>
        <w:pStyle w:val="NormalNumberedtext"/>
      </w:pPr>
      <w:r>
        <w:t>Table 5: Corrective Action Severity Ranking and Default Due Dates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Severity Ranking</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Criteria</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Default Due Date</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Verification Required</w:t>
            </w:r>
          </w:p>
        </w:tc>
      </w:tr>
      <w:tr>
        <w:tc>
          <w:tcPr>
            <w:tcW w:type="dxa" w:w="2256"/>
          </w:tcPr>
          <w:p>
            <w:pPr>
              <w:pStyle w:val="TableContents"/>
              <w:spacing w:before="0" w:after="0" w:line="240" w:lineRule="atLeast"/>
            </w:pPr>
            <w:r>
              <w:rPr>
                <w:rFonts w:ascii="Arial" w:hAnsi="Arial" w:cs="Arial" w:eastAsia="Arial"/>
                <w:sz w:val="16"/>
                <w:szCs w:val="16"/>
              </w:rPr>
              <w:t>High</w:t>
            </w:r>
          </w:p>
        </w:tc>
        <w:tc>
          <w:tcPr>
            <w:tcW w:type="dxa" w:w="2256"/>
          </w:tcPr>
          <w:p>
            <w:pPr>
              <w:pStyle w:val="TableContents"/>
              <w:spacing w:before="0" w:after="0" w:line="240" w:lineRule="atLeast"/>
            </w:pPr>
            <w:r>
              <w:rPr>
                <w:rFonts w:ascii="Arial" w:hAnsi="Arial" w:cs="Arial" w:eastAsia="Arial"/>
                <w:sz w:val="16"/>
                <w:szCs w:val="16"/>
              </w:rPr>
              <w:t>Action addresses a root cause with potential for fatality, serious injury, or significant environmental or community consequence.</w:t>
            </w:r>
          </w:p>
        </w:tc>
        <w:tc>
          <w:tcPr>
            <w:tcW w:type="dxa" w:w="2256"/>
          </w:tcPr>
          <w:p>
            <w:pPr>
              <w:pStyle w:val="TableContents"/>
              <w:spacing w:before="0" w:after="0" w:line="240" w:lineRule="atLeast"/>
            </w:pPr>
            <w:r>
              <w:rPr>
                <w:rFonts w:ascii="Arial" w:hAnsi="Arial" w:cs="Arial" w:eastAsia="Arial"/>
                <w:sz w:val="16"/>
                <w:szCs w:val="16"/>
              </w:rPr>
              <w:t>Within 30 calendar days of investigation report approval, or immediately where an interim control is required.</w:t>
            </w:r>
          </w:p>
        </w:tc>
        <w:tc>
          <w:tcPr>
            <w:tcW w:type="dxa" w:w="2258"/>
          </w:tcPr>
          <w:p>
            <w:pPr>
              <w:pStyle w:val="TableContents"/>
              <w:spacing w:before="0" w:after="0" w:line="240" w:lineRule="atLeast"/>
            </w:pPr>
            <w:r>
              <w:rPr>
                <w:rFonts w:ascii="Arial" w:hAnsi="Arial" w:cs="Arial" w:eastAsia="Arial"/>
                <w:sz w:val="16"/>
                <w:szCs w:val="16"/>
              </w:rPr>
              <w:t>Yes - independent verification of closeout by HSESC Manager before formal closure.</w:t>
            </w:r>
          </w:p>
        </w:tc>
      </w:tr>
      <w:tr>
        <w:tc>
          <w:tcPr>
            <w:tcW w:type="dxa" w:w="2256"/>
          </w:tcPr>
          <w:p>
            <w:pPr>
              <w:pStyle w:val="TableContents"/>
              <w:spacing w:before="0" w:after="0" w:line="240" w:lineRule="atLeast"/>
            </w:pPr>
            <w:r>
              <w:rPr>
                <w:rFonts w:ascii="Arial" w:hAnsi="Arial" w:cs="Arial" w:eastAsia="Arial"/>
                <w:sz w:val="16"/>
                <w:szCs w:val="16"/>
              </w:rPr>
              <w:t>Medium</w:t>
            </w:r>
          </w:p>
        </w:tc>
        <w:tc>
          <w:tcPr>
            <w:tcW w:type="dxa" w:w="2256"/>
          </w:tcPr>
          <w:p>
            <w:pPr>
              <w:pStyle w:val="TableContents"/>
              <w:spacing w:before="0" w:after="0" w:line="240" w:lineRule="atLeast"/>
            </w:pPr>
            <w:r>
              <w:rPr>
                <w:rFonts w:ascii="Arial" w:hAnsi="Arial" w:cs="Arial" w:eastAsia="Arial"/>
                <w:sz w:val="16"/>
                <w:szCs w:val="16"/>
              </w:rPr>
              <w:t>Action addresses a contributing factor or systemic weakness with potential for MTCI, LDI, or moderate consequence.</w:t>
            </w:r>
          </w:p>
        </w:tc>
        <w:tc>
          <w:tcPr>
            <w:tcW w:type="dxa" w:w="2256"/>
          </w:tcPr>
          <w:p>
            <w:pPr>
              <w:pStyle w:val="TableContents"/>
              <w:spacing w:before="0" w:after="0" w:line="240" w:lineRule="atLeast"/>
            </w:pPr>
            <w:r>
              <w:rPr>
                <w:rFonts w:ascii="Arial" w:hAnsi="Arial" w:cs="Arial" w:eastAsia="Arial"/>
                <w:sz w:val="16"/>
                <w:szCs w:val="16"/>
              </w:rPr>
              <w:t>Within 60 calendar days of investigation report approval.</w:t>
            </w:r>
          </w:p>
        </w:tc>
        <w:tc>
          <w:tcPr>
            <w:tcW w:type="dxa" w:w="2258"/>
          </w:tcPr>
          <w:p>
            <w:pPr>
              <w:pStyle w:val="TableContents"/>
              <w:spacing w:before="0" w:after="0" w:line="240" w:lineRule="atLeast"/>
            </w:pPr>
            <w:r>
              <w:rPr>
                <w:rFonts w:ascii="Arial" w:hAnsi="Arial" w:cs="Arial" w:eastAsia="Arial"/>
                <w:sz w:val="16"/>
                <w:szCs w:val="16"/>
              </w:rPr>
              <w:t>Yes - verification by the action owner's supervisor, confirmed in the action tracking register.</w:t>
            </w:r>
          </w:p>
        </w:tc>
      </w:tr>
      <w:tr>
        <w:tc>
          <w:tcPr>
            <w:tcW w:type="dxa" w:w="2256"/>
          </w:tcPr>
          <w:p>
            <w:pPr>
              <w:pStyle w:val="TableContents"/>
              <w:spacing w:before="0" w:after="0" w:line="240" w:lineRule="atLeast"/>
            </w:pPr>
            <w:r>
              <w:rPr>
                <w:rFonts w:ascii="Arial" w:hAnsi="Arial" w:cs="Arial" w:eastAsia="Arial"/>
                <w:sz w:val="16"/>
                <w:szCs w:val="16"/>
              </w:rPr>
              <w:t>Low</w:t>
            </w:r>
          </w:p>
        </w:tc>
        <w:tc>
          <w:tcPr>
            <w:tcW w:type="dxa" w:w="2256"/>
          </w:tcPr>
          <w:p>
            <w:pPr>
              <w:pStyle w:val="TableContents"/>
              <w:spacing w:before="0" w:after="0" w:line="240" w:lineRule="atLeast"/>
            </w:pPr>
            <w:r>
              <w:rPr>
                <w:rFonts w:ascii="Arial" w:hAnsi="Arial" w:cs="Arial" w:eastAsia="Arial"/>
                <w:sz w:val="16"/>
                <w:szCs w:val="16"/>
              </w:rPr>
              <w:t>Action addresses a minor process improvement or administrative gap with low consequence potential.</w:t>
            </w:r>
          </w:p>
        </w:tc>
        <w:tc>
          <w:tcPr>
            <w:tcW w:type="dxa" w:w="2256"/>
          </w:tcPr>
          <w:p>
            <w:pPr>
              <w:pStyle w:val="TableContents"/>
              <w:spacing w:before="0" w:after="0" w:line="240" w:lineRule="atLeast"/>
            </w:pPr>
            <w:r>
              <w:rPr>
                <w:rFonts w:ascii="Arial" w:hAnsi="Arial" w:cs="Arial" w:eastAsia="Arial"/>
                <w:sz w:val="16"/>
                <w:szCs w:val="16"/>
              </w:rPr>
              <w:t>Within 90 calendar days of investigation report approval.</w:t>
            </w:r>
          </w:p>
        </w:tc>
        <w:tc>
          <w:tcPr>
            <w:tcW w:type="dxa" w:w="2258"/>
          </w:tcPr>
          <w:p>
            <w:pPr>
              <w:pStyle w:val="TableContents"/>
              <w:spacing w:before="0" w:after="0" w:line="240" w:lineRule="atLeast"/>
            </w:pPr>
            <w:r>
              <w:rPr>
                <w:rFonts w:ascii="Arial" w:hAnsi="Arial" w:cs="Arial" w:eastAsia="Arial"/>
                <w:sz w:val="16"/>
                <w:szCs w:val="16"/>
              </w:rPr>
              <w:t>Self-verified by action owner, with evidence attached to the action tracking register entry.</w:t>
            </w:r>
          </w:p>
        </w:tc>
      </w:tr>
    </w:tbl>
    <w:p>
      <w:pPr>
        <w:pStyle w:val="NormalNumberedtext"/>
      </w:pPr>
    </w:p>
    <w:p>
      <w:pPr>
        <w:pStyle w:val="NormalNumberedtext"/>
      </w:pPr>
      <w:r>
        <w:t>Corrective actions are implemented within timeframes proportionate to their severity ranking. An action is not formally closed until its effectiveness has been verified and the verification evidence is attached to the action tracking register entry. High-severity actions require independent verification by the HSESC Manager before formal closure.</w:t>
      </w:r>
    </w:p>
    <w:p>
      <w:pPr>
        <w:pStyle w:val="NormalNumberedtext"/>
      </w:pPr>
      <w:r>
        <w:t>The status of all corrective actions, including overdue actions and actions closed during the reporting period, is included in the monthly HSESC report submitted to the project owner. The report identifies the number of actions open, overdue, and closed by severity ranking, and summarises the verification outcomes for high-severity actions closed during the period.</w:t>
      </w:r>
    </w:p>
    <w:p>
      <w:pPr>
        <w:pStyle w:val="NormalNumberedtext"/>
      </w:pPr>
    </w:p>
    <w:p>
      <w:pPr>
        <w:pStyle w:val="Heading1Numbered"/>
        <w:numPr>
          <w:ilvl w:val="0"/>
          <w:numId w:val="1"/>
        </w:numPr>
      </w:pPr>
      <w:r>
        <w:rPr>
          <w:rFonts w:ascii="Arial" w:hAnsi="Arial" w:cs="Arial" w:eastAsia="Arial"/>
        </w:rPr>
        <w:t>Regulatory Reporting Obligations</w:t>
      </w:r>
    </w:p>
    <w:p>
      <w:pPr>
        <w:pStyle w:val="NormalNumberedtext"/>
      </w:pPr>
      <w:r>
        <w:t>This section defines the project obligations for notifying government authorities and the Rio Tinto corporate function following a reportable incident.</w:t>
      </w:r>
    </w:p>
    <w:p>
      <w:pPr>
        <w:pStyle w:val="NormalNumberedtext"/>
      </w:pPr>
    </w:p>
    <w:p>
      <w:pPr>
        <w:pStyle w:val="Heading2Numbered"/>
        <w:numPr>
          <w:ilvl w:val="1"/>
          <w:numId w:val="1"/>
        </w:numPr>
      </w:pPr>
      <w:r>
        <w:rPr>
          <w:rFonts w:ascii="Arial" w:hAnsi="Arial" w:cs="Arial" w:eastAsia="Arial"/>
        </w:rPr>
        <w:t>Regulatory Notification Requirements</w:t>
      </w:r>
    </w:p>
    <w:p>
      <w:pPr>
        <w:pStyle w:val="NormalNumberedtext"/>
      </w:pPr>
      <w:r>
        <w:t>All incidents requiring government authority notification are reported promptly and in the form required by applicable law.</w:t>
      </w:r>
    </w:p>
    <w:p>
      <w:pPr>
        <w:pStyle w:val="NormalNumberedtext"/>
      </w:pPr>
      <w:r>
        <w:t>The HSESC Manager ensures prompt notification of all incidents and injuries to the applicable government authorities where notification is mandated by law in the project jurisdiction. Notification is made in the form, timeframe, and through the channel required by the relevant legislation or regulatory instrument. Regulatory notification is not deferred pending completion of the internal investigation.</w:t>
      </w:r>
    </w:p>
    <w:p>
      <w:pPr>
        <w:pStyle w:val="NormalNumberedtext"/>
      </w:pPr>
      <w:r>
        <w:t>The HSESC Manager notifies the relevant Rio Tinto corporate function at the time regulatory notification is made. Copies of all governmental citations, notices, directions, and enforcement actions received by the project are submitted to the project leadership team within 24 hours of receipt.</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Insert the project-specific regulatory notification escalation matrix before mobilisation. The matrix must identify: each incident type or classification that triggers a regulatory notification obligation; the name of the applicable government authority in the project jurisdiction; the required notification timeframe; the form of notification; and the Rio Tinto corporate function contact for concurrent notification. This information is jurisdiction-specific and cannot be pre-populated in this template.</w:t>
            </w:r>
          </w:p>
        </w:tc>
      </w:tr>
    </w:tbl>
    <w:p>
      <w:pPr>
        <w:pStyle w:val="NormalNumberedtext"/>
      </w:pPr>
    </w:p>
    <w:p>
      <w:pPr>
        <w:pStyle w:val="NormalNumberedtext"/>
      </w:pPr>
      <w:r>
        <w:rPr>
          <w:b/>
          <w:bCs/>
          <w:color w:val="0059D1"/>
        </w:rPr>
        <w:t>[INSERT: regulatory_notification_escalation_matrix] — Insert the project-specific regulatory notification escalation matrix, listing incident type, applicable authority, required timeframe, notification method, and RT corporate function contact. Confirm with the project legal team before mobilisation.</w:t>
      </w:r>
    </w:p>
    <w:p>
      <w:pPr>
        <w:pStyle w:val="NormalNumberedtext"/>
      </w:pPr>
      <w:r>
        <w:t>Table 6: Regulatory Notification Escalation Matrix (Project-Specific - Complete Before Mobilisation)</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Incident Type or Classification</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Applicable Regulatory Authority</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Required Notification Timeframe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Notification Method</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RT Corporate Function Contact</w:t>
            </w:r>
          </w:p>
        </w:tc>
      </w:tr>
      <w:tr>
        <w:tc>
          <w:tcPr>
            <w:tcW w:type="dxa" w:w="1805"/>
          </w:tcPr>
          <w:p>
            <w:pPr>
              <w:pStyle w:val="TableContents"/>
              <w:spacing w:before="0" w:after="0" w:line="240" w:lineRule="atLeast"/>
            </w:pPr>
            <w:r>
              <w:rPr>
                <w:rFonts w:ascii="Arial" w:hAnsi="Arial" w:cs="Arial" w:eastAsia="Arial"/>
                <w:sz w:val="16"/>
                <w:szCs w:val="16"/>
              </w:rPr>
              <w:t>Fatality</w:t>
            </w:r>
          </w:p>
        </w:tc>
        <w:tc>
          <w:tcPr>
            <w:tcW w:type="dxa" w:w="1805"/>
          </w:tcPr>
          <w:p>
            <w:pPr>
              <w:pStyle w:val="TableContents"/>
              <w:spacing w:before="0" w:after="0" w:line="240" w:lineRule="atLeast"/>
            </w:pPr>
            <w:r>
              <w:rPr>
                <w:rFonts w:ascii="Arial" w:hAnsi="Arial" w:cs="Arial" w:eastAsia="Arial"/>
                <w:b/>
                <w:bCs/>
                <w:color w:val="0059D1"/>
                <w:sz w:val="16"/>
                <w:szCs w:val="16"/>
              </w:rPr>
              <w:t>[INSERT: Authority name]</w:t>
            </w:r>
          </w:p>
        </w:tc>
        <w:tc>
          <w:tcPr>
            <w:tcW w:type="dxa" w:w="1805"/>
          </w:tcPr>
          <w:p>
            <w:pPr>
              <w:pStyle w:val="TableContents"/>
              <w:spacing w:before="0" w:after="0" w:line="240" w:lineRule="atLeast"/>
            </w:pPr>
            <w:r>
              <w:rPr>
                <w:rFonts w:ascii="Arial" w:hAnsi="Arial" w:cs="Arial" w:eastAsia="Arial"/>
                <w:b/>
                <w:bCs/>
                <w:color w:val="0059D1"/>
                <w:sz w:val="16"/>
                <w:szCs w:val="16"/>
              </w:rPr>
              <w:t>[INSERT: Timeframe]</w:t>
            </w:r>
          </w:p>
        </w:tc>
        <w:tc>
          <w:tcPr>
            <w:tcW w:type="dxa" w:w="1805"/>
          </w:tcPr>
          <w:p>
            <w:pPr>
              <w:pStyle w:val="TableContents"/>
              <w:spacing w:before="0" w:after="0" w:line="240" w:lineRule="atLeast"/>
            </w:pPr>
            <w:r>
              <w:rPr>
                <w:rFonts w:ascii="Arial" w:hAnsi="Arial" w:cs="Arial" w:eastAsia="Arial"/>
                <w:b/>
                <w:bCs/>
                <w:color w:val="0059D1"/>
                <w:sz w:val="16"/>
                <w:szCs w:val="16"/>
              </w:rPr>
              <w:t>[INSERT: Method]</w:t>
            </w:r>
          </w:p>
        </w:tc>
        <w:tc>
          <w:tcPr>
            <w:tcW w:type="dxa" w:w="1806"/>
          </w:tcPr>
          <w:p>
            <w:pPr>
              <w:pStyle w:val="TableContents"/>
              <w:spacing w:before="0" w:after="0" w:line="240" w:lineRule="atLeast"/>
            </w:pPr>
            <w:r>
              <w:rPr>
                <w:rFonts w:ascii="Arial" w:hAnsi="Arial" w:cs="Arial" w:eastAsia="Arial"/>
                <w:b/>
                <w:bCs/>
                <w:color w:val="0059D1"/>
                <w:sz w:val="16"/>
                <w:szCs w:val="16"/>
              </w:rPr>
              <w:t>[INSERT: RT contact role and name]</w:t>
            </w:r>
          </w:p>
        </w:tc>
      </w:tr>
      <w:tr>
        <w:tc>
          <w:tcPr>
            <w:tcW w:type="dxa" w:w="1805"/>
          </w:tcPr>
          <w:p>
            <w:pPr>
              <w:pStyle w:val="TableContents"/>
              <w:spacing w:before="0" w:after="0" w:line="240" w:lineRule="atLeast"/>
            </w:pPr>
            <w:r>
              <w:rPr>
                <w:rFonts w:ascii="Arial" w:hAnsi="Arial" w:cs="Arial" w:eastAsia="Arial"/>
                <w:sz w:val="16"/>
                <w:szCs w:val="16"/>
              </w:rPr>
              <w:t>Serious bodily injury</w:t>
            </w:r>
          </w:p>
        </w:tc>
        <w:tc>
          <w:tcPr>
            <w:tcW w:type="dxa" w:w="1805"/>
          </w:tcPr>
          <w:p>
            <w:pPr>
              <w:pStyle w:val="TableContents"/>
              <w:spacing w:before="0" w:after="0" w:line="240" w:lineRule="atLeast"/>
            </w:pPr>
            <w:r>
              <w:rPr>
                <w:rFonts w:ascii="Arial" w:hAnsi="Arial" w:cs="Arial" w:eastAsia="Arial"/>
                <w:b/>
                <w:bCs/>
                <w:color w:val="0059D1"/>
                <w:sz w:val="16"/>
                <w:szCs w:val="16"/>
              </w:rPr>
              <w:t>[INSERT: Authority name]</w:t>
            </w:r>
          </w:p>
        </w:tc>
        <w:tc>
          <w:tcPr>
            <w:tcW w:type="dxa" w:w="1805"/>
          </w:tcPr>
          <w:p>
            <w:pPr>
              <w:pStyle w:val="TableContents"/>
              <w:spacing w:before="0" w:after="0" w:line="240" w:lineRule="atLeast"/>
            </w:pPr>
            <w:r>
              <w:rPr>
                <w:rFonts w:ascii="Arial" w:hAnsi="Arial" w:cs="Arial" w:eastAsia="Arial"/>
                <w:b/>
                <w:bCs/>
                <w:color w:val="0059D1"/>
                <w:sz w:val="16"/>
                <w:szCs w:val="16"/>
              </w:rPr>
              <w:t>[INSERT: Timeframe]</w:t>
            </w:r>
          </w:p>
        </w:tc>
        <w:tc>
          <w:tcPr>
            <w:tcW w:type="dxa" w:w="1805"/>
          </w:tcPr>
          <w:p>
            <w:pPr>
              <w:pStyle w:val="TableContents"/>
              <w:spacing w:before="0" w:after="0" w:line="240" w:lineRule="atLeast"/>
            </w:pPr>
            <w:r>
              <w:rPr>
                <w:rFonts w:ascii="Arial" w:hAnsi="Arial" w:cs="Arial" w:eastAsia="Arial"/>
                <w:b/>
                <w:bCs/>
                <w:color w:val="0059D1"/>
                <w:sz w:val="16"/>
                <w:szCs w:val="16"/>
              </w:rPr>
              <w:t>[INSERT: Method]</w:t>
            </w:r>
          </w:p>
        </w:tc>
        <w:tc>
          <w:tcPr>
            <w:tcW w:type="dxa" w:w="1806"/>
          </w:tcPr>
          <w:p>
            <w:pPr>
              <w:pStyle w:val="TableContents"/>
              <w:spacing w:before="0" w:after="0" w:line="240" w:lineRule="atLeast"/>
            </w:pPr>
            <w:r>
              <w:rPr>
                <w:rFonts w:ascii="Arial" w:hAnsi="Arial" w:cs="Arial" w:eastAsia="Arial"/>
                <w:b/>
                <w:bCs/>
                <w:color w:val="0059D1"/>
                <w:sz w:val="16"/>
                <w:szCs w:val="16"/>
              </w:rPr>
              <w:t>[INSERT: RT contact role and name]</w:t>
            </w:r>
          </w:p>
        </w:tc>
      </w:tr>
      <w:tr>
        <w:tc>
          <w:tcPr>
            <w:tcW w:type="dxa" w:w="1805"/>
          </w:tcPr>
          <w:p>
            <w:pPr>
              <w:pStyle w:val="TableContents"/>
              <w:spacing w:before="0" w:after="0" w:line="240" w:lineRule="atLeast"/>
            </w:pPr>
            <w:r>
              <w:rPr>
                <w:rFonts w:ascii="Arial" w:hAnsi="Arial" w:cs="Arial" w:eastAsia="Arial"/>
                <w:sz w:val="16"/>
                <w:szCs w:val="16"/>
              </w:rPr>
              <w:t>Dangerous occurrence or near miss (statutory)</w:t>
            </w:r>
          </w:p>
        </w:tc>
        <w:tc>
          <w:tcPr>
            <w:tcW w:type="dxa" w:w="1805"/>
          </w:tcPr>
          <w:p>
            <w:pPr>
              <w:pStyle w:val="TableContents"/>
              <w:spacing w:before="0" w:after="0" w:line="240" w:lineRule="atLeast"/>
            </w:pPr>
            <w:r>
              <w:rPr>
                <w:rFonts w:ascii="Arial" w:hAnsi="Arial" w:cs="Arial" w:eastAsia="Arial"/>
                <w:b/>
                <w:bCs/>
                <w:color w:val="0059D1"/>
                <w:sz w:val="16"/>
                <w:szCs w:val="16"/>
              </w:rPr>
              <w:t>[INSERT: Authority name]</w:t>
            </w:r>
          </w:p>
        </w:tc>
        <w:tc>
          <w:tcPr>
            <w:tcW w:type="dxa" w:w="1805"/>
          </w:tcPr>
          <w:p>
            <w:pPr>
              <w:pStyle w:val="TableContents"/>
              <w:spacing w:before="0" w:after="0" w:line="240" w:lineRule="atLeast"/>
            </w:pPr>
            <w:r>
              <w:rPr>
                <w:rFonts w:ascii="Arial" w:hAnsi="Arial" w:cs="Arial" w:eastAsia="Arial"/>
                <w:b/>
                <w:bCs/>
                <w:color w:val="0059D1"/>
                <w:sz w:val="16"/>
                <w:szCs w:val="16"/>
              </w:rPr>
              <w:t>[INSERT: Timeframe]</w:t>
            </w:r>
          </w:p>
        </w:tc>
        <w:tc>
          <w:tcPr>
            <w:tcW w:type="dxa" w:w="1805"/>
          </w:tcPr>
          <w:p>
            <w:pPr>
              <w:pStyle w:val="TableContents"/>
              <w:spacing w:before="0" w:after="0" w:line="240" w:lineRule="atLeast"/>
            </w:pPr>
            <w:r>
              <w:rPr>
                <w:rFonts w:ascii="Arial" w:hAnsi="Arial" w:cs="Arial" w:eastAsia="Arial"/>
                <w:b/>
                <w:bCs/>
                <w:color w:val="0059D1"/>
                <w:sz w:val="16"/>
                <w:szCs w:val="16"/>
              </w:rPr>
              <w:t>[INSERT: Method]</w:t>
            </w:r>
          </w:p>
        </w:tc>
        <w:tc>
          <w:tcPr>
            <w:tcW w:type="dxa" w:w="1806"/>
          </w:tcPr>
          <w:p>
            <w:pPr>
              <w:pStyle w:val="TableContents"/>
              <w:spacing w:before="0" w:after="0" w:line="240" w:lineRule="atLeast"/>
            </w:pPr>
            <w:r>
              <w:rPr>
                <w:rFonts w:ascii="Arial" w:hAnsi="Arial" w:cs="Arial" w:eastAsia="Arial"/>
                <w:b/>
                <w:bCs/>
                <w:color w:val="0059D1"/>
                <w:sz w:val="16"/>
                <w:szCs w:val="16"/>
              </w:rPr>
              <w:t>[INSERT: RT contact role and name]</w:t>
            </w:r>
          </w:p>
        </w:tc>
      </w:tr>
      <w:tr>
        <w:tc>
          <w:tcPr>
            <w:tcW w:type="dxa" w:w="1805"/>
          </w:tcPr>
          <w:p>
            <w:pPr>
              <w:pStyle w:val="TableContents"/>
              <w:spacing w:before="0" w:after="0" w:line="240" w:lineRule="atLeast"/>
            </w:pPr>
            <w:r>
              <w:rPr>
                <w:rFonts w:ascii="Arial" w:hAnsi="Arial" w:cs="Arial" w:eastAsia="Arial"/>
                <w:sz w:val="16"/>
                <w:szCs w:val="16"/>
              </w:rPr>
              <w:t>Environmental - Significant</w:t>
            </w:r>
          </w:p>
        </w:tc>
        <w:tc>
          <w:tcPr>
            <w:tcW w:type="dxa" w:w="1805"/>
          </w:tcPr>
          <w:p>
            <w:pPr>
              <w:pStyle w:val="TableContents"/>
              <w:spacing w:before="0" w:after="0" w:line="240" w:lineRule="atLeast"/>
            </w:pPr>
            <w:r>
              <w:rPr>
                <w:rFonts w:ascii="Arial" w:hAnsi="Arial" w:cs="Arial" w:eastAsia="Arial"/>
                <w:b/>
                <w:bCs/>
                <w:color w:val="0059D1"/>
                <w:sz w:val="16"/>
                <w:szCs w:val="16"/>
              </w:rPr>
              <w:t>[INSERT: Authority name]</w:t>
            </w:r>
          </w:p>
        </w:tc>
        <w:tc>
          <w:tcPr>
            <w:tcW w:type="dxa" w:w="1805"/>
          </w:tcPr>
          <w:p>
            <w:pPr>
              <w:pStyle w:val="TableContents"/>
              <w:spacing w:before="0" w:after="0" w:line="240" w:lineRule="atLeast"/>
            </w:pPr>
            <w:r>
              <w:rPr>
                <w:rFonts w:ascii="Arial" w:hAnsi="Arial" w:cs="Arial" w:eastAsia="Arial"/>
                <w:b/>
                <w:bCs/>
                <w:color w:val="0059D1"/>
                <w:sz w:val="16"/>
                <w:szCs w:val="16"/>
              </w:rPr>
              <w:t>[INSERT: Timeframe]</w:t>
            </w:r>
          </w:p>
        </w:tc>
        <w:tc>
          <w:tcPr>
            <w:tcW w:type="dxa" w:w="1805"/>
          </w:tcPr>
          <w:p>
            <w:pPr>
              <w:pStyle w:val="TableContents"/>
              <w:spacing w:before="0" w:after="0" w:line="240" w:lineRule="atLeast"/>
            </w:pPr>
            <w:r>
              <w:rPr>
                <w:rFonts w:ascii="Arial" w:hAnsi="Arial" w:cs="Arial" w:eastAsia="Arial"/>
                <w:b/>
                <w:bCs/>
                <w:color w:val="0059D1"/>
                <w:sz w:val="16"/>
                <w:szCs w:val="16"/>
              </w:rPr>
              <w:t>[INSERT: Method]</w:t>
            </w:r>
          </w:p>
        </w:tc>
        <w:tc>
          <w:tcPr>
            <w:tcW w:type="dxa" w:w="1806"/>
          </w:tcPr>
          <w:p>
            <w:pPr>
              <w:pStyle w:val="TableContents"/>
              <w:spacing w:before="0" w:after="0" w:line="240" w:lineRule="atLeast"/>
            </w:pPr>
            <w:r>
              <w:rPr>
                <w:rFonts w:ascii="Arial" w:hAnsi="Arial" w:cs="Arial" w:eastAsia="Arial"/>
                <w:b/>
                <w:bCs/>
                <w:color w:val="0059D1"/>
                <w:sz w:val="16"/>
                <w:szCs w:val="16"/>
              </w:rPr>
              <w:t>[INSERT: RT contact role and name]</w:t>
            </w:r>
          </w:p>
        </w:tc>
      </w:tr>
      <w:tr>
        <w:tc>
          <w:tcPr>
            <w:tcW w:type="dxa" w:w="1805"/>
          </w:tcPr>
          <w:p>
            <w:pPr>
              <w:pStyle w:val="TableContents"/>
              <w:spacing w:before="0" w:after="0" w:line="240" w:lineRule="atLeast"/>
            </w:pPr>
            <w:r>
              <w:rPr>
                <w:rFonts w:ascii="Arial" w:hAnsi="Arial" w:cs="Arial" w:eastAsia="Arial"/>
                <w:sz w:val="16"/>
                <w:szCs w:val="16"/>
              </w:rPr>
              <w:t>Environmental - High</w:t>
            </w:r>
          </w:p>
        </w:tc>
        <w:tc>
          <w:tcPr>
            <w:tcW w:type="dxa" w:w="1805"/>
          </w:tcPr>
          <w:p>
            <w:pPr>
              <w:pStyle w:val="TableContents"/>
              <w:spacing w:before="0" w:after="0" w:line="240" w:lineRule="atLeast"/>
            </w:pPr>
            <w:r>
              <w:rPr>
                <w:rFonts w:ascii="Arial" w:hAnsi="Arial" w:cs="Arial" w:eastAsia="Arial"/>
                <w:b/>
                <w:bCs/>
                <w:color w:val="0059D1"/>
                <w:sz w:val="16"/>
                <w:szCs w:val="16"/>
              </w:rPr>
              <w:t>[INSERT: Authority name]</w:t>
            </w:r>
          </w:p>
        </w:tc>
        <w:tc>
          <w:tcPr>
            <w:tcW w:type="dxa" w:w="1805"/>
          </w:tcPr>
          <w:p>
            <w:pPr>
              <w:pStyle w:val="TableContents"/>
              <w:spacing w:before="0" w:after="0" w:line="240" w:lineRule="atLeast"/>
            </w:pPr>
            <w:r>
              <w:rPr>
                <w:rFonts w:ascii="Arial" w:hAnsi="Arial" w:cs="Arial" w:eastAsia="Arial"/>
                <w:b/>
                <w:bCs/>
                <w:color w:val="0059D1"/>
                <w:sz w:val="16"/>
                <w:szCs w:val="16"/>
              </w:rPr>
              <w:t>[INSERT: Timeframe]</w:t>
            </w:r>
          </w:p>
        </w:tc>
        <w:tc>
          <w:tcPr>
            <w:tcW w:type="dxa" w:w="1805"/>
          </w:tcPr>
          <w:p>
            <w:pPr>
              <w:pStyle w:val="TableContents"/>
              <w:spacing w:before="0" w:after="0" w:line="240" w:lineRule="atLeast"/>
            </w:pPr>
            <w:r>
              <w:rPr>
                <w:rFonts w:ascii="Arial" w:hAnsi="Arial" w:cs="Arial" w:eastAsia="Arial"/>
                <w:b/>
                <w:bCs/>
                <w:color w:val="0059D1"/>
                <w:sz w:val="16"/>
                <w:szCs w:val="16"/>
              </w:rPr>
              <w:t>[INSERT: Method]</w:t>
            </w:r>
          </w:p>
        </w:tc>
        <w:tc>
          <w:tcPr>
            <w:tcW w:type="dxa" w:w="1806"/>
          </w:tcPr>
          <w:p>
            <w:pPr>
              <w:pStyle w:val="TableContents"/>
              <w:spacing w:before="0" w:after="0" w:line="240" w:lineRule="atLeast"/>
            </w:pPr>
            <w:r>
              <w:rPr>
                <w:rFonts w:ascii="Arial" w:hAnsi="Arial" w:cs="Arial" w:eastAsia="Arial"/>
                <w:b/>
                <w:bCs/>
                <w:color w:val="0059D1"/>
                <w:sz w:val="16"/>
                <w:szCs w:val="16"/>
              </w:rPr>
              <w:t>[INSERT: RT contact role and name]</w:t>
            </w:r>
          </w:p>
        </w:tc>
      </w:tr>
      <w:tr>
        <w:tc>
          <w:tcPr>
            <w:tcW w:type="dxa" w:w="1805"/>
          </w:tcPr>
          <w:p>
            <w:pPr>
              <w:pStyle w:val="TableContents"/>
              <w:spacing w:before="0" w:after="0" w:line="240" w:lineRule="atLeast"/>
            </w:pPr>
            <w:r>
              <w:rPr>
                <w:rFonts w:ascii="Arial" w:hAnsi="Arial" w:cs="Arial" w:eastAsia="Arial"/>
                <w:sz w:val="16"/>
                <w:szCs w:val="16"/>
              </w:rPr>
              <w:t>Process Safety Incident</w:t>
            </w:r>
          </w:p>
        </w:tc>
        <w:tc>
          <w:tcPr>
            <w:tcW w:type="dxa" w:w="1805"/>
          </w:tcPr>
          <w:p>
            <w:pPr>
              <w:pStyle w:val="TableContents"/>
              <w:spacing w:before="0" w:after="0" w:line="240" w:lineRule="atLeast"/>
            </w:pPr>
            <w:r>
              <w:rPr>
                <w:rFonts w:ascii="Arial" w:hAnsi="Arial" w:cs="Arial" w:eastAsia="Arial"/>
                <w:b/>
                <w:bCs/>
                <w:color w:val="0059D1"/>
                <w:sz w:val="16"/>
                <w:szCs w:val="16"/>
              </w:rPr>
              <w:t>[INSERT: Authority name]</w:t>
            </w:r>
          </w:p>
        </w:tc>
        <w:tc>
          <w:tcPr>
            <w:tcW w:type="dxa" w:w="1805"/>
          </w:tcPr>
          <w:p>
            <w:pPr>
              <w:pStyle w:val="TableContents"/>
              <w:spacing w:before="0" w:after="0" w:line="240" w:lineRule="atLeast"/>
            </w:pPr>
            <w:r>
              <w:rPr>
                <w:rFonts w:ascii="Arial" w:hAnsi="Arial" w:cs="Arial" w:eastAsia="Arial"/>
                <w:b/>
                <w:bCs/>
                <w:color w:val="0059D1"/>
                <w:sz w:val="16"/>
                <w:szCs w:val="16"/>
              </w:rPr>
              <w:t>[INSERT: Timeframe]</w:t>
            </w:r>
          </w:p>
        </w:tc>
        <w:tc>
          <w:tcPr>
            <w:tcW w:type="dxa" w:w="1805"/>
          </w:tcPr>
          <w:p>
            <w:pPr>
              <w:pStyle w:val="TableContents"/>
              <w:spacing w:before="0" w:after="0" w:line="240" w:lineRule="atLeast"/>
            </w:pPr>
            <w:r>
              <w:rPr>
                <w:rFonts w:ascii="Arial" w:hAnsi="Arial" w:cs="Arial" w:eastAsia="Arial"/>
                <w:b/>
                <w:bCs/>
                <w:color w:val="0059D1"/>
                <w:sz w:val="16"/>
                <w:szCs w:val="16"/>
              </w:rPr>
              <w:t>[INSERT: Method]</w:t>
            </w:r>
          </w:p>
        </w:tc>
        <w:tc>
          <w:tcPr>
            <w:tcW w:type="dxa" w:w="1806"/>
          </w:tcPr>
          <w:p>
            <w:pPr>
              <w:pStyle w:val="TableContents"/>
              <w:spacing w:before="0" w:after="0" w:line="240" w:lineRule="atLeast"/>
            </w:pPr>
            <w:r>
              <w:rPr>
                <w:rFonts w:ascii="Arial" w:hAnsi="Arial" w:cs="Arial" w:eastAsia="Arial"/>
                <w:b/>
                <w:bCs/>
                <w:color w:val="0059D1"/>
                <w:sz w:val="16"/>
                <w:szCs w:val="16"/>
              </w:rPr>
              <w:t>[INSERT: RT contact role and name]</w:t>
            </w:r>
          </w:p>
        </w:tc>
      </w:tr>
      <w:tr>
        <w:tc>
          <w:tcPr>
            <w:tcW w:type="dxa" w:w="1805"/>
          </w:tcPr>
          <w:p>
            <w:pPr>
              <w:pStyle w:val="TableContents"/>
              <w:spacing w:before="0" w:after="0" w:line="240" w:lineRule="atLeast"/>
            </w:pPr>
            <w:r>
              <w:rPr>
                <w:rFonts w:ascii="Arial" w:hAnsi="Arial" w:cs="Arial" w:eastAsia="Arial"/>
                <w:b/>
                <w:bCs/>
                <w:color w:val="0059D1"/>
                <w:sz w:val="16"/>
                <w:szCs w:val="16"/>
              </w:rPr>
              <w:t>[INSERT: Additional category as required]</w:t>
            </w:r>
          </w:p>
        </w:tc>
        <w:tc>
          <w:tcPr>
            <w:tcW w:type="dxa" w:w="1805"/>
          </w:tcPr>
          <w:p>
            <w:pPr>
              <w:pStyle w:val="TableContents"/>
              <w:spacing w:before="0" w:after="0" w:line="240" w:lineRule="atLeast"/>
            </w:pPr>
            <w:r>
              <w:rPr>
                <w:rFonts w:ascii="Arial" w:hAnsi="Arial" w:cs="Arial" w:eastAsia="Arial"/>
                <w:b/>
                <w:bCs/>
                <w:color w:val="0059D1"/>
                <w:sz w:val="16"/>
                <w:szCs w:val="16"/>
              </w:rPr>
              <w:t>[INSERT: Authority name]</w:t>
            </w:r>
          </w:p>
        </w:tc>
        <w:tc>
          <w:tcPr>
            <w:tcW w:type="dxa" w:w="1805"/>
          </w:tcPr>
          <w:p>
            <w:pPr>
              <w:pStyle w:val="TableContents"/>
              <w:spacing w:before="0" w:after="0" w:line="240" w:lineRule="atLeast"/>
            </w:pPr>
            <w:r>
              <w:rPr>
                <w:rFonts w:ascii="Arial" w:hAnsi="Arial" w:cs="Arial" w:eastAsia="Arial"/>
                <w:b/>
                <w:bCs/>
                <w:color w:val="0059D1"/>
                <w:sz w:val="16"/>
                <w:szCs w:val="16"/>
              </w:rPr>
              <w:t>[INSERT: Timeframe]</w:t>
            </w:r>
          </w:p>
        </w:tc>
        <w:tc>
          <w:tcPr>
            <w:tcW w:type="dxa" w:w="1805"/>
          </w:tcPr>
          <w:p>
            <w:pPr>
              <w:pStyle w:val="TableContents"/>
              <w:spacing w:before="0" w:after="0" w:line="240" w:lineRule="atLeast"/>
            </w:pPr>
            <w:r>
              <w:rPr>
                <w:rFonts w:ascii="Arial" w:hAnsi="Arial" w:cs="Arial" w:eastAsia="Arial"/>
                <w:b/>
                <w:bCs/>
                <w:color w:val="0059D1"/>
                <w:sz w:val="16"/>
                <w:szCs w:val="16"/>
              </w:rPr>
              <w:t>[INSERT: Method]</w:t>
            </w:r>
          </w:p>
        </w:tc>
        <w:tc>
          <w:tcPr>
            <w:tcW w:type="dxa" w:w="1806"/>
          </w:tcPr>
          <w:p>
            <w:pPr>
              <w:pStyle w:val="TableContents"/>
              <w:spacing w:before="0" w:after="0" w:line="240" w:lineRule="atLeast"/>
            </w:pPr>
            <w:r>
              <w:rPr>
                <w:rFonts w:ascii="Arial" w:hAnsi="Arial" w:cs="Arial" w:eastAsia="Arial"/>
                <w:b/>
                <w:bCs/>
                <w:color w:val="0059D1"/>
                <w:sz w:val="16"/>
                <w:szCs w:val="16"/>
              </w:rPr>
              <w:t>[INSERT: RT contact role and name]</w:t>
            </w:r>
          </w:p>
        </w:tc>
      </w:tr>
    </w:tbl>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Security Committee - the governance body responsible for overseeing HSESC performance and compliance on Rio Tinto owner-led projects.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discipline encompassing occupational health, workplace safety and environmental management obligations.</w:t>
            </w:r>
          </w:p>
        </w:tc>
      </w:tr>
      <w:tr>
        <w:tc>
          <w:tcPr>
            <w:tcW w:type="dxa" w:w="4888"/>
          </w:tcPr>
          <w:p>
            <w:pPr>
              <w:pStyle w:val="TableContents"/>
              <w:spacing w:before="0" w:after="0" w:line="240" w:lineRule="atLeast"/>
            </w:pPr>
            <w:r>
              <w:rPr>
                <w:rFonts w:ascii="Arial" w:hAnsi="Arial" w:cs="Arial" w:eastAsia="Arial"/>
                <w:sz w:val="16"/>
                <w:szCs w:val="16"/>
              </w:rPr>
              <w:t>MRO</w:t>
            </w:r>
          </w:p>
        </w:tc>
        <w:tc>
          <w:tcPr>
            <w:tcW w:type="dxa" w:w="4889"/>
          </w:tcPr>
          <w:p>
            <w:pPr>
              <w:pStyle w:val="TableContents"/>
              <w:spacing w:before="0" w:after="0" w:line="240" w:lineRule="atLeast"/>
            </w:pPr>
            <w:r>
              <w:rPr>
                <w:rFonts w:ascii="Arial" w:hAnsi="Arial" w:cs="Arial" w:eastAsia="Arial"/>
                <w:sz w:val="16"/>
                <w:szCs w:val="16"/>
              </w:rPr>
              <w:t>Maximum Reasonable Outcome - a risk assessment technique used to evaluate the worst credible consequence that could result from an incident or hazard, applied using the 5×5 risk matrix.</w:t>
            </w:r>
          </w:p>
        </w:tc>
      </w:tr>
      <w:tr>
        <w:tc>
          <w:tcPr>
            <w:tcW w:type="dxa" w:w="4888"/>
          </w:tcPr>
          <w:p>
            <w:pPr>
              <w:pStyle w:val="TableContents"/>
              <w:spacing w:before="0" w:after="0" w:line="240" w:lineRule="atLeast"/>
            </w:pPr>
            <w:r>
              <w:rPr>
                <w:rFonts w:ascii="Arial" w:hAnsi="Arial" w:cs="Arial" w:eastAsia="Arial"/>
                <w:sz w:val="16"/>
                <w:szCs w:val="16"/>
              </w:rPr>
              <w:t>ICAM</w:t>
            </w:r>
          </w:p>
        </w:tc>
        <w:tc>
          <w:tcPr>
            <w:tcW w:type="dxa" w:w="4889"/>
          </w:tcPr>
          <w:p>
            <w:pPr>
              <w:pStyle w:val="TableContents"/>
              <w:spacing w:before="0" w:after="0" w:line="240" w:lineRule="atLeast"/>
            </w:pPr>
            <w:r>
              <w:rPr>
                <w:rFonts w:ascii="Arial" w:hAnsi="Arial" w:cs="Arial" w:eastAsia="Arial"/>
                <w:sz w:val="16"/>
                <w:szCs w:val="16"/>
              </w:rPr>
              <w:t>Incident Cause Analysis Method - a structured investigation methodology used to identify contributing factors, absent or failed defences, and organisational factors underlying an incident.</w:t>
            </w:r>
          </w:p>
        </w:tc>
      </w:tr>
      <w:tr>
        <w:tc>
          <w:tcPr>
            <w:tcW w:type="dxa" w:w="4888"/>
          </w:tcPr>
          <w:p>
            <w:pPr>
              <w:pStyle w:val="TableContents"/>
              <w:spacing w:before="0" w:after="0" w:line="240" w:lineRule="atLeast"/>
            </w:pPr>
            <w:r>
              <w:rPr>
                <w:rFonts w:ascii="Arial" w:hAnsi="Arial" w:cs="Arial" w:eastAsia="Arial"/>
                <w:sz w:val="16"/>
                <w:szCs w:val="16"/>
              </w:rPr>
              <w:t>RCA</w:t>
            </w:r>
          </w:p>
        </w:tc>
        <w:tc>
          <w:tcPr>
            <w:tcW w:type="dxa" w:w="4889"/>
          </w:tcPr>
          <w:p>
            <w:pPr>
              <w:pStyle w:val="TableContents"/>
              <w:spacing w:before="0" w:after="0" w:line="240" w:lineRule="atLeast"/>
            </w:pPr>
            <w:r>
              <w:rPr>
                <w:rFonts w:ascii="Arial" w:hAnsi="Arial" w:cs="Arial" w:eastAsia="Arial"/>
                <w:sz w:val="16"/>
                <w:szCs w:val="16"/>
              </w:rPr>
              <w:t>Root Cause Analysis - a systematic process for identifying the fundamental underlying causes of an incident or problem to prevent recurrence.</w:t>
            </w:r>
          </w:p>
        </w:tc>
      </w:tr>
      <w:tr>
        <w:tc>
          <w:tcPr>
            <w:tcW w:type="dxa" w:w="4888"/>
          </w:tcPr>
          <w:p>
            <w:pPr>
              <w:pStyle w:val="TableContents"/>
              <w:spacing w:before="0" w:after="0" w:line="240" w:lineRule="atLeast"/>
            </w:pPr>
            <w:r>
              <w:rPr>
                <w:rFonts w:ascii="Arial" w:hAnsi="Arial" w:cs="Arial" w:eastAsia="Arial"/>
                <w:sz w:val="16"/>
                <w:szCs w:val="16"/>
              </w:rPr>
              <w:t>HIPO</w:t>
            </w:r>
          </w:p>
        </w:tc>
        <w:tc>
          <w:tcPr>
            <w:tcW w:type="dxa" w:w="4889"/>
          </w:tcPr>
          <w:p>
            <w:pPr>
              <w:pStyle w:val="TableContents"/>
              <w:spacing w:before="0" w:after="0" w:line="240" w:lineRule="atLeast"/>
            </w:pPr>
            <w:r>
              <w:rPr>
                <w:rFonts w:ascii="Arial" w:hAnsi="Arial" w:cs="Arial" w:eastAsia="Arial"/>
                <w:sz w:val="16"/>
                <w:szCs w:val="16"/>
              </w:rPr>
              <w:t>High Potential Incident - an incident or near miss that, under slightly different circumstances, could have resulted in a fatality or permanent total disability.</w:t>
            </w:r>
          </w:p>
        </w:tc>
      </w:tr>
      <w:tr>
        <w:tc>
          <w:tcPr>
            <w:tcW w:type="dxa" w:w="4888"/>
          </w:tcPr>
          <w:p>
            <w:pPr>
              <w:pStyle w:val="TableContents"/>
              <w:spacing w:before="0" w:after="0" w:line="240" w:lineRule="atLeast"/>
            </w:pPr>
            <w:r>
              <w:rPr>
                <w:rFonts w:ascii="Arial" w:hAnsi="Arial" w:cs="Arial" w:eastAsia="Arial"/>
                <w:sz w:val="16"/>
                <w:szCs w:val="16"/>
              </w:rPr>
              <w:t>FAT</w:t>
            </w:r>
          </w:p>
        </w:tc>
        <w:tc>
          <w:tcPr>
            <w:tcW w:type="dxa" w:w="4889"/>
          </w:tcPr>
          <w:p>
            <w:pPr>
              <w:pStyle w:val="TableContents"/>
              <w:spacing w:before="0" w:after="0" w:line="240" w:lineRule="atLeast"/>
            </w:pPr>
            <w:r>
              <w:rPr>
                <w:rFonts w:ascii="Arial" w:hAnsi="Arial" w:cs="Arial" w:eastAsia="Arial"/>
                <w:sz w:val="16"/>
                <w:szCs w:val="16"/>
              </w:rPr>
              <w:t>Fatality - an incident resulting in the death of any person, whether an employee, contractor or member of the public, arising from project activities.</w:t>
            </w:r>
          </w:p>
        </w:tc>
      </w:tr>
      <w:tr>
        <w:tc>
          <w:tcPr>
            <w:tcW w:type="dxa" w:w="4888"/>
          </w:tcPr>
          <w:p>
            <w:pPr>
              <w:pStyle w:val="TableContents"/>
              <w:spacing w:before="0" w:after="0" w:line="240" w:lineRule="atLeast"/>
            </w:pPr>
            <w:r>
              <w:rPr>
                <w:rFonts w:ascii="Arial" w:hAnsi="Arial" w:cs="Arial" w:eastAsia="Arial"/>
                <w:sz w:val="16"/>
                <w:szCs w:val="16"/>
              </w:rPr>
              <w:t>LTI</w:t>
            </w:r>
          </w:p>
        </w:tc>
        <w:tc>
          <w:tcPr>
            <w:tcW w:type="dxa" w:w="4889"/>
          </w:tcPr>
          <w:p>
            <w:pPr>
              <w:pStyle w:val="TableContents"/>
              <w:spacing w:before="0" w:after="0" w:line="240" w:lineRule="atLeast"/>
            </w:pPr>
            <w:r>
              <w:rPr>
                <w:rFonts w:ascii="Arial" w:hAnsi="Arial" w:cs="Arial" w:eastAsia="Arial"/>
                <w:sz w:val="16"/>
                <w:szCs w:val="16"/>
              </w:rPr>
              <w:t>Lost Time Injury - a work-related injury or illness that results in the affected person being unable to perform their regular duties for at least one full day or shift beyond the day of the incident.</w:t>
            </w:r>
          </w:p>
        </w:tc>
      </w:tr>
      <w:tr>
        <w:tc>
          <w:tcPr>
            <w:tcW w:type="dxa" w:w="4888"/>
          </w:tcPr>
          <w:p>
            <w:pPr>
              <w:pStyle w:val="TableContents"/>
              <w:spacing w:before="0" w:after="0" w:line="240" w:lineRule="atLeast"/>
            </w:pPr>
            <w:r>
              <w:rPr>
                <w:rFonts w:ascii="Arial" w:hAnsi="Arial" w:cs="Arial" w:eastAsia="Arial"/>
                <w:sz w:val="16"/>
                <w:szCs w:val="16"/>
              </w:rPr>
              <w:t>MTI</w:t>
            </w:r>
          </w:p>
        </w:tc>
        <w:tc>
          <w:tcPr>
            <w:tcW w:type="dxa" w:w="4889"/>
          </w:tcPr>
          <w:p>
            <w:pPr>
              <w:pStyle w:val="TableContents"/>
              <w:spacing w:before="0" w:after="0" w:line="240" w:lineRule="atLeast"/>
            </w:pPr>
            <w:r>
              <w:rPr>
                <w:rFonts w:ascii="Arial" w:hAnsi="Arial" w:cs="Arial" w:eastAsia="Arial"/>
                <w:sz w:val="16"/>
                <w:szCs w:val="16"/>
              </w:rPr>
              <w:t>Medical Treatment Injury - a work-related injury or illness that requires treatment by a medical professional beyond first aid but does not result in lost time from work.</w:t>
            </w:r>
          </w:p>
        </w:tc>
      </w:tr>
      <w:tr>
        <w:tc>
          <w:tcPr>
            <w:tcW w:type="dxa" w:w="4888"/>
          </w:tcPr>
          <w:p>
            <w:pPr>
              <w:pStyle w:val="TableContents"/>
              <w:spacing w:before="0" w:after="0" w:line="240" w:lineRule="atLeast"/>
            </w:pPr>
            <w:r>
              <w:rPr>
                <w:rFonts w:ascii="Arial" w:hAnsi="Arial" w:cs="Arial" w:eastAsia="Arial"/>
                <w:sz w:val="16"/>
                <w:szCs w:val="16"/>
              </w:rPr>
              <w:t>FAI</w:t>
            </w:r>
          </w:p>
        </w:tc>
        <w:tc>
          <w:tcPr>
            <w:tcW w:type="dxa" w:w="4889"/>
          </w:tcPr>
          <w:p>
            <w:pPr>
              <w:pStyle w:val="TableContents"/>
              <w:spacing w:before="0" w:after="0" w:line="240" w:lineRule="atLeast"/>
            </w:pPr>
            <w:r>
              <w:rPr>
                <w:rFonts w:ascii="Arial" w:hAnsi="Arial" w:cs="Arial" w:eastAsia="Arial"/>
                <w:sz w:val="16"/>
                <w:szCs w:val="16"/>
              </w:rPr>
              <w:t>First Aid Injury - a minor work-related injury or illness that requires only first aid treatment and does not result in lost time or the need for medical treatment beyond the incident site.</w:t>
            </w:r>
          </w:p>
        </w:tc>
      </w:tr>
      <w:tr>
        <w:tc>
          <w:tcPr>
            <w:tcW w:type="dxa" w:w="4888"/>
          </w:tcPr>
          <w:p>
            <w:pPr>
              <w:pStyle w:val="TableContents"/>
              <w:spacing w:before="0" w:after="0" w:line="240" w:lineRule="atLeast"/>
            </w:pPr>
            <w:r>
              <w:rPr>
                <w:rFonts w:ascii="Arial" w:hAnsi="Arial" w:cs="Arial" w:eastAsia="Arial"/>
                <w:sz w:val="16"/>
                <w:szCs w:val="16"/>
              </w:rPr>
              <w:t>RWI</w:t>
            </w:r>
          </w:p>
        </w:tc>
        <w:tc>
          <w:tcPr>
            <w:tcW w:type="dxa" w:w="4889"/>
          </w:tcPr>
          <w:p>
            <w:pPr>
              <w:pStyle w:val="TableContents"/>
              <w:spacing w:before="0" w:after="0" w:line="240" w:lineRule="atLeast"/>
            </w:pPr>
            <w:r>
              <w:rPr>
                <w:rFonts w:ascii="Arial" w:hAnsi="Arial" w:cs="Arial" w:eastAsia="Arial"/>
                <w:sz w:val="16"/>
                <w:szCs w:val="16"/>
              </w:rPr>
              <w:t>Restricted Work Injury - a work-related injury or illness that results in the affected person being assigned to modified or restricted duties rather than their regular work, without constituting a lost time injury.</w:t>
            </w:r>
          </w:p>
        </w:tc>
      </w:tr>
      <w:tr>
        <w:tc>
          <w:tcPr>
            <w:tcW w:type="dxa" w:w="4888"/>
          </w:tcPr>
          <w:p>
            <w:pPr>
              <w:pStyle w:val="TableContents"/>
              <w:spacing w:before="0" w:after="0" w:line="240" w:lineRule="atLeast"/>
            </w:pPr>
            <w:r>
              <w:rPr>
                <w:rFonts w:ascii="Arial" w:hAnsi="Arial" w:cs="Arial" w:eastAsia="Arial"/>
                <w:sz w:val="16"/>
                <w:szCs w:val="16"/>
              </w:rPr>
              <w:t>NM</w:t>
            </w:r>
          </w:p>
        </w:tc>
        <w:tc>
          <w:tcPr>
            <w:tcW w:type="dxa" w:w="4889"/>
          </w:tcPr>
          <w:p>
            <w:pPr>
              <w:pStyle w:val="TableContents"/>
              <w:spacing w:before="0" w:after="0" w:line="240" w:lineRule="atLeast"/>
            </w:pPr>
            <w:r>
              <w:rPr>
                <w:rFonts w:ascii="Arial" w:hAnsi="Arial" w:cs="Arial" w:eastAsia="Arial"/>
                <w:sz w:val="16"/>
                <w:szCs w:val="16"/>
              </w:rPr>
              <w:t>Near Miss - an unplanned event that did not result in injury, illness or damage but had the potential to do so, providing a learning opportunity to prevent future incidents.</w:t>
            </w:r>
          </w:p>
        </w:tc>
      </w:tr>
      <w:tr>
        <w:tc>
          <w:tcPr>
            <w:tcW w:type="dxa" w:w="4888"/>
          </w:tcPr>
          <w:p>
            <w:pPr>
              <w:pStyle w:val="TableContents"/>
              <w:spacing w:before="0" w:after="0" w:line="240" w:lineRule="atLeast"/>
            </w:pPr>
            <w:r>
              <w:rPr>
                <w:rFonts w:ascii="Arial" w:hAnsi="Arial" w:cs="Arial" w:eastAsia="Arial"/>
                <w:sz w:val="16"/>
                <w:szCs w:val="16"/>
              </w:rPr>
              <w:t>OFI</w:t>
            </w:r>
          </w:p>
        </w:tc>
        <w:tc>
          <w:tcPr>
            <w:tcW w:type="dxa" w:w="4889"/>
          </w:tcPr>
          <w:p>
            <w:pPr>
              <w:pStyle w:val="TableContents"/>
              <w:spacing w:before="0" w:after="0" w:line="240" w:lineRule="atLeast"/>
            </w:pPr>
            <w:r>
              <w:rPr>
                <w:rFonts w:ascii="Arial" w:hAnsi="Arial" w:cs="Arial" w:eastAsia="Arial"/>
                <w:sz w:val="16"/>
                <w:szCs w:val="16"/>
              </w:rPr>
              <w:t>Opportunity for Improvement - an observation or finding that identifies a gap or potential enhancement in safety, environmental or operational performance that does not constitute an incident.</w:t>
            </w:r>
          </w:p>
        </w:tc>
      </w:tr>
      <w:tr>
        <w:tc>
          <w:tcPr>
            <w:tcW w:type="dxa" w:w="4888"/>
          </w:tcPr>
          <w:p>
            <w:pPr>
              <w:pStyle w:val="TableContents"/>
              <w:spacing w:before="0" w:after="0" w:line="240" w:lineRule="atLeast"/>
            </w:pPr>
            <w:r>
              <w:rPr>
                <w:rFonts w:ascii="Arial" w:hAnsi="Arial" w:cs="Arial" w:eastAsia="Arial"/>
                <w:sz w:val="16"/>
                <w:szCs w:val="16"/>
              </w:rPr>
              <w:t>CAPO</w:t>
            </w:r>
          </w:p>
        </w:tc>
        <w:tc>
          <w:tcPr>
            <w:tcW w:type="dxa" w:w="4889"/>
          </w:tcPr>
          <w:p>
            <w:pPr>
              <w:pStyle w:val="TableContents"/>
              <w:spacing w:before="0" w:after="0" w:line="240" w:lineRule="atLeast"/>
            </w:pPr>
            <w:r>
              <w:rPr>
                <w:rFonts w:ascii="Arial" w:hAnsi="Arial" w:cs="Arial" w:eastAsia="Arial"/>
                <w:sz w:val="16"/>
                <w:szCs w:val="16"/>
              </w:rPr>
              <w:t>Corrective Action and Preventive Order - a formal action assigned following an incident investigation or audit finding, requiring completion within a specified timeframe to address identified deficiencies.</w:t>
            </w:r>
          </w:p>
        </w:tc>
      </w:tr>
      <w:tr>
        <w:tc>
          <w:tcPr>
            <w:tcW w:type="dxa" w:w="4888"/>
          </w:tcPr>
          <w:p>
            <w:pPr>
              <w:pStyle w:val="TableContents"/>
              <w:spacing w:before="0" w:after="0" w:line="240" w:lineRule="atLeast"/>
            </w:pPr>
            <w:r>
              <w:rPr>
                <w:rFonts w:ascii="Arial" w:hAnsi="Arial" w:cs="Arial" w:eastAsia="Arial"/>
                <w:sz w:val="16"/>
                <w:szCs w:val="16"/>
              </w:rPr>
              <w:t>IMMS</w:t>
            </w:r>
          </w:p>
        </w:tc>
        <w:tc>
          <w:tcPr>
            <w:tcW w:type="dxa" w:w="4889"/>
          </w:tcPr>
          <w:p>
            <w:pPr>
              <w:pStyle w:val="TableContents"/>
              <w:spacing w:before="0" w:after="0" w:line="240" w:lineRule="atLeast"/>
            </w:pPr>
            <w:r>
              <w:rPr>
                <w:rFonts w:ascii="Arial" w:hAnsi="Arial" w:cs="Arial" w:eastAsia="Arial"/>
                <w:sz w:val="16"/>
                <w:szCs w:val="16"/>
              </w:rPr>
              <w:t>Incident Management and Monitoring System - the electronic platform or database used to record, track, investigate and close out incidents and associated corrective actions.</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parent company whose standards, frameworks and management systems govern project HSESC requirements on owner-led projects.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documented instruction forming part of the project HSESC Management System that specifies the required steps, responsibilities and controls for a defined activity.</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Projects - the organisational unit within Rio Tinto responsible for the delivery of capital projects, under whose management system framework this procedure is issued.</w:t>
            </w:r>
          </w:p>
        </w:tc>
      </w:tr>
      <w:tr>
        <w:tc>
          <w:tcPr>
            <w:tcW w:type="dxa" w:w="4888"/>
          </w:tcPr>
          <w:p>
            <w:pPr>
              <w:pStyle w:val="TableContents"/>
              <w:spacing w:before="0" w:after="0" w:line="240" w:lineRule="atLeast"/>
            </w:pPr>
            <w:r>
              <w:rPr>
                <w:rFonts w:ascii="Arial" w:hAnsi="Arial" w:cs="Arial" w:eastAsia="Arial"/>
                <w:sz w:val="16"/>
                <w:szCs w:val="16"/>
              </w:rPr>
              <w:t>SIF</w:t>
            </w:r>
          </w:p>
        </w:tc>
        <w:tc>
          <w:tcPr>
            <w:tcW w:type="dxa" w:w="4889"/>
          </w:tcPr>
          <w:p>
            <w:pPr>
              <w:pStyle w:val="TableContents"/>
              <w:spacing w:before="0" w:after="0" w:line="240" w:lineRule="atLeast"/>
            </w:pPr>
            <w:r>
              <w:rPr>
                <w:rFonts w:ascii="Arial" w:hAnsi="Arial" w:cs="Arial" w:eastAsia="Arial"/>
                <w:sz w:val="16"/>
                <w:szCs w:val="16"/>
              </w:rPr>
              <w:t>Serious Injury or Fatality - a classification applied to incidents that result in, or had the potential to result in, a fatality or life-altering injury, triggering enhanced investigation and executive notification requirements.</w:t>
            </w:r>
          </w:p>
        </w:tc>
      </w:tr>
      <w:tr>
        <w:tc>
          <w:tcPr>
            <w:tcW w:type="dxa" w:w="4888"/>
          </w:tcPr>
          <w:p>
            <w:pPr>
              <w:pStyle w:val="TableContents"/>
              <w:spacing w:before="0" w:after="0" w:line="240" w:lineRule="atLeast"/>
            </w:pPr>
            <w:r>
              <w:rPr>
                <w:rFonts w:ascii="Arial" w:hAnsi="Arial" w:cs="Arial" w:eastAsia="Arial"/>
                <w:sz w:val="16"/>
                <w:szCs w:val="16"/>
              </w:rPr>
              <w:t>PMT</w:t>
            </w:r>
          </w:p>
        </w:tc>
        <w:tc>
          <w:tcPr>
            <w:tcW w:type="dxa" w:w="4889"/>
          </w:tcPr>
          <w:p>
            <w:pPr>
              <w:pStyle w:val="TableContents"/>
              <w:spacing w:before="0" w:after="0" w:line="240" w:lineRule="atLeast"/>
            </w:pPr>
            <w:r>
              <w:rPr>
                <w:rFonts w:ascii="Arial" w:hAnsi="Arial" w:cs="Arial" w:eastAsia="Arial"/>
                <w:sz w:val="16"/>
                <w:szCs w:val="16"/>
              </w:rPr>
              <w:t>Project Management Team - the owner-side team responsible for the planning, execution and HSESC governance of the capital project.</w:t>
            </w:r>
          </w:p>
        </w:tc>
      </w:tr>
      <w:tr>
        <w:tc>
          <w:tcPr>
            <w:tcW w:type="dxa" w:w="4888"/>
          </w:tcPr>
          <w:p>
            <w:pPr>
              <w:pStyle w:val="TableContents"/>
              <w:spacing w:before="0" w:after="0" w:line="240" w:lineRule="atLeast"/>
            </w:pPr>
            <w:r>
              <w:rPr>
                <w:rFonts w:ascii="Arial" w:hAnsi="Arial" w:cs="Arial" w:eastAsia="Arial"/>
                <w:sz w:val="16"/>
                <w:szCs w:val="16"/>
              </w:rPr>
              <w:t>PCBU</w:t>
            </w:r>
          </w:p>
        </w:tc>
        <w:tc>
          <w:tcPr>
            <w:tcW w:type="dxa" w:w="4889"/>
          </w:tcPr>
          <w:p>
            <w:pPr>
              <w:pStyle w:val="TableContents"/>
              <w:spacing w:before="0" w:after="0" w:line="240" w:lineRule="atLeast"/>
            </w:pPr>
            <w:r>
              <w:rPr>
                <w:rFonts w:ascii="Arial" w:hAnsi="Arial" w:cs="Arial" w:eastAsia="Arial"/>
                <w:sz w:val="16"/>
                <w:szCs w:val="16"/>
              </w:rPr>
              <w:t>Person Conducting a Business or Undertaking - a legal entity that manages or controls a workplace, as defined under applicable work health and safety legislation, carrying primary duties of care.</w:t>
            </w:r>
          </w:p>
        </w:tc>
      </w:tr>
      <w:tr>
        <w:tc>
          <w:tcPr>
            <w:tcW w:type="dxa" w:w="4888"/>
          </w:tcPr>
          <w:p>
            <w:pPr>
              <w:pStyle w:val="TableContents"/>
              <w:spacing w:before="0" w:after="0" w:line="240" w:lineRule="atLeast"/>
            </w:pPr>
            <w:r>
              <w:rPr>
                <w:rFonts w:ascii="Arial" w:hAnsi="Arial" w:cs="Arial" w:eastAsia="Arial"/>
                <w:sz w:val="16"/>
                <w:szCs w:val="16"/>
              </w:rPr>
              <w:t>WHS</w:t>
            </w:r>
          </w:p>
        </w:tc>
        <w:tc>
          <w:tcPr>
            <w:tcW w:type="dxa" w:w="4889"/>
          </w:tcPr>
          <w:p>
            <w:pPr>
              <w:pStyle w:val="TableContents"/>
              <w:spacing w:before="0" w:after="0" w:line="240" w:lineRule="atLeast"/>
            </w:pPr>
            <w:r>
              <w:rPr>
                <w:rFonts w:ascii="Arial" w:hAnsi="Arial" w:cs="Arial" w:eastAsia="Arial"/>
                <w:sz w:val="16"/>
                <w:szCs w:val="16"/>
              </w:rPr>
              <w:t>Work Health and Safety - the legislative and regulatory framework governing the protection of workers and others from risks to their health and safety arising from work activities.</w:t>
            </w:r>
          </w:p>
        </w:tc>
      </w:tr>
      <w:tr>
        <w:tc>
          <w:tcPr>
            <w:tcW w:type="dxa" w:w="4888"/>
          </w:tcPr>
          <w:p>
            <w:pPr>
              <w:pStyle w:val="TableContents"/>
              <w:spacing w:before="0" w:after="0" w:line="240" w:lineRule="atLeast"/>
            </w:pPr>
            <w:r>
              <w:rPr>
                <w:rFonts w:ascii="Arial" w:hAnsi="Arial" w:cs="Arial" w:eastAsia="Arial"/>
                <w:sz w:val="16"/>
                <w:szCs w:val="16"/>
              </w:rPr>
              <w:t>EMS</w:t>
            </w:r>
          </w:p>
        </w:tc>
        <w:tc>
          <w:tcPr>
            <w:tcW w:type="dxa" w:w="4889"/>
          </w:tcPr>
          <w:p>
            <w:pPr>
              <w:pStyle w:val="TableContents"/>
              <w:spacing w:before="0" w:after="0" w:line="240" w:lineRule="atLeast"/>
            </w:pPr>
            <w:r>
              <w:rPr>
                <w:rFonts w:ascii="Arial" w:hAnsi="Arial" w:cs="Arial" w:eastAsia="Arial"/>
                <w:sz w:val="16"/>
                <w:szCs w:val="16"/>
              </w:rPr>
              <w:t>Environmental Management System - the structured framework of policies, procedures and controls used to manage environmental risks, obligations and performance on the project.</w:t>
            </w:r>
          </w:p>
        </w:tc>
      </w:tr>
      <w:tr>
        <w:tc>
          <w:tcPr>
            <w:tcW w:type="dxa" w:w="4888"/>
          </w:tcPr>
          <w:p>
            <w:pPr>
              <w:pStyle w:val="TableContents"/>
              <w:spacing w:before="0" w:after="0" w:line="240" w:lineRule="atLeast"/>
            </w:pPr>
            <w:r>
              <w:rPr>
                <w:rFonts w:ascii="Arial" w:hAnsi="Arial" w:cs="Arial" w:eastAsia="Arial"/>
                <w:sz w:val="16"/>
                <w:szCs w:val="16"/>
              </w:rPr>
              <w:t>KPI</w:t>
            </w:r>
          </w:p>
        </w:tc>
        <w:tc>
          <w:tcPr>
            <w:tcW w:type="dxa" w:w="4889"/>
          </w:tcPr>
          <w:p>
            <w:pPr>
              <w:pStyle w:val="TableContents"/>
              <w:spacing w:before="0" w:after="0" w:line="240" w:lineRule="atLeast"/>
            </w:pPr>
            <w:r>
              <w:rPr>
                <w:rFonts w:ascii="Arial" w:hAnsi="Arial" w:cs="Arial" w:eastAsia="Arial"/>
                <w:sz w:val="16"/>
                <w:szCs w:val="16"/>
              </w:rPr>
              <w:t>Key Performance Indicator - a quantifiable metric used to evaluate performance against defined targets within the HSESC Management System.</w:t>
            </w:r>
          </w:p>
        </w:tc>
      </w:tr>
      <w:tr>
        <w:tc>
          <w:tcPr>
            <w:tcW w:type="dxa" w:w="4888"/>
          </w:tcPr>
          <w:p>
            <w:pPr>
              <w:pStyle w:val="TableContents"/>
              <w:spacing w:before="0" w:after="0" w:line="240" w:lineRule="atLeast"/>
            </w:pPr>
            <w:r>
              <w:rPr>
                <w:rFonts w:ascii="Arial" w:hAnsi="Arial" w:cs="Arial" w:eastAsia="Arial"/>
                <w:sz w:val="16"/>
                <w:szCs w:val="16"/>
              </w:rPr>
              <w:t>TOR</w:t>
            </w:r>
          </w:p>
        </w:tc>
        <w:tc>
          <w:tcPr>
            <w:tcW w:type="dxa" w:w="4889"/>
          </w:tcPr>
          <w:p>
            <w:pPr>
              <w:pStyle w:val="TableContents"/>
              <w:spacing w:before="0" w:after="0" w:line="240" w:lineRule="atLeast"/>
            </w:pPr>
            <w:r>
              <w:rPr>
                <w:rFonts w:ascii="Arial" w:hAnsi="Arial" w:cs="Arial" w:eastAsia="Arial"/>
                <w:sz w:val="16"/>
                <w:szCs w:val="16"/>
              </w:rPr>
              <w:t>Terms of Reference - a document that defines the scope, objectives, membership, roles and responsibilities of an incident investigation team.</w:t>
            </w:r>
          </w:p>
        </w:tc>
      </w:tr>
      <w:tr>
        <w:tc>
          <w:tcPr>
            <w:tcW w:type="dxa" w:w="4888"/>
          </w:tcPr>
          <w:p>
            <w:pPr>
              <w:pStyle w:val="TableContents"/>
              <w:spacing w:before="0" w:after="0" w:line="240" w:lineRule="atLeast"/>
            </w:pPr>
            <w:r>
              <w:rPr>
                <w:rFonts w:ascii="Arial" w:hAnsi="Arial" w:cs="Arial" w:eastAsia="Arial"/>
                <w:sz w:val="16"/>
                <w:szCs w:val="16"/>
              </w:rPr>
              <w:t>SME</w:t>
            </w:r>
          </w:p>
        </w:tc>
        <w:tc>
          <w:tcPr>
            <w:tcW w:type="dxa" w:w="4889"/>
          </w:tcPr>
          <w:p>
            <w:pPr>
              <w:pStyle w:val="TableContents"/>
              <w:spacing w:before="0" w:after="0" w:line="240" w:lineRule="atLeast"/>
            </w:pPr>
            <w:r>
              <w:rPr>
                <w:rFonts w:ascii="Arial" w:hAnsi="Arial" w:cs="Arial" w:eastAsia="Arial"/>
                <w:sz w:val="16"/>
                <w:szCs w:val="16"/>
              </w:rPr>
              <w:t>Subject Matter Expert - an individual with specialist knowledge or technical expertise relevant to the circumstances of an incident, engaged to support the investigation process.</w:t>
            </w:r>
          </w:p>
        </w:tc>
      </w:tr>
      <w:tr>
        <w:tc>
          <w:tcPr>
            <w:tcW w:type="dxa" w:w="4888"/>
          </w:tcPr>
          <w:p>
            <w:pPr>
              <w:pStyle w:val="TableContents"/>
              <w:spacing w:before="0" w:after="0" w:line="240" w:lineRule="atLeast"/>
            </w:pPr>
            <w:r>
              <w:rPr>
                <w:rFonts w:ascii="Arial" w:hAnsi="Arial" w:cs="Arial" w:eastAsia="Arial"/>
                <w:sz w:val="16"/>
                <w:szCs w:val="16"/>
              </w:rPr>
              <w:t>CFR</w:t>
            </w:r>
          </w:p>
        </w:tc>
        <w:tc>
          <w:tcPr>
            <w:tcW w:type="dxa" w:w="4889"/>
          </w:tcPr>
          <w:p>
            <w:pPr>
              <w:pStyle w:val="TableContents"/>
              <w:spacing w:before="0" w:after="0" w:line="240" w:lineRule="atLeast"/>
            </w:pPr>
            <w:r>
              <w:rPr>
                <w:rFonts w:ascii="Arial" w:hAnsi="Arial" w:cs="Arial" w:eastAsia="Arial"/>
                <w:sz w:val="16"/>
                <w:szCs w:val="16"/>
              </w:rPr>
              <w:t>Contributing Factor Review - the phase of an incident investigation that examines individual, task, equipment and organisational factors that contributed to the occurrence of the event.</w:t>
            </w:r>
          </w:p>
        </w:tc>
      </w:tr>
      <w:tr>
        <w:tc>
          <w:tcPr>
            <w:tcW w:type="dxa" w:w="4888"/>
          </w:tcPr>
          <w:p>
            <w:pPr>
              <w:pStyle w:val="TableContents"/>
              <w:spacing w:before="0" w:after="0" w:line="240" w:lineRule="atLeast"/>
            </w:pPr>
            <w:r>
              <w:rPr>
                <w:rFonts w:ascii="Arial" w:hAnsi="Arial" w:cs="Arial" w:eastAsia="Arial"/>
                <w:sz w:val="16"/>
                <w:szCs w:val="16"/>
              </w:rPr>
              <w:t>OHS</w:t>
            </w:r>
          </w:p>
        </w:tc>
        <w:tc>
          <w:tcPr>
            <w:tcW w:type="dxa" w:w="4889"/>
          </w:tcPr>
          <w:p>
            <w:pPr>
              <w:pStyle w:val="TableContents"/>
              <w:spacing w:before="0" w:after="0" w:line="240" w:lineRule="atLeast"/>
            </w:pPr>
            <w:r>
              <w:rPr>
                <w:rFonts w:ascii="Arial" w:hAnsi="Arial" w:cs="Arial" w:eastAsia="Arial"/>
                <w:sz w:val="16"/>
                <w:szCs w:val="16"/>
              </w:rPr>
              <w:t>Occupational Health and Safety - a term used in certain jurisdictions interchangeably with Work Health and Safety to describe the legislative and management framework for worker protection.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(Consequence and Likelihood Criteria)</w:t>
            </w:r>
          </w:p>
        </w:tc>
        <w:tc>
          <w:tcPr>
            <w:tcW w:type="dxa" w:w="3259"/>
          </w:tcPr>
          <w:p>
            <w:pPr>
              <w:pStyle w:val="TableContents"/>
              <w:spacing w:before="0" w:after="0" w:line="240" w:lineRule="atLeast"/>
            </w:pPr>
            <w:r>
              <w:rPr>
                <w:rFonts w:ascii="Arial" w:hAnsi="Arial" w:cs="Arial" w:eastAsia="Arial"/>
                <w:sz w:val="16"/>
                <w:szCs w:val="16"/>
              </w:rPr>
              <w:t>RT Risk Management Standard -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Improvement Planning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Document Control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Records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Fatal Risk Standards</w:t>
            </w:r>
          </w:p>
        </w:tc>
        <w:tc>
          <w:tcPr>
            <w:tcW w:type="dxa" w:w="3259"/>
          </w:tcPr>
          <w:p>
            <w:pPr>
              <w:pStyle w:val="TableContents"/>
              <w:spacing w:before="0" w:after="0" w:line="240" w:lineRule="atLeast"/>
            </w:pPr>
            <w:r>
              <w:rPr>
                <w:rFonts w:ascii="Arial" w:hAnsi="Arial" w:cs="Arial" w:eastAsia="Arial"/>
                <w:sz w:val="16"/>
                <w:szCs w:val="16"/>
              </w:rPr>
              <w:t>RT Fatal Risk Standards</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Health, Safety and Environment Policy</w:t>
            </w:r>
          </w:p>
        </w:tc>
        <w:tc>
          <w:tcPr>
            <w:tcW w:type="dxa" w:w="3259"/>
          </w:tcPr>
          <w:p>
            <w:pPr>
              <w:pStyle w:val="TableContents"/>
              <w:spacing w:before="0" w:after="0" w:line="240" w:lineRule="atLeast"/>
            </w:pPr>
            <w:r>
              <w:rPr>
                <w:rFonts w:ascii="Arial" w:hAnsi="Arial" w:cs="Arial" w:eastAsia="Arial"/>
                <w:sz w:val="16"/>
                <w:szCs w:val="16"/>
              </w:rPr>
              <w:t>RT HSE Policy</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Investigations Standard</w:t>
            </w:r>
          </w:p>
        </w:tc>
        <w:tc>
          <w:tcPr>
            <w:tcW w:type="dxa" w:w="3259"/>
          </w:tcPr>
          <w:p>
            <w:pPr>
              <w:pStyle w:val="TableContents"/>
              <w:spacing w:before="0" w:after="0" w:line="240" w:lineRule="atLeast"/>
            </w:pPr>
            <w:r>
              <w:rPr>
                <w:rFonts w:ascii="Arial" w:hAnsi="Arial" w:cs="Arial" w:eastAsia="Arial"/>
                <w:sz w:val="16"/>
                <w:szCs w:val="16"/>
              </w:rPr>
              <w:t>RT Investigations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Just Culture Framework</w:t>
            </w:r>
          </w:p>
        </w:tc>
        <w:tc>
          <w:tcPr>
            <w:tcW w:type="dxa" w:w="3259"/>
          </w:tcPr>
          <w:p>
            <w:pPr>
              <w:pStyle w:val="TableContents"/>
              <w:spacing w:before="0" w:after="0" w:line="240" w:lineRule="atLeast"/>
            </w:pPr>
            <w:r>
              <w:rPr>
                <w:rFonts w:ascii="Arial" w:hAnsi="Arial" w:cs="Arial" w:eastAsia="Arial"/>
                <w:sz w:val="16"/>
                <w:szCs w:val="16"/>
              </w:rPr>
              <w:t>RT Just Culture Framework</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Work Health and Safety Act 2011 (Cth) and applicable state/territory equivalents</w:t>
            </w:r>
          </w:p>
        </w:tc>
        <w:tc>
          <w:tcPr>
            <w:tcW w:type="dxa" w:w="3259"/>
          </w:tcPr>
          <w:p>
            <w:pPr>
              <w:pStyle w:val="TableContents"/>
              <w:spacing w:before="0" w:after="0" w:line="240" w:lineRule="atLeast"/>
            </w:pPr>
            <w:r>
              <w:rPr>
                <w:rFonts w:ascii="Arial" w:hAnsi="Arial" w:cs="Arial" w:eastAsia="Arial"/>
                <w:sz w:val="16"/>
                <w:szCs w:val="16"/>
              </w:rPr>
              <w:t>WHS Act 2011 (Cth)</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Regulations 2017 (Cth) and applicable state/territory equivalents</w:t>
            </w:r>
          </w:p>
        </w:tc>
        <w:tc>
          <w:tcPr>
            <w:tcW w:type="dxa" w:w="3259"/>
          </w:tcPr>
          <w:p>
            <w:pPr>
              <w:pStyle w:val="TableContents"/>
              <w:spacing w:before="0" w:after="0" w:line="240" w:lineRule="atLeast"/>
            </w:pPr>
            <w:r>
              <w:rPr>
                <w:rFonts w:ascii="Arial" w:hAnsi="Arial" w:cs="Arial" w:eastAsia="Arial"/>
                <w:sz w:val="16"/>
                <w:szCs w:val="16"/>
              </w:rPr>
              <w:t>WHS Regulations 2017 (Cth)</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45001:2018 - Occupational Health and Safety Management Systems - Requirements with Guidance for Use</w:t>
            </w:r>
          </w:p>
        </w:tc>
        <w:tc>
          <w:tcPr>
            <w:tcW w:type="dxa" w:w="3259"/>
          </w:tcPr>
          <w:p>
            <w:pPr>
              <w:pStyle w:val="TableContents"/>
              <w:spacing w:before="0" w:after="0" w:line="240" w:lineRule="atLeast"/>
            </w:pPr>
            <w:r>
              <w:rPr>
                <w:rFonts w:ascii="Arial" w:hAnsi="Arial" w:cs="Arial" w:eastAsia="Arial"/>
                <w:sz w:val="16"/>
                <w:szCs w:val="16"/>
              </w:rPr>
              <w:t>ISO 45001:2018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14001:2015 - Environmental Management Systems - Requirements with Guidance for Use</w:t>
            </w:r>
          </w:p>
        </w:tc>
        <w:tc>
          <w:tcPr>
            <w:tcW w:type="dxa" w:w="3259"/>
          </w:tcPr>
          <w:p>
            <w:pPr>
              <w:pStyle w:val="TableContents"/>
              <w:spacing w:before="0" w:after="0" w:line="240" w:lineRule="atLeast"/>
            </w:pPr>
            <w:r>
              <w:rPr>
                <w:rFonts w:ascii="Arial" w:hAnsi="Arial" w:cs="Arial" w:eastAsia="Arial"/>
                <w:sz w:val="16"/>
                <w:szCs w:val="16"/>
              </w:rPr>
              <w:t>ISO 14001:2015</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Safe Work Australia - Code of Practice: Work Health and Safety Consultation, Co-operation and Co-ordination</w:t>
            </w:r>
          </w:p>
        </w:tc>
        <w:tc>
          <w:tcPr>
            <w:tcW w:type="dxa" w:w="3259"/>
          </w:tcPr>
          <w:p>
            <w:pPr>
              <w:pStyle w:val="TableContents"/>
              <w:spacing w:before="0" w:after="0" w:line="240" w:lineRule="atLeast"/>
            </w:pPr>
            <w:r>
              <w:rPr>
                <w:rFonts w:ascii="Arial" w:hAnsi="Arial" w:cs="Arial" w:eastAsia="Arial"/>
                <w:sz w:val="16"/>
                <w:szCs w:val="16"/>
              </w:rPr>
              <w:t>SWA COP - Consultation, Co-operation and Co-ordination</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 Incident Reporting and Investigation Standard</w:t>
            </w:r>
          </w:p>
        </w:tc>
        <w:tc>
          <w:tcPr>
            <w:tcW w:type="dxa" w:w="2256"/>
          </w:tcPr>
          <w:p>
            <w:pPr>
              <w:pStyle w:val="TableContents"/>
              <w:spacing w:before="0" w:after="0" w:line="240" w:lineRule="atLeast"/>
            </w:pPr>
            <w:r>
              <w:rPr>
                <w:rFonts w:ascii="Arial" w:hAnsi="Arial" w:cs="Arial" w:eastAsia="Arial"/>
                <w:sz w:val="16"/>
                <w:szCs w:val="16"/>
              </w:rPr>
              <w:t>Requires all project incident categories to be defined per the RT classification matrix, with actual and MRO severity assessed using the RT 5×5 Risk Matrix, and investigation methodology calibrated to incident classification.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§39.2</w:t>
            </w:r>
          </w:p>
        </w:tc>
        <w:tc>
          <w:tcPr>
            <w:tcW w:type="dxa" w:w="2256"/>
          </w:tcPr>
          <w:p>
            <w:pPr>
              <w:pStyle w:val="TableContents"/>
              <w:spacing w:before="0" w:after="0" w:line="240" w:lineRule="atLeast"/>
            </w:pPr>
            <w:r>
              <w:rPr>
                <w:rFonts w:ascii="Arial" w:hAnsi="Arial" w:cs="Arial" w:eastAsia="Arial"/>
                <w:sz w:val="16"/>
                <w:szCs w:val="16"/>
              </w:rPr>
              <w:t>Requires verbal notification to the project owner within one hour of incidents, end-of-shift email notification with defined content, and submission of the HSESC Incident Reporting Form within 24 hours with a full investigation timeline matrix by classification.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§39.3</w:t>
            </w:r>
          </w:p>
        </w:tc>
        <w:tc>
          <w:tcPr>
            <w:tcW w:type="dxa" w:w="2256"/>
          </w:tcPr>
          <w:p>
            <w:pPr>
              <w:pStyle w:val="TableContents"/>
              <w:spacing w:before="0" w:after="0" w:line="240" w:lineRule="atLeast"/>
            </w:pPr>
            <w:r>
              <w:rPr>
                <w:rFonts w:ascii="Arial" w:hAnsi="Arial" w:cs="Arial" w:eastAsia="Arial"/>
                <w:sz w:val="16"/>
                <w:szCs w:val="16"/>
              </w:rPr>
              <w:t>Defines mandatory investigation report content including date, site, description, persons involved, timeline, case management details, potential assessment, just culture assessment, SSE status, root cause findings, human factors, proposed corrective actions, and closeout justifications.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§39.5</w:t>
            </w:r>
          </w:p>
        </w:tc>
        <w:tc>
          <w:tcPr>
            <w:tcW w:type="dxa" w:w="2256"/>
          </w:tcPr>
          <w:p>
            <w:pPr>
              <w:pStyle w:val="TableContents"/>
              <w:spacing w:before="0" w:after="0" w:line="240" w:lineRule="atLeast"/>
            </w:pPr>
            <w:r>
              <w:rPr>
                <w:rFonts w:ascii="Arial" w:hAnsi="Arial" w:cs="Arial" w:eastAsia="Arial"/>
                <w:sz w:val="16"/>
                <w:szCs w:val="16"/>
              </w:rPr>
              <w:t>Requires a Terms of Reference to be submitted to the project owner at least 48 hours before investigation commencement, with investigation teams led by project management personnel trained in RCA.</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§39.8</w:t>
            </w:r>
          </w:p>
        </w:tc>
        <w:tc>
          <w:tcPr>
            <w:tcW w:type="dxa" w:w="2256"/>
          </w:tcPr>
          <w:p>
            <w:pPr>
              <w:pStyle w:val="TableContents"/>
              <w:spacing w:before="0" w:after="0" w:line="240" w:lineRule="atLeast"/>
            </w:pPr>
            <w:r>
              <w:rPr>
                <w:rFonts w:ascii="Arial" w:hAnsi="Arial" w:cs="Arial" w:eastAsia="Arial"/>
                <w:sz w:val="16"/>
                <w:szCs w:val="16"/>
              </w:rPr>
              <w:t>Requires the just culture and consequence management process to be documented, with actions proportionate and fair, retraining and coaching as primary interventions, and all non-conformance instances and actions taken to be recorded.</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§41.1</w:t>
            </w:r>
          </w:p>
        </w:tc>
        <w:tc>
          <w:tcPr>
            <w:tcW w:type="dxa" w:w="2256"/>
          </w:tcPr>
          <w:p>
            <w:pPr>
              <w:pStyle w:val="TableContents"/>
              <w:spacing w:before="0" w:after="0" w:line="240" w:lineRule="atLeast"/>
            </w:pPr>
            <w:r>
              <w:rPr>
                <w:rFonts w:ascii="Arial" w:hAnsi="Arial" w:cs="Arial" w:eastAsia="Arial"/>
                <w:sz w:val="16"/>
                <w:szCs w:val="16"/>
              </w:rPr>
              <w:t>Requires all corrective actions to be recorded in the project action tracking register, severity-ranked, assigned with due dates and owners, reported in monthly HSESC reports, and verified before high-severity action closeout.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 IFC PS2 GN§81</w:t>
            </w:r>
          </w:p>
        </w:tc>
        <w:tc>
          <w:tcPr>
            <w:tcW w:type="dxa" w:w="2256"/>
          </w:tcPr>
          <w:p>
            <w:pPr>
              <w:pStyle w:val="TableContents"/>
              <w:spacing w:before="0" w:after="0" w:line="240" w:lineRule="atLeast"/>
            </w:pPr>
            <w:r>
              <w:rPr>
                <w:rFonts w:ascii="Arial" w:hAnsi="Arial" w:cs="Arial" w:eastAsia="Arial"/>
                <w:sz w:val="16"/>
                <w:szCs w:val="16"/>
              </w:rPr>
              <w:t>Requires occupational injuries, illnesses, and fatalities to be documented and reported consistently, without creating perverse incentives that discourage reporting of minor injuries or near misses.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 IFC PS1 §22</w:t>
            </w:r>
          </w:p>
        </w:tc>
        <w:tc>
          <w:tcPr>
            <w:tcW w:type="dxa" w:w="2256"/>
          </w:tcPr>
          <w:p>
            <w:pPr>
              <w:pStyle w:val="TableContents"/>
              <w:spacing w:before="0" w:after="0" w:line="240" w:lineRule="atLeast"/>
            </w:pPr>
            <w:r>
              <w:rPr>
                <w:rFonts w:ascii="Arial" w:hAnsi="Arial" w:cs="Arial" w:eastAsia="Arial"/>
                <w:sz w:val="16"/>
                <w:szCs w:val="16"/>
              </w:rPr>
              <w:t>Requires investigation data and trend analysis to be used to evaluate the effectiveness of management controls and direct improvement of the management system.</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 IFC PS1 §11</w:t>
            </w:r>
          </w:p>
        </w:tc>
        <w:tc>
          <w:tcPr>
            <w:tcW w:type="dxa" w:w="2256"/>
          </w:tcPr>
          <w:p>
            <w:pPr>
              <w:pStyle w:val="TableContents"/>
              <w:spacing w:before="0" w:after="0" w:line="240" w:lineRule="atLeast"/>
            </w:pPr>
            <w:r>
              <w:rPr>
                <w:rFonts w:ascii="Arial" w:hAnsi="Arial" w:cs="Arial" w:eastAsia="Arial"/>
                <w:sz w:val="16"/>
                <w:szCs w:val="16"/>
              </w:rPr>
              <w:t>Requires corrective actions to be implemented within timeframes proportionate to severity and their effectiveness to be verified before formal closure.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 Management &amp; Compliance Standard</w:t>
            </w:r>
          </w:p>
        </w:tc>
        <w:tc>
          <w:tcPr>
            <w:tcW w:type="dxa" w:w="2256"/>
          </w:tcPr>
          <w:p>
            <w:pPr>
              <w:pStyle w:val="TableContents"/>
              <w:spacing w:before="0" w:after="0" w:line="240" w:lineRule="atLeast"/>
            </w:pPr>
            <w:r>
              <w:rPr>
                <w:rFonts w:ascii="Arial" w:hAnsi="Arial" w:cs="Arial" w:eastAsia="Arial"/>
                <w:sz w:val="16"/>
                <w:szCs w:val="16"/>
              </w:rPr>
              <w:t>Requires prompt reporting of all incidents and injuries to applicable Government Authorities where mandated by law, notification to the relevant RT corporate function, and submission of copies of all governmental citations to the project leadership team.</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OSHA OSHA RP 2016 - Hazard Prevention and Control</w:t>
            </w:r>
          </w:p>
        </w:tc>
        <w:tc>
          <w:tcPr>
            <w:tcW w:type="dxa" w:w="2256"/>
          </w:tcPr>
          <w:p>
            <w:pPr>
              <w:pStyle w:val="TableContents"/>
              <w:spacing w:before="0" w:after="0" w:line="240" w:lineRule="atLeast"/>
            </w:pPr>
            <w:r>
              <w:rPr>
                <w:rFonts w:ascii="Arial" w:hAnsi="Arial" w:cs="Arial" w:eastAsia="Arial"/>
                <w:sz w:val="16"/>
                <w:szCs w:val="16"/>
              </w:rPr>
              <w:t>Requires the disciplinary process to not discourage incident reporting, with a just culture approach that distinguishes between honest mistakes, at-risk behaviour, and reckless conduct with differentiated responses to each.</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