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Functional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Functional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Safety Instrumented Systems (SIS) and other functional safety systems to ensure they remain capable of performing their intended safety function throughout their lifecycle - from design through commissioning, operation, maintenance, modification, and decommissioning.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functional safety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Safety Requirements and SIL Classification</w:t>
      </w:r>
    </w:p>
    <w:p>
      <w:pPr>
        <w:pStyle w:val="NormalNumberedtext"/>
      </w:pPr>
      <w:r>
        <w:t>This section defines the functional safety lifecycle requirements, the SIL determination methodology approved for this project, and the documentation standards that apply from concept through decommissioning.</w:t>
      </w:r>
    </w:p>
    <w:p>
      <w:pPr>
        <w:pStyle w:val="NormalNumberedtext"/>
      </w:pPr>
    </w:p>
    <w:p>
      <w:pPr>
        <w:pStyle w:val="Heading2Numbered"/>
        <w:numPr>
          <w:ilvl w:val="1"/>
          <w:numId w:val="1"/>
        </w:numPr>
      </w:pPr>
      <w:r>
        <w:rPr>
          <w:rFonts w:ascii="Arial" w:hAnsi="Arial" w:cs="Arial" w:eastAsia="Arial"/>
        </w:rPr>
        <w:t>Functional Safety Lifecycle Requirements</w:t>
      </w:r>
    </w:p>
    <w:p>
      <w:pPr>
        <w:pStyle w:val="NormalNumberedtext"/>
      </w:pPr>
      <w:r>
        <w:t>The functional safety lifecycle governs all safety instrumented functions from concept through decommissioning on this project.</w:t>
      </w:r>
    </w:p>
    <w:p>
      <w:pPr>
        <w:pStyle w:val="NormalNumberedtext"/>
      </w:pPr>
      <w:r>
        <w:t>The RT Process Safety Standard and RT Functional Safety Standard require that functional safety lifecycle requirements are defined and applied from concept through decommissioning. The Project Manager confirms that a functional safety lifecycle plan is in place before detailed design commences, covering each phase from concept, design, installation, commissioning, operation, and decommissioning.</w:t>
      </w:r>
    </w:p>
    <w:p>
      <w:pPr>
        <w:pStyle w:val="NormalNumberedtext"/>
      </w:pPr>
      <w:r>
        <w:t>The IFC EHS General Guidelines §2.8 require that safety instrumented systems and safety instrumented functions are designed by competent personnel and that the design basis is documented and retained for the life of the system. The Functional Safety Engineer confirms that design basis documentation is placed under document control and retained in the project document management system.</w:t>
      </w:r>
    </w:p>
    <w:p>
      <w:pPr>
        <w:pStyle w:val="NormalNumberedtext"/>
      </w:pPr>
      <w:r>
        <w:t>The Functional Safety Engineer confirms competency requirements for personnel responsible for functional safety design activities are met before those activities commence. Functional safety competency requirements for this project are defined in Section 4 of this procedure. Training and competency records are managed under the Training Procedure, refer [INSERT: Project Document Number].</w:t>
      </w:r>
    </w:p>
    <w:p>
      <w:pPr>
        <w:pStyle w:val="NormalNumberedtext"/>
      </w:pPr>
    </w:p>
    <w:p>
      <w:pPr>
        <w:pStyle w:val="Heading2Numbered"/>
        <w:numPr>
          <w:ilvl w:val="1"/>
          <w:numId w:val="1"/>
        </w:numPr>
      </w:pPr>
      <w:r>
        <w:rPr>
          <w:rFonts w:ascii="Arial" w:hAnsi="Arial" w:cs="Arial" w:eastAsia="Arial"/>
        </w:rPr>
        <w:t>SIL Determination Methodology</w:t>
      </w:r>
    </w:p>
    <w:p>
      <w:pPr>
        <w:pStyle w:val="NormalNumberedtext"/>
      </w:pPr>
      <w:r>
        <w:t>SIL determination applies to all safety functions on this project and must be completed before the Safety Requirements Specification is prepared.</w:t>
      </w:r>
    </w:p>
    <w:p>
      <w:pPr>
        <w:pStyle w:val="NormalNumberedtext"/>
      </w:pPr>
      <w:r>
        <w:t>The RT Process Safety Standard and RT Functional Safety Standard require that a Safety Integrity Level is determined for every safety instrumented function based on a documented risk assessment. SIL determination is conducted as part of the process safety study and is not finalised without reference to the hazard and risk analysis completed under the Process Safety Procedure, refer [INSERT: Project Document Number].</w:t>
      </w:r>
    </w:p>
    <w:p>
      <w:pPr>
        <w:pStyle w:val="NormalNumberedtext"/>
      </w:pPr>
      <w:r>
        <w:t>The project must define the methodology used for SIL determination, the authority level required to approve SIL assignments, and the process for reviewing and confirming SIL allocations at each project stage gate. The approved methodology for this project is recorded below:</w:t>
      </w:r>
    </w:p>
    <w:p>
      <w:pPr>
        <w:pStyle w:val="NormalNumberedtext"/>
      </w:pPr>
      <w:r>
        <w:rPr>
          <w:b/>
          <w:bCs/>
          <w:color w:val="0059D1"/>
        </w:rPr>
        <w:t>[INSERT: SIL_determination_methodology] — Define the SIL determination methodology approved for this project — risk graph, Layer of Protection Analysis (LOPA), or equivalent — and insert the approved methodology or reference to the project-specific process safety study.</w:t>
      </w:r>
    </w:p>
    <w:p>
      <w:pPr>
        <w:pStyle w:val="NormalNumberedtext"/>
      </w:pPr>
      <w:r>
        <w:t>Table: SIL Determination Authority and Stage Gate Review</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Stage Gate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SIL Determination Activity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Approval Authority</w:t>
            </w:r>
          </w:p>
        </w:tc>
      </w:tr>
      <w:tr>
        <w:tc>
          <w:tcPr>
            <w:tcW w:type="dxa" w:w="2256"/>
          </w:tcPr>
          <w:p>
            <w:pPr>
              <w:pStyle w:val="TableContents"/>
              <w:spacing w:before="0" w:after="0" w:line="240" w:lineRule="atLeast"/>
            </w:pPr>
            <w:r>
              <w:rPr>
                <w:rFonts w:ascii="Arial" w:hAnsi="Arial" w:cs="Arial" w:eastAsia="Arial"/>
                <w:sz w:val="16"/>
                <w:szCs w:val="16"/>
              </w:rPr>
              <w:t>Concept</w:t>
            </w:r>
          </w:p>
        </w:tc>
        <w:tc>
          <w:tcPr>
            <w:tcW w:type="dxa" w:w="2256"/>
          </w:tcPr>
          <w:p>
            <w:pPr>
              <w:pStyle w:val="TableContents"/>
              <w:spacing w:before="0" w:after="0" w:line="240" w:lineRule="atLeast"/>
            </w:pPr>
            <w:r>
              <w:rPr>
                <w:rFonts w:ascii="Arial" w:hAnsi="Arial" w:cs="Arial" w:eastAsia="Arial"/>
                <w:sz w:val="16"/>
                <w:szCs w:val="16"/>
              </w:rPr>
              <w:t>Initial SIL classification against risk criteria</w:t>
            </w:r>
          </w:p>
        </w:tc>
        <w:tc>
          <w:tcPr>
            <w:tcW w:type="dxa" w:w="2256"/>
          </w:tcPr>
          <w:p>
            <w:pPr>
              <w:pStyle w:val="TableContents"/>
              <w:spacing w:before="0" w:after="0" w:line="240" w:lineRule="atLeast"/>
            </w:pPr>
            <w:r>
              <w:rPr>
                <w:rFonts w:ascii="Arial" w:hAnsi="Arial" w:cs="Arial" w:eastAsia="Arial"/>
                <w:sz w:val="16"/>
                <w:szCs w:val="16"/>
              </w:rPr>
              <w:t>Functional Safety Engineer</w:t>
            </w:r>
          </w:p>
        </w:tc>
        <w:tc>
          <w:tcPr>
            <w:tcW w:type="dxa" w:w="2258"/>
          </w:tcPr>
          <w:p>
            <w:pPr>
              <w:pStyle w:val="TableContents"/>
              <w:spacing w:before="0" w:after="0" w:line="240" w:lineRule="atLeast"/>
            </w:pPr>
            <w:r>
              <w:rPr>
                <w:rFonts w:ascii="Arial" w:hAnsi="Arial" w:cs="Arial" w:eastAsia="Arial"/>
                <w:sz w:val="16"/>
                <w:szCs w:val="16"/>
              </w:rPr>
              <w:t>Process Safety Lead</w:t>
            </w:r>
          </w:p>
        </w:tc>
      </w:tr>
      <w:tr>
        <w:tc>
          <w:tcPr>
            <w:tcW w:type="dxa" w:w="2256"/>
          </w:tcPr>
          <w:p>
            <w:pPr>
              <w:pStyle w:val="TableContents"/>
              <w:spacing w:before="0" w:after="0" w:line="240" w:lineRule="atLeast"/>
            </w:pPr>
            <w:r>
              <w:rPr>
                <w:rFonts w:ascii="Arial" w:hAnsi="Arial" w:cs="Arial" w:eastAsia="Arial"/>
                <w:sz w:val="16"/>
                <w:szCs w:val="16"/>
              </w:rPr>
              <w:t>Detailed Design Entry</w:t>
            </w:r>
          </w:p>
        </w:tc>
        <w:tc>
          <w:tcPr>
            <w:tcW w:type="dxa" w:w="2256"/>
          </w:tcPr>
          <w:p>
            <w:pPr>
              <w:pStyle w:val="TableContents"/>
              <w:spacing w:before="0" w:after="0" w:line="240" w:lineRule="atLeast"/>
            </w:pPr>
            <w:r>
              <w:rPr>
                <w:rFonts w:ascii="Arial" w:hAnsi="Arial" w:cs="Arial" w:eastAsia="Arial"/>
                <w:sz w:val="16"/>
                <w:szCs w:val="16"/>
              </w:rPr>
              <w:t>Confirm SIL allocation against completed LOPA or risk graph</w:t>
            </w:r>
          </w:p>
        </w:tc>
        <w:tc>
          <w:tcPr>
            <w:tcW w:type="dxa" w:w="2256"/>
          </w:tcPr>
          <w:p>
            <w:pPr>
              <w:pStyle w:val="TableContents"/>
              <w:spacing w:before="0" w:after="0" w:line="240" w:lineRule="atLeast"/>
            </w:pPr>
            <w:r>
              <w:rPr>
                <w:rFonts w:ascii="Arial" w:hAnsi="Arial" w:cs="Arial" w:eastAsia="Arial"/>
                <w:sz w:val="16"/>
                <w:szCs w:val="16"/>
              </w:rPr>
              <w:t>Functional Safety Engineer</w:t>
            </w:r>
          </w:p>
        </w:tc>
        <w:tc>
          <w:tcPr>
            <w:tcW w:type="dxa" w:w="2258"/>
          </w:tcPr>
          <w:p>
            <w:pPr>
              <w:pStyle w:val="TableContents"/>
              <w:spacing w:before="0" w:after="0" w:line="240" w:lineRule="atLeast"/>
            </w:pPr>
            <w:r>
              <w:rPr>
                <w:rFonts w:ascii="Arial" w:hAnsi="Arial" w:cs="Arial" w:eastAsia="Arial"/>
                <w:sz w:val="16"/>
                <w:szCs w:val="16"/>
              </w:rPr>
              <w:t>Project Manager</w:t>
            </w:r>
          </w:p>
        </w:tc>
      </w:tr>
      <w:tr>
        <w:tc>
          <w:tcPr>
            <w:tcW w:type="dxa" w:w="2256"/>
          </w:tcPr>
          <w:p>
            <w:pPr>
              <w:pStyle w:val="TableContents"/>
              <w:spacing w:before="0" w:after="0" w:line="240" w:lineRule="atLeast"/>
            </w:pPr>
            <w:r>
              <w:rPr>
                <w:rFonts w:ascii="Arial" w:hAnsi="Arial" w:cs="Arial" w:eastAsia="Arial"/>
                <w:sz w:val="16"/>
                <w:szCs w:val="16"/>
              </w:rPr>
              <w:t>Construction Complete</w:t>
            </w:r>
          </w:p>
        </w:tc>
        <w:tc>
          <w:tcPr>
            <w:tcW w:type="dxa" w:w="2256"/>
          </w:tcPr>
          <w:p>
            <w:pPr>
              <w:pStyle w:val="TableContents"/>
              <w:spacing w:before="0" w:after="0" w:line="240" w:lineRule="atLeast"/>
            </w:pPr>
            <w:r>
              <w:rPr>
                <w:rFonts w:ascii="Arial" w:hAnsi="Arial" w:cs="Arial" w:eastAsia="Arial"/>
                <w:sz w:val="16"/>
                <w:szCs w:val="16"/>
              </w:rPr>
              <w:t>Review SIL allocations for any scope or design changes</w:t>
            </w:r>
          </w:p>
        </w:tc>
        <w:tc>
          <w:tcPr>
            <w:tcW w:type="dxa" w:w="2256"/>
          </w:tcPr>
          <w:p>
            <w:pPr>
              <w:pStyle w:val="TableContents"/>
              <w:spacing w:before="0" w:after="0" w:line="240" w:lineRule="atLeast"/>
            </w:pPr>
            <w:r>
              <w:rPr>
                <w:rFonts w:ascii="Arial" w:hAnsi="Arial" w:cs="Arial" w:eastAsia="Arial"/>
                <w:sz w:val="16"/>
                <w:szCs w:val="16"/>
              </w:rPr>
              <w:t>Functional Safety Engineer</w:t>
            </w:r>
          </w:p>
        </w:tc>
        <w:tc>
          <w:tcPr>
            <w:tcW w:type="dxa" w:w="2258"/>
          </w:tcPr>
          <w:p>
            <w:pPr>
              <w:pStyle w:val="TableContents"/>
              <w:spacing w:before="0" w:after="0" w:line="240" w:lineRule="atLeast"/>
            </w:pPr>
            <w:r>
              <w:rPr>
                <w:rFonts w:ascii="Arial" w:hAnsi="Arial" w:cs="Arial" w:eastAsia="Arial"/>
                <w:sz w:val="16"/>
                <w:szCs w:val="16"/>
              </w:rPr>
              <w:t>Process Safety Lead</w:t>
            </w:r>
          </w:p>
        </w:tc>
      </w:tr>
      <w:tr>
        <w:tc>
          <w:tcPr>
            <w:tcW w:type="dxa" w:w="2256"/>
          </w:tcPr>
          <w:p>
            <w:pPr>
              <w:pStyle w:val="TableContents"/>
              <w:spacing w:before="0" w:after="0" w:line="240" w:lineRule="atLeast"/>
            </w:pPr>
            <w:r>
              <w:rPr>
                <w:rFonts w:ascii="Arial" w:hAnsi="Arial" w:cs="Arial" w:eastAsia="Arial"/>
                <w:b/>
                <w:bCs/>
                <w:color w:val="0059D1"/>
                <w:sz w:val="16"/>
                <w:szCs w:val="16"/>
              </w:rPr>
              <w:t>[INSERT: stage gate name]</w:t>
            </w:r>
          </w:p>
        </w:tc>
        <w:tc>
          <w:tcPr>
            <w:tcW w:type="dxa" w:w="2256"/>
          </w:tcPr>
          <w:p>
            <w:pPr>
              <w:pStyle w:val="TableContents"/>
              <w:spacing w:before="0" w:after="0" w:line="240" w:lineRule="atLeast"/>
            </w:pPr>
            <w:r>
              <w:rPr>
                <w:rFonts w:ascii="Arial" w:hAnsi="Arial" w:cs="Arial" w:eastAsia="Arial"/>
                <w:b/>
                <w:bCs/>
                <w:color w:val="0059D1"/>
                <w:sz w:val="16"/>
                <w:szCs w:val="16"/>
              </w:rPr>
              <w:t>[INSERT: SIL review activity]</w:t>
            </w:r>
          </w:p>
        </w:tc>
        <w:tc>
          <w:tcPr>
            <w:tcW w:type="dxa" w:w="2256"/>
          </w:tcPr>
          <w:p>
            <w:pPr>
              <w:pStyle w:val="TableContents"/>
              <w:spacing w:before="0" w:after="0" w:line="240" w:lineRule="atLeast"/>
            </w:pPr>
            <w:r>
              <w:rPr>
                <w:rFonts w:ascii="Arial" w:hAnsi="Arial" w:cs="Arial" w:eastAsia="Arial"/>
                <w:b/>
                <w:bCs/>
                <w:color w:val="0059D1"/>
                <w:sz w:val="16"/>
                <w:szCs w:val="16"/>
              </w:rPr>
              <w:t>[INSERT: responsible role]</w:t>
            </w:r>
          </w:p>
        </w:tc>
        <w:tc>
          <w:tcPr>
            <w:tcW w:type="dxa" w:w="2258"/>
          </w:tcPr>
          <w:p>
            <w:pPr>
              <w:pStyle w:val="TableContents"/>
              <w:spacing w:before="0" w:after="0" w:line="240" w:lineRule="atLeast"/>
            </w:pPr>
            <w:r>
              <w:rPr>
                <w:rFonts w:ascii="Arial" w:hAnsi="Arial" w:cs="Arial" w:eastAsia="Arial"/>
                <w:b/>
                <w:bCs/>
                <w:color w:val="0059D1"/>
                <w:sz w:val="16"/>
                <w:szCs w:val="16"/>
              </w:rPr>
              <w:t>[INSERT: approval authority]</w:t>
            </w:r>
          </w:p>
        </w:tc>
      </w:tr>
    </w:tbl>
    <w:p>
      <w:pPr>
        <w:pStyle w:val="NormalNumberedtext"/>
      </w:pPr>
    </w:p>
    <w:p>
      <w:pPr>
        <w:pStyle w:val="Heading2Numbered"/>
        <w:numPr>
          <w:ilvl w:val="1"/>
          <w:numId w:val="1"/>
        </w:numPr>
      </w:pPr>
      <w:r>
        <w:rPr>
          <w:rFonts w:ascii="Arial" w:hAnsi="Arial" w:cs="Arial" w:eastAsia="Arial"/>
        </w:rPr>
        <w:t>Safety Requirements Specification</w:t>
      </w:r>
    </w:p>
    <w:p>
      <w:pPr>
        <w:pStyle w:val="NormalNumberedtext"/>
      </w:pPr>
      <w:r>
        <w:t>A Safety Requirements Specification must be prepared for each safety instrumented function before detailed design commences.</w:t>
      </w:r>
    </w:p>
    <w:p>
      <w:pPr>
        <w:pStyle w:val="NormalNumberedtext"/>
      </w:pPr>
      <w:r>
        <w:t>The RT Process Safety Standard and RT Functional Safety Standard require that a documented Safety Requirements Specification is prepared for each safety function before detailed design begins. The SRS records the safety function description, the SIL target, the required risk reduction, response time requirements, spurious trip tolerance, environmental conditions, and proof test interval requirements.</w:t>
      </w:r>
    </w:p>
    <w:p>
      <w:pPr>
        <w:pStyle w:val="NormalNumberedtext"/>
      </w:pPr>
      <w:r>
        <w:t>The Functional Safety Engineer confirms that the SRS is approved before detailed design activities commence for the relevant safety function. The SRS is placed under document control in the project document management system and is updated when a management of change process results in a change to a safety instrumented function, refer [INSERT: Project Document Number].</w:t>
      </w:r>
    </w:p>
    <w:p>
      <w:pPr>
        <w:pStyle w:val="NormalNumberedtext"/>
      </w:pPr>
      <w:r>
        <w:t>The SRS template used for this project is defined below. All safety instrumented functions on this project must have a completed SRS before the design is finalised:</w:t>
      </w:r>
    </w:p>
    <w:p>
      <w:pPr>
        <w:pStyle w:val="NormalNumberedtext"/>
      </w:pPr>
      <w:r>
        <w:rPr>
          <w:b/>
          <w:bCs/>
          <w:color w:val="0059D1"/>
        </w:rPr>
        <w:t>[INSERT: SRS_template_reference] — Insert the document reference and title of the approved SRS template for this project, e.g. RTPR-HSE-TMP-XXXX Safety Requirements Specification Template.</w:t>
      </w:r>
    </w:p>
    <w:p>
      <w:pPr>
        <w:pStyle w:val="NormalNumberedtext"/>
      </w:pPr>
    </w:p>
    <w:p>
      <w:pPr>
        <w:pStyle w:val="Heading1Numbered"/>
        <w:numPr>
          <w:ilvl w:val="0"/>
          <w:numId w:val="1"/>
        </w:numPr>
      </w:pPr>
      <w:r>
        <w:rPr>
          <w:rFonts w:ascii="Arial" w:hAnsi="Arial" w:cs="Arial" w:eastAsia="Arial"/>
        </w:rPr>
        <w:t>Design, Installation and Commissioning</w:t>
      </w:r>
    </w:p>
    <w:p>
      <w:pPr>
        <w:pStyle w:val="NormalNumberedtext"/>
      </w:pPr>
      <w:r>
        <w:t>This section defines the acceptance testing, commissioning documentation, and handover requirements that apply to all safety instrumented systems before they are relied upon for plant protection.</w:t>
      </w:r>
    </w:p>
    <w:p>
      <w:pPr>
        <w:pStyle w:val="NormalNumberedtext"/>
      </w:pPr>
    </w:p>
    <w:p>
      <w:pPr>
        <w:pStyle w:val="Heading2Numbered"/>
        <w:numPr>
          <w:ilvl w:val="1"/>
          <w:numId w:val="1"/>
        </w:numPr>
      </w:pPr>
      <w:r>
        <w:rPr>
          <w:rFonts w:ascii="Arial" w:hAnsi="Arial" w:cs="Arial" w:eastAsia="Arial"/>
        </w:rPr>
        <w:t>Factory Acceptance Testing and Site Acceptance Testing</w:t>
      </w:r>
    </w:p>
    <w:p>
      <w:pPr>
        <w:pStyle w:val="NormalNumberedtext"/>
      </w:pPr>
      <w:r>
        <w:t>FAT and SAT are mandatory for all safety instrumented systems on this project and must be completed before commissioning.</w:t>
      </w:r>
    </w:p>
    <w:p>
      <w:pPr>
        <w:pStyle w:val="NormalNumberedtext"/>
      </w:pPr>
      <w:r>
        <w:t>The RT Functional Safety Standard requires that Factory Acceptance Testing and Site Acceptance Testing are completed for all safety instrumented systems before commissioning, with results documented and retained. The Functional Safety Engineer confirms that FAT and SAT procedures are prepared and approved before testing commences.</w:t>
      </w:r>
    </w:p>
    <w:p>
      <w:pPr>
        <w:pStyle w:val="NormalNumberedtext"/>
      </w:pPr>
      <w:r>
        <w:t>The Commissioning Manager confirms that no safety instrumented function is relied upon for plant protection until FAT and SAT have been completed, any identified deficiencies have been closed, and commissioning documentation confirming the test and verification outcome has been approved. SIS commissioning activities are governed by the Commissioning Procedure, refer [INSERT: Project Document Number].</w:t>
      </w:r>
    </w:p>
    <w:p>
      <w:pPr>
        <w:pStyle w:val="NormalNumberedtext"/>
      </w:pPr>
      <w:r>
        <w:t>The FAT and SAT requirements for this project, including which systems require FAT, who witnesses each test, and what documentation is required, are defined in the table below:</w:t>
      </w:r>
    </w:p>
    <w:p>
      <w:pPr>
        <w:pStyle w:val="NormalNumberedtext"/>
      </w:pPr>
      <w:r>
        <w:rPr>
          <w:b/>
          <w:bCs/>
          <w:color w:val="0059D1"/>
        </w:rPr>
        <w:t>[INSERT: FAT_SAT_requirements_table] — Define FAT and SAT requirements: which SIS require FAT; who witnesses FAT and SAT (e.g. Rio Tinto Functional Safety Engineer, Project Manager, third-party verifier); what documentation is required (test records, deficiency register, close-out sign-off). Insert as a completed table.</w:t>
      </w:r>
    </w:p>
    <w:p>
      <w:pPr>
        <w:pStyle w:val="NormalNumberedtext"/>
      </w:pPr>
      <w:r>
        <w:t>Table: FAT and SAT Requirements by System</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Safety Instrumented System</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FAT Required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SAT Required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Witness Roles</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Documentation Required</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Approval Authority</w:t>
            </w:r>
          </w:p>
        </w:tc>
      </w:tr>
      <w:tr>
        <w:tc>
          <w:tcPr>
            <w:tcW w:type="dxa" w:w="1504"/>
          </w:tcPr>
          <w:p>
            <w:pPr>
              <w:pStyle w:val="TableContents"/>
              <w:spacing w:before="0" w:after="0" w:line="240" w:lineRule="atLeast"/>
            </w:pPr>
            <w:r>
              <w:rPr>
                <w:rFonts w:ascii="Arial" w:hAnsi="Arial" w:cs="Arial" w:eastAsia="Arial"/>
                <w:sz w:val="16"/>
                <w:szCs w:val="16"/>
              </w:rPr>
              <w:t>Emergency Shutdown System (ESD)</w:t>
            </w:r>
          </w:p>
        </w:tc>
        <w:tc>
          <w:tcPr>
            <w:tcW w:type="dxa" w:w="1504"/>
          </w:tcPr>
          <w:p>
            <w:pPr>
              <w:pStyle w:val="TableContents"/>
              <w:spacing w:before="0" w:after="0" w:line="240" w:lineRule="atLeast"/>
            </w:pPr>
            <w:r>
              <w:rPr>
                <w:rFonts w:ascii="Arial" w:hAnsi="Arial" w:cs="Arial" w:eastAsia="Arial"/>
                <w:sz w:val="16"/>
                <w:szCs w:val="16"/>
              </w:rPr>
              <w:t>Yes</w:t>
            </w:r>
          </w:p>
        </w:tc>
        <w:tc>
          <w:tcPr>
            <w:tcW w:type="dxa" w:w="1504"/>
          </w:tcPr>
          <w:p>
            <w:pPr>
              <w:pStyle w:val="TableContents"/>
              <w:spacing w:before="0" w:after="0" w:line="240" w:lineRule="atLeast"/>
            </w:pPr>
            <w:r>
              <w:rPr>
                <w:rFonts w:ascii="Arial" w:hAnsi="Arial" w:cs="Arial" w:eastAsia="Arial"/>
                <w:sz w:val="16"/>
                <w:szCs w:val="16"/>
              </w:rPr>
              <w:t>Yes</w:t>
            </w:r>
          </w:p>
        </w:tc>
        <w:tc>
          <w:tcPr>
            <w:tcW w:type="dxa" w:w="1504"/>
          </w:tcPr>
          <w:p>
            <w:pPr>
              <w:pStyle w:val="TableContents"/>
              <w:spacing w:before="0" w:after="0" w:line="240" w:lineRule="atLeast"/>
            </w:pPr>
            <w:r>
              <w:rPr>
                <w:rFonts w:ascii="Arial" w:hAnsi="Arial" w:cs="Arial" w:eastAsia="Arial"/>
                <w:sz w:val="16"/>
                <w:szCs w:val="16"/>
              </w:rPr>
              <w:t>Functional Safety Engineer, Project Manager</w:t>
            </w:r>
          </w:p>
        </w:tc>
        <w:tc>
          <w:tcPr>
            <w:tcW w:type="dxa" w:w="1504"/>
          </w:tcPr>
          <w:p>
            <w:pPr>
              <w:pStyle w:val="TableContents"/>
              <w:spacing w:before="0" w:after="0" w:line="240" w:lineRule="atLeast"/>
            </w:pPr>
            <w:r>
              <w:rPr>
                <w:rFonts w:ascii="Arial" w:hAnsi="Arial" w:cs="Arial" w:eastAsia="Arial"/>
                <w:sz w:val="16"/>
                <w:szCs w:val="16"/>
              </w:rPr>
              <w:t>FAT report, SAT report, deficiency close-out register</w:t>
            </w:r>
          </w:p>
        </w:tc>
        <w:tc>
          <w:tcPr>
            <w:tcW w:type="dxa" w:w="1506"/>
          </w:tcPr>
          <w:p>
            <w:pPr>
              <w:pStyle w:val="TableContents"/>
              <w:spacing w:before="0" w:after="0" w:line="240" w:lineRule="atLeast"/>
            </w:pPr>
            <w:r>
              <w:rPr>
                <w:rFonts w:ascii="Arial" w:hAnsi="Arial" w:cs="Arial" w:eastAsia="Arial"/>
                <w:sz w:val="16"/>
                <w:szCs w:val="16"/>
              </w:rPr>
              <w:t>Commissioning Manager</w:t>
            </w:r>
          </w:p>
        </w:tc>
      </w:tr>
      <w:tr>
        <w:tc>
          <w:tcPr>
            <w:tcW w:type="dxa" w:w="1504"/>
          </w:tcPr>
          <w:p>
            <w:pPr>
              <w:pStyle w:val="TableContents"/>
              <w:spacing w:before="0" w:after="0" w:line="240" w:lineRule="atLeast"/>
            </w:pPr>
            <w:r>
              <w:rPr>
                <w:rFonts w:ascii="Arial" w:hAnsi="Arial" w:cs="Arial" w:eastAsia="Arial"/>
                <w:sz w:val="16"/>
                <w:szCs w:val="16"/>
              </w:rPr>
              <w:t>Fire and Gas Detection System</w:t>
            </w:r>
          </w:p>
        </w:tc>
        <w:tc>
          <w:tcPr>
            <w:tcW w:type="dxa" w:w="1504"/>
          </w:tcPr>
          <w:p>
            <w:pPr>
              <w:pStyle w:val="TableContents"/>
              <w:spacing w:before="0" w:after="0" w:line="240" w:lineRule="atLeast"/>
            </w:pPr>
            <w:r>
              <w:rPr>
                <w:rFonts w:ascii="Arial" w:hAnsi="Arial" w:cs="Arial" w:eastAsia="Arial"/>
                <w:sz w:val="16"/>
                <w:szCs w:val="16"/>
              </w:rPr>
              <w:t>Yes</w:t>
            </w:r>
          </w:p>
        </w:tc>
        <w:tc>
          <w:tcPr>
            <w:tcW w:type="dxa" w:w="1504"/>
          </w:tcPr>
          <w:p>
            <w:pPr>
              <w:pStyle w:val="TableContents"/>
              <w:spacing w:before="0" w:after="0" w:line="240" w:lineRule="atLeast"/>
            </w:pPr>
            <w:r>
              <w:rPr>
                <w:rFonts w:ascii="Arial" w:hAnsi="Arial" w:cs="Arial" w:eastAsia="Arial"/>
                <w:sz w:val="16"/>
                <w:szCs w:val="16"/>
              </w:rPr>
              <w:t>Yes</w:t>
            </w:r>
          </w:p>
        </w:tc>
        <w:tc>
          <w:tcPr>
            <w:tcW w:type="dxa" w:w="1504"/>
          </w:tcPr>
          <w:p>
            <w:pPr>
              <w:pStyle w:val="TableContents"/>
              <w:spacing w:before="0" w:after="0" w:line="240" w:lineRule="atLeast"/>
            </w:pPr>
            <w:r>
              <w:rPr>
                <w:rFonts w:ascii="Arial" w:hAnsi="Arial" w:cs="Arial" w:eastAsia="Arial"/>
                <w:sz w:val="16"/>
                <w:szCs w:val="16"/>
              </w:rPr>
              <w:t>Functional Safety Engineer, Commissioning Lead</w:t>
            </w:r>
          </w:p>
        </w:tc>
        <w:tc>
          <w:tcPr>
            <w:tcW w:type="dxa" w:w="1504"/>
          </w:tcPr>
          <w:p>
            <w:pPr>
              <w:pStyle w:val="TableContents"/>
              <w:spacing w:before="0" w:after="0" w:line="240" w:lineRule="atLeast"/>
            </w:pPr>
            <w:r>
              <w:rPr>
                <w:rFonts w:ascii="Arial" w:hAnsi="Arial" w:cs="Arial" w:eastAsia="Arial"/>
                <w:sz w:val="16"/>
                <w:szCs w:val="16"/>
              </w:rPr>
              <w:t>FAT report, SAT report, functional test certificate</w:t>
            </w:r>
          </w:p>
        </w:tc>
        <w:tc>
          <w:tcPr>
            <w:tcW w:type="dxa" w:w="1506"/>
          </w:tcPr>
          <w:p>
            <w:pPr>
              <w:pStyle w:val="TableContents"/>
              <w:spacing w:before="0" w:after="0" w:line="240" w:lineRule="atLeast"/>
            </w:pPr>
            <w:r>
              <w:rPr>
                <w:rFonts w:ascii="Arial" w:hAnsi="Arial" w:cs="Arial" w:eastAsia="Arial"/>
                <w:sz w:val="16"/>
                <w:szCs w:val="16"/>
              </w:rPr>
              <w:t>Commissioning Manager</w:t>
            </w:r>
          </w:p>
        </w:tc>
      </w:tr>
      <w:tr>
        <w:tc>
          <w:tcPr>
            <w:tcW w:type="dxa" w:w="1504"/>
          </w:tcPr>
          <w:p>
            <w:pPr>
              <w:pStyle w:val="TableContents"/>
              <w:spacing w:before="0" w:after="0" w:line="240" w:lineRule="atLeast"/>
            </w:pPr>
            <w:r>
              <w:rPr>
                <w:rFonts w:ascii="Arial" w:hAnsi="Arial" w:cs="Arial" w:eastAsia="Arial"/>
                <w:b/>
                <w:bCs/>
                <w:color w:val="0059D1"/>
                <w:sz w:val="16"/>
                <w:szCs w:val="16"/>
              </w:rPr>
              <w:t>[INSERT: SIS name]</w:t>
            </w:r>
          </w:p>
        </w:tc>
        <w:tc>
          <w:tcPr>
            <w:tcW w:type="dxa" w:w="1504"/>
          </w:tcPr>
          <w:p>
            <w:pPr>
              <w:pStyle w:val="TableContents"/>
              <w:spacing w:before="0" w:after="0" w:line="240" w:lineRule="atLeast"/>
            </w:pPr>
            <w:r>
              <w:rPr>
                <w:rFonts w:ascii="Arial" w:hAnsi="Arial" w:cs="Arial" w:eastAsia="Arial"/>
                <w:b/>
                <w:bCs/>
                <w:color w:val="0059D1"/>
                <w:sz w:val="16"/>
                <w:szCs w:val="16"/>
              </w:rPr>
              <w:t>[INSERT: Yes/No]</w:t>
            </w:r>
          </w:p>
        </w:tc>
        <w:tc>
          <w:tcPr>
            <w:tcW w:type="dxa" w:w="1504"/>
          </w:tcPr>
          <w:p>
            <w:pPr>
              <w:pStyle w:val="TableContents"/>
              <w:spacing w:before="0" w:after="0" w:line="240" w:lineRule="atLeast"/>
            </w:pPr>
            <w:r>
              <w:rPr>
                <w:rFonts w:ascii="Arial" w:hAnsi="Arial" w:cs="Arial" w:eastAsia="Arial"/>
                <w:b/>
                <w:bCs/>
                <w:color w:val="0059D1"/>
                <w:sz w:val="16"/>
                <w:szCs w:val="16"/>
              </w:rPr>
              <w:t>[INSERT: Yes/No]</w:t>
            </w:r>
          </w:p>
        </w:tc>
        <w:tc>
          <w:tcPr>
            <w:tcW w:type="dxa" w:w="1504"/>
          </w:tcPr>
          <w:p>
            <w:pPr>
              <w:pStyle w:val="TableContents"/>
              <w:spacing w:before="0" w:after="0" w:line="240" w:lineRule="atLeast"/>
            </w:pPr>
            <w:r>
              <w:rPr>
                <w:rFonts w:ascii="Arial" w:hAnsi="Arial" w:cs="Arial" w:eastAsia="Arial"/>
                <w:b/>
                <w:bCs/>
                <w:color w:val="0059D1"/>
                <w:sz w:val="16"/>
                <w:szCs w:val="16"/>
              </w:rPr>
              <w:t>[INSERT: witness roles]</w:t>
            </w:r>
          </w:p>
        </w:tc>
        <w:tc>
          <w:tcPr>
            <w:tcW w:type="dxa" w:w="1504"/>
          </w:tcPr>
          <w:p>
            <w:pPr>
              <w:pStyle w:val="TableContents"/>
              <w:spacing w:before="0" w:after="0" w:line="240" w:lineRule="atLeast"/>
            </w:pPr>
            <w:r>
              <w:rPr>
                <w:rFonts w:ascii="Arial" w:hAnsi="Arial" w:cs="Arial" w:eastAsia="Arial"/>
                <w:b/>
                <w:bCs/>
                <w:color w:val="0059D1"/>
                <w:sz w:val="16"/>
                <w:szCs w:val="16"/>
              </w:rPr>
              <w:t>[INSERT: required documentation]</w:t>
            </w:r>
          </w:p>
        </w:tc>
        <w:tc>
          <w:tcPr>
            <w:tcW w:type="dxa" w:w="1506"/>
          </w:tcPr>
          <w:p>
            <w:pPr>
              <w:pStyle w:val="TableContents"/>
              <w:spacing w:before="0" w:after="0" w:line="240" w:lineRule="atLeast"/>
            </w:pPr>
            <w:r>
              <w:rPr>
                <w:rFonts w:ascii="Arial" w:hAnsi="Arial" w:cs="Arial" w:eastAsia="Arial"/>
                <w:b/>
                <w:bCs/>
                <w:color w:val="0059D1"/>
                <w:sz w:val="16"/>
                <w:szCs w:val="16"/>
              </w:rPr>
              <w:t>[INSERT: approval authority]</w:t>
            </w:r>
          </w:p>
        </w:tc>
      </w:tr>
    </w:tbl>
    <w:p>
      <w:pPr>
        <w:pStyle w:val="NormalNumberedtext"/>
      </w:pPr>
    </w:p>
    <w:p>
      <w:pPr>
        <w:pStyle w:val="Heading2Numbered"/>
        <w:numPr>
          <w:ilvl w:val="1"/>
          <w:numId w:val="1"/>
        </w:numPr>
      </w:pPr>
      <w:r>
        <w:rPr>
          <w:rFonts w:ascii="Arial" w:hAnsi="Arial" w:cs="Arial" w:eastAsia="Arial"/>
        </w:rPr>
        <w:t>SIS Handover Documentation</w:t>
      </w:r>
    </w:p>
    <w:p>
      <w:pPr>
        <w:pStyle w:val="NormalNumberedtext"/>
      </w:pPr>
      <w:r>
        <w:t>Handover of safety instrumented systems from the construction team to the operations team requires defined minimum documentation.</w:t>
      </w:r>
    </w:p>
    <w:p>
      <w:pPr>
        <w:pStyle w:val="NormalNumberedtext"/>
      </w:pPr>
      <w:r>
        <w:t>The project must define the minimum documentation requirements for SIS handover from the construction team to the operations team, ensuring that as-built documentation, test results, and proof test procedures are transferred and controlled before the system is handed over. The Commissioning Manager confirms that the handover documentation package is complete before plant protection responsibility is transferred.</w:t>
      </w:r>
    </w:p>
    <w:p>
      <w:pPr>
        <w:pStyle w:val="NormalNumberedtext"/>
      </w:pPr>
      <w:r>
        <w:t>The handover documentation package for each safety instrumented system must include the items listed below. The Functional Safety Engineer confirms the package is complete and the document controller confirms all items are placed under document control:</w:t>
      </w:r>
    </w:p>
    <w:p>
      <w:pPr>
        <w:pStyle w:val="NormalNumberedtext"/>
      </w:pPr>
      <w:r>
        <w:t>The minimum SIS handover documentation package for this project includes:</w:t>
      </w:r>
    </w:p>
    <w:p>
      <w:pPr>
        <w:pStyle w:val="NumberedBulletL1"/>
      </w:pPr>
      <w:r>
        <w:t>Approved as-built drawings and cause-and-effect matrices</w:t>
      </w:r>
    </w:p>
    <w:p>
      <w:pPr>
        <w:pStyle w:val="NumberedBulletL1"/>
      </w:pPr>
      <w:r>
        <w:t>Completed FAT and SAT reports with deficiency close-out evidence</w:t>
      </w:r>
    </w:p>
    <w:p>
      <w:pPr>
        <w:pStyle w:val="NumberedBulletL1"/>
      </w:pPr>
      <w:r>
        <w:t>Approved Safety Requirements Specification for each safety function</w:t>
      </w:r>
    </w:p>
    <w:p>
      <w:pPr>
        <w:pStyle w:val="NumberedBulletL1"/>
      </w:pPr>
      <w:r>
        <w:t>Proof test procedures for each safety function, ready for operational use</w:t>
      </w:r>
    </w:p>
    <w:p>
      <w:pPr>
        <w:pStyle w:val="NumberedBulletL1"/>
      </w:pPr>
      <w:r>
        <w:t>Functional safety assessment or verification report confirming SIL achievement</w:t>
      </w:r>
    </w:p>
    <w:p>
      <w:pPr>
        <w:pStyle w:val="NumberedBulletL1"/>
      </w:pPr>
      <w:r>
        <w:rPr>
          <w:color w:val="C55A11"/>
        </w:rPr>
        <w:t>Maintenance and inspection schedules aligned to proof test interval requirements</w:t>
      </w:r>
    </w:p>
    <w:p>
      <w:pPr>
        <w:pStyle w:val="NormalNumberedtext"/>
      </w:pPr>
      <w:r>
        <w:rPr>
          <w:b/>
          <w:bCs/>
          <w:color w:val="0059D1"/>
        </w:rPr>
        <w:t>[INSERT: additional_handover_documents]</w:t>
      </w:r>
    </w:p>
    <w:p>
      <w:pPr>
        <w:pStyle w:val="NormalNumberedtext"/>
      </w:pPr>
      <w:r>
        <w:t>Handover of SIS to operations is governed by the Commissioning Procedure, refer [INSERT: Project Document Number]. Any SIS that cannot be handed over with a complete documentation package is subject to a formal risk assessment and approved interim controls before the commissioning team withdraws.</w:t>
      </w:r>
    </w:p>
    <w:p>
      <w:pPr>
        <w:pStyle w:val="NormalNumberedtext"/>
      </w:pPr>
    </w:p>
    <w:p>
      <w:pPr>
        <w:pStyle w:val="Heading1Numbered"/>
        <w:numPr>
          <w:ilvl w:val="0"/>
          <w:numId w:val="1"/>
        </w:numPr>
      </w:pPr>
      <w:r>
        <w:rPr>
          <w:rFonts w:ascii="Arial" w:hAnsi="Arial" w:cs="Arial" w:eastAsia="Arial"/>
        </w:rPr>
        <w:t>Defeat and Bypass Management</w:t>
      </w:r>
    </w:p>
    <w:p>
      <w:pPr>
        <w:pStyle w:val="NormalNumberedtext"/>
      </w:pPr>
      <w:r>
        <w:t>This section defines the authorisation process, compensating controls, time limits, and reporting requirements for any defeat or bypass of a safety instrumented function.</w:t>
      </w:r>
    </w:p>
    <w:p>
      <w:pPr>
        <w:pStyle w:val="NormalNumberedtext"/>
      </w:pPr>
    </w:p>
    <w:p>
      <w:pPr>
        <w:pStyle w:val="Heading2Numbered"/>
        <w:numPr>
          <w:ilvl w:val="1"/>
          <w:numId w:val="1"/>
        </w:numPr>
      </w:pPr>
      <w:r>
        <w:rPr>
          <w:rFonts w:ascii="Arial" w:hAnsi="Arial" w:cs="Arial" w:eastAsia="Arial"/>
        </w:rPr>
        <w:t>Bypass Authorisation and Risk Assessment</w:t>
      </w:r>
    </w:p>
    <w:p>
      <w:pPr>
        <w:pStyle w:val="NormalNumberedtext"/>
      </w:pPr>
      <w:r>
        <w:t>No safety instrumented function may be defeated or bypassed without formal authorisation and a documented risk assessment.</w:t>
      </w:r>
    </w:p>
    <w:p>
      <w:pPr>
        <w:pStyle w:val="NormalNumberedtext"/>
      </w:pPr>
      <w:r>
        <w:t>The RT Process Safety Standard requires a formal authorisation process for any defeat or bypass of a safety instrumented function. The authorisation process requires a risk assessment before bypass is applied, documented compensating controls, a time-limited bypass with a defined duration, approval at the appropriate authority level, and active tracking of all active bypasses.</w:t>
      </w:r>
    </w:p>
    <w:p>
      <w:pPr>
        <w:pStyle w:val="NormalNumberedtext"/>
      </w:pPr>
      <w:r>
        <w:t>Any work that requires isolation or bypass of a safety instrumented system for testing or maintenance purposes is subject to the Isolation Procedure, refer [INSERT: Project Document Number], and requires a permit raised via the site PTW system before commencing work, refer [INSERT: Project Document Number].</w:t>
      </w:r>
    </w:p>
    <w:p>
      <w:pPr>
        <w:pStyle w:val="NormalNumberedtext"/>
      </w:pPr>
      <w:r>
        <w:t>The bypass authorisation requirements for this project are defined in the table below. Bypass of a safety function at a higher SIL level requires a higher approval authority level:</w:t>
      </w:r>
    </w:p>
    <w:p>
      <w:pPr>
        <w:pStyle w:val="NormalNumberedtext"/>
      </w:pPr>
      <w:r>
        <w:t>Table: Bypass Authorisation Requirements by SIL Level</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SIL Level</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Maximum Bypass Duration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Risk Assessment Required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Compensating Controls Required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Approval Authority</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Bypass Tracking Location</w:t>
            </w:r>
          </w:p>
        </w:tc>
      </w:tr>
      <w:tr>
        <w:tc>
          <w:tcPr>
            <w:tcW w:type="dxa" w:w="1504"/>
          </w:tcPr>
          <w:p>
            <w:pPr>
              <w:pStyle w:val="TableContents"/>
              <w:spacing w:before="0" w:after="0" w:line="240" w:lineRule="atLeast"/>
            </w:pPr>
            <w:r>
              <w:rPr>
                <w:rFonts w:ascii="Arial" w:hAnsi="Arial" w:cs="Arial" w:eastAsia="Arial"/>
                <w:sz w:val="16"/>
                <w:szCs w:val="16"/>
              </w:rPr>
              <w:t>SIL 1</w:t>
            </w:r>
          </w:p>
        </w:tc>
        <w:tc>
          <w:tcPr>
            <w:tcW w:type="dxa" w:w="1504"/>
          </w:tcPr>
          <w:p>
            <w:pPr>
              <w:pStyle w:val="TableContents"/>
              <w:spacing w:before="0" w:after="0" w:line="240" w:lineRule="atLeast"/>
            </w:pPr>
            <w:r>
              <w:rPr>
                <w:rFonts w:ascii="Arial" w:hAnsi="Arial" w:cs="Arial" w:eastAsia="Arial"/>
                <w:sz w:val="16"/>
                <w:szCs w:val="16"/>
              </w:rPr>
              <w:t>72 hours</w:t>
            </w:r>
          </w:p>
        </w:tc>
        <w:tc>
          <w:tcPr>
            <w:tcW w:type="dxa" w:w="1504"/>
          </w:tcPr>
          <w:p>
            <w:pPr>
              <w:pStyle w:val="TableContents"/>
              <w:spacing w:before="0" w:after="0" w:line="240" w:lineRule="atLeast"/>
            </w:pPr>
            <w:r>
              <w:rPr>
                <w:rFonts w:ascii="Arial" w:hAnsi="Arial" w:cs="Arial" w:eastAsia="Arial"/>
                <w:sz w:val="16"/>
                <w:szCs w:val="16"/>
              </w:rPr>
              <w:t>Yes - documented JHA minimum</w:t>
            </w:r>
          </w:p>
        </w:tc>
        <w:tc>
          <w:tcPr>
            <w:tcW w:type="dxa" w:w="1504"/>
          </w:tcPr>
          <w:p>
            <w:pPr>
              <w:pStyle w:val="TableContents"/>
              <w:spacing w:before="0" w:after="0" w:line="240" w:lineRule="atLeast"/>
            </w:pPr>
            <w:r>
              <w:rPr>
                <w:rFonts w:ascii="Arial" w:hAnsi="Arial" w:cs="Arial" w:eastAsia="Arial"/>
                <w:sz w:val="16"/>
                <w:szCs w:val="16"/>
              </w:rPr>
              <w:t>Yes - documented in bypass register</w:t>
            </w:r>
          </w:p>
        </w:tc>
        <w:tc>
          <w:tcPr>
            <w:tcW w:type="dxa" w:w="1504"/>
          </w:tcPr>
          <w:p>
            <w:pPr>
              <w:pStyle w:val="TableContents"/>
              <w:spacing w:before="0" w:after="0" w:line="240" w:lineRule="atLeast"/>
            </w:pPr>
            <w:r>
              <w:rPr>
                <w:rFonts w:ascii="Arial" w:hAnsi="Arial" w:cs="Arial" w:eastAsia="Arial"/>
                <w:sz w:val="16"/>
                <w:szCs w:val="16"/>
              </w:rPr>
              <w:t>Operations Superintendent</w:t>
            </w:r>
          </w:p>
        </w:tc>
        <w:tc>
          <w:tcPr>
            <w:tcW w:type="dxa" w:w="1506"/>
          </w:tcPr>
          <w:p>
            <w:pPr>
              <w:pStyle w:val="TableContents"/>
              <w:spacing w:before="0" w:after="0" w:line="240" w:lineRule="atLeast"/>
            </w:pPr>
            <w:r>
              <w:rPr>
                <w:rFonts w:ascii="Arial" w:hAnsi="Arial" w:cs="Arial" w:eastAsia="Arial"/>
                <w:sz w:val="16"/>
                <w:szCs w:val="16"/>
              </w:rPr>
              <w:t>Active Bypass Register</w:t>
            </w:r>
          </w:p>
        </w:tc>
      </w:tr>
      <w:tr>
        <w:tc>
          <w:tcPr>
            <w:tcW w:type="dxa" w:w="1504"/>
          </w:tcPr>
          <w:p>
            <w:pPr>
              <w:pStyle w:val="TableContents"/>
              <w:spacing w:before="0" w:after="0" w:line="240" w:lineRule="atLeast"/>
            </w:pPr>
            <w:r>
              <w:rPr>
                <w:rFonts w:ascii="Arial" w:hAnsi="Arial" w:cs="Arial" w:eastAsia="Arial"/>
                <w:sz w:val="16"/>
                <w:szCs w:val="16"/>
              </w:rPr>
              <w:t>SIL 2</w:t>
            </w:r>
          </w:p>
        </w:tc>
        <w:tc>
          <w:tcPr>
            <w:tcW w:type="dxa" w:w="1504"/>
          </w:tcPr>
          <w:p>
            <w:pPr>
              <w:pStyle w:val="TableContents"/>
              <w:spacing w:before="0" w:after="0" w:line="240" w:lineRule="atLeast"/>
            </w:pPr>
            <w:r>
              <w:rPr>
                <w:rFonts w:ascii="Arial" w:hAnsi="Arial" w:cs="Arial" w:eastAsia="Arial"/>
                <w:sz w:val="16"/>
                <w:szCs w:val="16"/>
              </w:rPr>
              <w:t>24 hours</w:t>
            </w:r>
          </w:p>
        </w:tc>
        <w:tc>
          <w:tcPr>
            <w:tcW w:type="dxa" w:w="1504"/>
          </w:tcPr>
          <w:p>
            <w:pPr>
              <w:pStyle w:val="TableContents"/>
              <w:spacing w:before="0" w:after="0" w:line="240" w:lineRule="atLeast"/>
            </w:pPr>
            <w:r>
              <w:rPr>
                <w:rFonts w:ascii="Arial" w:hAnsi="Arial" w:cs="Arial" w:eastAsia="Arial"/>
                <w:sz w:val="16"/>
                <w:szCs w:val="16"/>
              </w:rPr>
              <w:t>Yes - formal risk assessment</w:t>
            </w:r>
          </w:p>
        </w:tc>
        <w:tc>
          <w:tcPr>
            <w:tcW w:type="dxa" w:w="1504"/>
          </w:tcPr>
          <w:p>
            <w:pPr>
              <w:pStyle w:val="TableContents"/>
              <w:spacing w:before="0" w:after="0" w:line="240" w:lineRule="atLeast"/>
            </w:pPr>
            <w:r>
              <w:rPr>
                <w:rFonts w:ascii="Arial" w:hAnsi="Arial" w:cs="Arial" w:eastAsia="Arial"/>
                <w:sz w:val="16"/>
                <w:szCs w:val="16"/>
              </w:rPr>
              <w:t>Yes - documented in bypass register</w:t>
            </w:r>
          </w:p>
        </w:tc>
        <w:tc>
          <w:tcPr>
            <w:tcW w:type="dxa" w:w="1504"/>
          </w:tcPr>
          <w:p>
            <w:pPr>
              <w:pStyle w:val="TableContents"/>
              <w:spacing w:before="0" w:after="0" w:line="240" w:lineRule="atLeast"/>
            </w:pPr>
            <w:r>
              <w:rPr>
                <w:rFonts w:ascii="Arial" w:hAnsi="Arial" w:cs="Arial" w:eastAsia="Arial"/>
                <w:sz w:val="16"/>
                <w:szCs w:val="16"/>
              </w:rPr>
              <w:t>Plant Manager</w:t>
            </w:r>
          </w:p>
        </w:tc>
        <w:tc>
          <w:tcPr>
            <w:tcW w:type="dxa" w:w="1506"/>
          </w:tcPr>
          <w:p>
            <w:pPr>
              <w:pStyle w:val="TableContents"/>
              <w:spacing w:before="0" w:after="0" w:line="240" w:lineRule="atLeast"/>
            </w:pPr>
            <w:r>
              <w:rPr>
                <w:rFonts w:ascii="Arial" w:hAnsi="Arial" w:cs="Arial" w:eastAsia="Arial"/>
                <w:sz w:val="16"/>
                <w:szCs w:val="16"/>
              </w:rPr>
              <w:t>Active Bypass Register</w:t>
            </w:r>
          </w:p>
        </w:tc>
      </w:tr>
      <w:tr>
        <w:tc>
          <w:tcPr>
            <w:tcW w:type="dxa" w:w="1504"/>
          </w:tcPr>
          <w:p>
            <w:pPr>
              <w:pStyle w:val="TableContents"/>
              <w:spacing w:before="0" w:after="0" w:line="240" w:lineRule="atLeast"/>
            </w:pPr>
            <w:r>
              <w:rPr>
                <w:rFonts w:ascii="Arial" w:hAnsi="Arial" w:cs="Arial" w:eastAsia="Arial"/>
                <w:sz w:val="16"/>
                <w:szCs w:val="16"/>
              </w:rPr>
              <w:t>SIL 3</w:t>
            </w:r>
          </w:p>
        </w:tc>
        <w:tc>
          <w:tcPr>
            <w:tcW w:type="dxa" w:w="1504"/>
          </w:tcPr>
          <w:p>
            <w:pPr>
              <w:pStyle w:val="TableContents"/>
              <w:spacing w:before="0" w:after="0" w:line="240" w:lineRule="atLeast"/>
            </w:pPr>
            <w:r>
              <w:rPr>
                <w:rFonts w:ascii="Arial" w:hAnsi="Arial" w:cs="Arial" w:eastAsia="Arial"/>
                <w:sz w:val="16"/>
                <w:szCs w:val="16"/>
              </w:rPr>
              <w:t>8 hours</w:t>
            </w:r>
          </w:p>
        </w:tc>
        <w:tc>
          <w:tcPr>
            <w:tcW w:type="dxa" w:w="1504"/>
          </w:tcPr>
          <w:p>
            <w:pPr>
              <w:pStyle w:val="TableContents"/>
              <w:spacing w:before="0" w:after="0" w:line="240" w:lineRule="atLeast"/>
            </w:pPr>
            <w:r>
              <w:rPr>
                <w:rFonts w:ascii="Arial" w:hAnsi="Arial" w:cs="Arial" w:eastAsia="Arial"/>
                <w:sz w:val="16"/>
                <w:szCs w:val="16"/>
              </w:rPr>
              <w:t>Yes - formal risk assessment with Functional Safety Engineer review</w:t>
            </w:r>
          </w:p>
        </w:tc>
        <w:tc>
          <w:tcPr>
            <w:tcW w:type="dxa" w:w="1504"/>
          </w:tcPr>
          <w:p>
            <w:pPr>
              <w:pStyle w:val="TableContents"/>
              <w:spacing w:before="0" w:after="0" w:line="240" w:lineRule="atLeast"/>
            </w:pPr>
            <w:r>
              <w:rPr>
                <w:rFonts w:ascii="Arial" w:hAnsi="Arial" w:cs="Arial" w:eastAsia="Arial"/>
                <w:sz w:val="16"/>
                <w:szCs w:val="16"/>
              </w:rPr>
              <w:t>Yes - documented in bypass register and reported to Project Manager</w:t>
            </w:r>
          </w:p>
        </w:tc>
        <w:tc>
          <w:tcPr>
            <w:tcW w:type="dxa" w:w="1504"/>
          </w:tcPr>
          <w:p>
            <w:pPr>
              <w:pStyle w:val="TableContents"/>
              <w:spacing w:before="0" w:after="0" w:line="240" w:lineRule="atLeast"/>
            </w:pPr>
            <w:r>
              <w:rPr>
                <w:rFonts w:ascii="Arial" w:hAnsi="Arial" w:cs="Arial" w:eastAsia="Arial"/>
                <w:sz w:val="16"/>
                <w:szCs w:val="16"/>
              </w:rPr>
              <w:t>Project Manager</w:t>
            </w:r>
          </w:p>
        </w:tc>
        <w:tc>
          <w:tcPr>
            <w:tcW w:type="dxa" w:w="1506"/>
          </w:tcPr>
          <w:p>
            <w:pPr>
              <w:pStyle w:val="TableContents"/>
              <w:spacing w:before="0" w:after="0" w:line="240" w:lineRule="atLeast"/>
            </w:pPr>
            <w:r>
              <w:rPr>
                <w:rFonts w:ascii="Arial" w:hAnsi="Arial" w:cs="Arial" w:eastAsia="Arial"/>
                <w:sz w:val="16"/>
                <w:szCs w:val="16"/>
              </w:rPr>
              <w:t>Active Bypass Register</w:t>
            </w:r>
          </w:p>
        </w:tc>
      </w:tr>
      <w:tr>
        <w:tc>
          <w:tcPr>
            <w:tcW w:type="dxa" w:w="1504"/>
          </w:tcPr>
          <w:p>
            <w:pPr>
              <w:pStyle w:val="TableContents"/>
              <w:spacing w:before="0" w:after="0" w:line="240" w:lineRule="atLeast"/>
            </w:pPr>
            <w:r>
              <w:rPr>
                <w:rFonts w:ascii="Arial" w:hAnsi="Arial" w:cs="Arial" w:eastAsia="Arial"/>
                <w:b/>
                <w:bCs/>
                <w:color w:val="0059D1"/>
                <w:sz w:val="16"/>
                <w:szCs w:val="16"/>
              </w:rPr>
              <w:t>[INSERT: SIL level]</w:t>
            </w:r>
          </w:p>
        </w:tc>
        <w:tc>
          <w:tcPr>
            <w:tcW w:type="dxa" w:w="1504"/>
          </w:tcPr>
          <w:p>
            <w:pPr>
              <w:pStyle w:val="TableContents"/>
              <w:spacing w:before="0" w:after="0" w:line="240" w:lineRule="atLeast"/>
            </w:pPr>
            <w:r>
              <w:rPr>
                <w:rFonts w:ascii="Arial" w:hAnsi="Arial" w:cs="Arial" w:eastAsia="Arial"/>
                <w:b/>
                <w:bCs/>
                <w:color w:val="0059D1"/>
                <w:sz w:val="16"/>
                <w:szCs w:val="16"/>
              </w:rPr>
              <w:t>[INSERT: max duration]</w:t>
            </w:r>
          </w:p>
        </w:tc>
        <w:tc>
          <w:tcPr>
            <w:tcW w:type="dxa" w:w="1504"/>
          </w:tcPr>
          <w:p>
            <w:pPr>
              <w:pStyle w:val="TableContents"/>
              <w:spacing w:before="0" w:after="0" w:line="240" w:lineRule="atLeast"/>
            </w:pPr>
            <w:r>
              <w:rPr>
                <w:rFonts w:ascii="Arial" w:hAnsi="Arial" w:cs="Arial" w:eastAsia="Arial"/>
                <w:b/>
                <w:bCs/>
                <w:color w:val="0059D1"/>
                <w:sz w:val="16"/>
                <w:szCs w:val="16"/>
              </w:rPr>
              <w:t>[INSERT: RA type]</w:t>
            </w:r>
          </w:p>
        </w:tc>
        <w:tc>
          <w:tcPr>
            <w:tcW w:type="dxa" w:w="1504"/>
          </w:tcPr>
          <w:p>
            <w:pPr>
              <w:pStyle w:val="TableContents"/>
              <w:spacing w:before="0" w:after="0" w:line="240" w:lineRule="atLeast"/>
            </w:pPr>
            <w:r>
              <w:rPr>
                <w:rFonts w:ascii="Arial" w:hAnsi="Arial" w:cs="Arial" w:eastAsia="Arial"/>
                <w:b/>
                <w:bCs/>
                <w:color w:val="0059D1"/>
                <w:sz w:val="16"/>
                <w:szCs w:val="16"/>
              </w:rPr>
              <w:t>[INSERT: compensating controls requirement]</w:t>
            </w:r>
          </w:p>
        </w:tc>
        <w:tc>
          <w:tcPr>
            <w:tcW w:type="dxa" w:w="1504"/>
          </w:tcPr>
          <w:p>
            <w:pPr>
              <w:pStyle w:val="TableContents"/>
              <w:spacing w:before="0" w:after="0" w:line="240" w:lineRule="atLeast"/>
            </w:pPr>
            <w:r>
              <w:rPr>
                <w:rFonts w:ascii="Arial" w:hAnsi="Arial" w:cs="Arial" w:eastAsia="Arial"/>
                <w:b/>
                <w:bCs/>
                <w:color w:val="0059D1"/>
                <w:sz w:val="16"/>
                <w:szCs w:val="16"/>
              </w:rPr>
              <w:t>[INSERT: approval authority]</w:t>
            </w:r>
          </w:p>
        </w:tc>
        <w:tc>
          <w:tcPr>
            <w:tcW w:type="dxa" w:w="1506"/>
          </w:tcPr>
          <w:p>
            <w:pPr>
              <w:pStyle w:val="TableContents"/>
              <w:spacing w:before="0" w:after="0" w:line="240" w:lineRule="atLeast"/>
            </w:pPr>
            <w:r>
              <w:rPr>
                <w:rFonts w:ascii="Arial" w:hAnsi="Arial" w:cs="Arial" w:eastAsia="Arial"/>
                <w:b/>
                <w:bCs/>
                <w:color w:val="0059D1"/>
                <w:sz w:val="16"/>
                <w:szCs w:val="16"/>
              </w:rPr>
              <w:t>[INSERT: tracking location]</w:t>
            </w:r>
          </w:p>
        </w:tc>
      </w:tr>
    </w:tbl>
    <w:p>
      <w:pPr>
        <w:pStyle w:val="NormalNumberedtext"/>
      </w:pPr>
    </w:p>
    <w:p>
      <w:pPr>
        <w:pStyle w:val="Heading2Numbered"/>
        <w:numPr>
          <w:ilvl w:val="1"/>
          <w:numId w:val="1"/>
        </w:numPr>
      </w:pPr>
      <w:r>
        <w:rPr>
          <w:rFonts w:ascii="Arial" w:hAnsi="Arial" w:cs="Arial" w:eastAsia="Arial"/>
        </w:rPr>
        <w:t>Bypass Tracking and Reporting</w:t>
      </w:r>
    </w:p>
    <w:p>
      <w:pPr>
        <w:pStyle w:val="NormalNumberedtext"/>
      </w:pPr>
      <w:r>
        <w:t>All active bypasses of safety instrumented functions are tracked and reported as part of monthly HSESC reporting.</w:t>
      </w:r>
    </w:p>
    <w:p>
      <w:pPr>
        <w:pStyle w:val="NormalNumberedtext"/>
      </w:pPr>
      <w:r>
        <w:t>The APPC Appendix C §26 requirement is that bypass of any critical control is captured in the project action tracking system and reported to the project owner as part of monthly HSESC reporting. The HSESC Manager confirms that the active bypass register is reviewed at the weekly project HSESC review meeting and that any bypass approaching or exceeding its approved duration is escalated to the approval authority.</w:t>
      </w:r>
    </w:p>
    <w:p>
      <w:pPr>
        <w:pStyle w:val="NormalNumberedtext"/>
      </w:pPr>
      <w:r>
        <w:t>The active bypass register is maintained by the HSESC Manager and is accessible to all personnel with a role in safety instrumented system management. The register records the safety function bypassed, the reason for bypass, the compensating controls in place, the approved duration, the approval authority, and the date the bypass was closed out:</w:t>
      </w:r>
    </w:p>
    <w:p>
      <w:pPr>
        <w:pStyle w:val="NormalNumberedtext"/>
      </w:pPr>
      <w:r>
        <w:rPr>
          <w:b/>
          <w:bCs/>
          <w:color w:val="0059D1"/>
        </w:rPr>
        <w:t>[INSERT: bypass_register_location] — Insert the document reference and storage location of the Active Bypass Register for this project, e.g. RTPR-HSE-REG-XXXX Active Bypass Register, stored in [document management system].</w:t>
      </w:r>
    </w:p>
    <w:p>
      <w:pPr>
        <w:pStyle w:val="NormalNumberedtext"/>
      </w:pPr>
      <w:r>
        <w:rPr>
          <w:color w:val="C55A11"/>
        </w:rPr>
        <w:t>Any bypass that cannot be closed within the approved duration requires a new risk assessment and re-approval before the existing bypass period expires. Any safety instrumented function that has been bypassed more than twice within a 90-day period is subject to a formal review by the Functional Safety Engineer to determine whether a design or maintenance deficiency exists.</w:t>
      </w:r>
    </w:p>
    <w:p>
      <w:pPr>
        <w:pStyle w:val="NormalNumberedtext"/>
      </w:pPr>
    </w:p>
    <w:p>
      <w:pPr>
        <w:pStyle w:val="Heading1Numbered"/>
        <w:numPr>
          <w:ilvl w:val="0"/>
          <w:numId w:val="1"/>
        </w:numPr>
      </w:pPr>
      <w:r>
        <w:rPr>
          <w:rFonts w:ascii="Arial" w:hAnsi="Arial" w:cs="Arial" w:eastAsia="Arial"/>
        </w:rPr>
        <w:t>Testing and Maintenance</w:t>
      </w:r>
    </w:p>
    <w:p>
      <w:pPr>
        <w:pStyle w:val="NormalNumberedtext"/>
      </w:pPr>
      <w:r>
        <w:t>This section defines proof test interval requirements, proof test procedure standards, and the functional safety competency requirements for personnel conducting SIS testing and maintenance.</w:t>
      </w:r>
    </w:p>
    <w:p>
      <w:pPr>
        <w:pStyle w:val="NormalNumberedtext"/>
      </w:pPr>
    </w:p>
    <w:p>
      <w:pPr>
        <w:pStyle w:val="Heading2Numbered"/>
        <w:numPr>
          <w:ilvl w:val="1"/>
          <w:numId w:val="1"/>
        </w:numPr>
      </w:pPr>
      <w:r>
        <w:rPr>
          <w:rFonts w:ascii="Arial" w:hAnsi="Arial" w:cs="Arial" w:eastAsia="Arial"/>
        </w:rPr>
        <w:t>Proof Test Requirements</w:t>
      </w:r>
    </w:p>
    <w:p>
      <w:pPr>
        <w:pStyle w:val="NormalNumberedtext"/>
      </w:pPr>
      <w:r>
        <w:t>Proof test intervals and procedures are defined for each safety function based on its SIL target and must be followed by competent personnel.</w:t>
      </w:r>
    </w:p>
    <w:p>
      <w:pPr>
        <w:pStyle w:val="NormalNumberedtext"/>
      </w:pPr>
      <w:r>
        <w:t>The RT Functional Safety Standard requires that proof test interval requirements are defined based on the SIL target for each safety function, that proof test procedures are documented and followed by competent personnel, and that test results are documented and any failures investigated. The Functional Safety Engineer confirms that proof test intervals are calculated as part of the SIL verification activity and are included in the Safety Requirements Specification for each function.</w:t>
      </w:r>
    </w:p>
    <w:p>
      <w:pPr>
        <w:pStyle w:val="NormalNumberedtext"/>
      </w:pPr>
      <w:r>
        <w:t>Proof testing of safety instrumented functions requires a permit raised via the site PTW system before commencing work, refer [INSERT: Project Document Number]. Any isolation required during proof testing is conducted in accordance with the Isolation Procedure, refer [INSERT: Project Document Number]. Any change to a proof test procedure or interval is subject to the Management of Change Procedure, refer [INSERT: Project Document Number].</w:t>
      </w:r>
    </w:p>
    <w:p>
      <w:pPr>
        <w:pStyle w:val="NormalNumberedtext"/>
      </w:pPr>
      <w:r>
        <w:t>The proof test procedure for each safety function must include the items listed below. The Functional Safety Engineer approves each procedure before it is used:</w:t>
      </w:r>
    </w:p>
    <w:p>
      <w:pPr>
        <w:pStyle w:val="NormalNumberedtext"/>
      </w:pPr>
      <w:r>
        <w:t>Each proof test procedure must document:</w:t>
      </w:r>
    </w:p>
    <w:p>
      <w:pPr>
        <w:pStyle w:val="NumberedBulletL1"/>
      </w:pPr>
      <w:r>
        <w:t>The safety function identifier and SIL target</w:t>
      </w:r>
    </w:p>
    <w:p>
      <w:pPr>
        <w:pStyle w:val="NumberedBulletL1"/>
      </w:pPr>
      <w:r>
        <w:t>The required proof test interval and the date the next test is due</w:t>
      </w:r>
    </w:p>
    <w:p>
      <w:pPr>
        <w:pStyle w:val="NumberedBulletL1"/>
      </w:pPr>
      <w:r>
        <w:t>The step-by-step test method, including all test equipment required</w:t>
      </w:r>
    </w:p>
    <w:p>
      <w:pPr>
        <w:pStyle w:val="NumberedBulletL1"/>
      </w:pPr>
      <w:r>
        <w:t>The acceptance criteria for each test step</w:t>
      </w:r>
    </w:p>
    <w:p>
      <w:pPr>
        <w:pStyle w:val="NumberedBulletL1"/>
      </w:pPr>
      <w:r>
        <w:t>The process for recording results and reporting any test failure or partial failure</w:t>
      </w:r>
    </w:p>
    <w:p>
      <w:pPr>
        <w:pStyle w:val="NumberedBulletL1"/>
      </w:pPr>
      <w:r>
        <w:t>The competency level required for the personnel conducting the test</w:t>
      </w:r>
    </w:p>
    <w:p>
      <w:pPr>
        <w:pStyle w:val="NumberedBulletL1"/>
      </w:pPr>
      <w:r>
        <w:rPr>
          <w:color w:val="C55A11"/>
        </w:rPr>
        <w:t>The estimated duration of the test and the bypass period required, to support bypass authorisation planning</w:t>
      </w:r>
    </w:p>
    <w:p>
      <w:pPr>
        <w:pStyle w:val="NormalNumberedtext"/>
      </w:pPr>
      <w:r>
        <w:rPr>
          <w:b/>
          <w:bCs/>
          <w:color w:val="0059D1"/>
        </w:rPr>
        <w:t>[INSERT: additional_proof_test_procedure_requirements]</w:t>
      </w:r>
    </w:p>
    <w:p>
      <w:pPr>
        <w:pStyle w:val="NormalNumberedtext"/>
      </w:pPr>
      <w:r>
        <w:t>Any failure identified during a proof test is reported as an incident and investigated in accordance with the project incident reporting requirements, refer [INSERT: Project Document Number]. The Functional Safety Engineer reviews the failure investigation findings to determine whether the SIL target for the affected function remains achievable with the current design and maintenance regime.</w:t>
      </w:r>
    </w:p>
    <w:p>
      <w:pPr>
        <w:pStyle w:val="NormalNumberedtext"/>
      </w:pPr>
    </w:p>
    <w:p>
      <w:pPr>
        <w:pStyle w:val="Heading2Numbered"/>
        <w:numPr>
          <w:ilvl w:val="1"/>
          <w:numId w:val="1"/>
        </w:numPr>
      </w:pPr>
      <w:r>
        <w:rPr>
          <w:rFonts w:ascii="Arial" w:hAnsi="Arial" w:cs="Arial" w:eastAsia="Arial"/>
        </w:rPr>
        <w:t>Functional Safety Competency</w:t>
      </w:r>
    </w:p>
    <w:p>
      <w:pPr>
        <w:pStyle w:val="NormalNumberedtext"/>
      </w:pPr>
      <w:r>
        <w:t>Personnel responsible for SIS testing and maintenance must meet defined competency requirements before undertaking those activities.</w:t>
      </w:r>
    </w:p>
    <w:p>
      <w:pPr>
        <w:pStyle w:val="NormalNumberedtext"/>
      </w:pPr>
      <w:r>
        <w:t>The project must define the minimum functional safety competency requirements for personnel responsible for SIS testing and maintenance, and document the process for verifying that contractors engaged in SIS work meet those requirements. Competency records are managed under the Training Procedure, refer [INSERT: Project Document Number].</w:t>
      </w:r>
    </w:p>
    <w:p>
      <w:pPr>
        <w:pStyle w:val="NormalNumberedtext"/>
      </w:pPr>
      <w:r>
        <w:t>The functional safety competency requirements for this project are defined in the table below. The HSESC Manager confirms that competency verification is completed and recorded before any personnel are assigned to SIS testing or maintenance activities:</w:t>
      </w:r>
    </w:p>
    <w:p>
      <w:pPr>
        <w:pStyle w:val="NormalNumberedtext"/>
      </w:pPr>
      <w:r>
        <w:rPr>
          <w:b/>
          <w:bCs/>
          <w:color w:val="0059D1"/>
        </w:rPr>
        <w:t>[INSERT: functional_safety_competency_requirements] — Define the functional safety competency requirements for this project: which roles require formal TÜV Functional Safety Engineer certification or equivalent; which roles may perform proof tests under supervision only; and what the supervision and sign-off requirements are for each category.</w:t>
      </w:r>
    </w:p>
    <w:p>
      <w:pPr>
        <w:pStyle w:val="NormalNumberedtext"/>
      </w:pPr>
      <w:r>
        <w:t>Table: Functional Safety Competency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Activity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Competency Requirement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Supervision Requirement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Verification Method</w:t>
            </w:r>
          </w:p>
        </w:tc>
      </w:tr>
      <w:tr>
        <w:tc>
          <w:tcPr>
            <w:tcW w:type="dxa" w:w="1805"/>
          </w:tcPr>
          <w:p>
            <w:pPr>
              <w:pStyle w:val="TableContents"/>
              <w:spacing w:before="0" w:after="0" w:line="240" w:lineRule="atLeast"/>
            </w:pPr>
            <w:r>
              <w:rPr>
                <w:rFonts w:ascii="Arial" w:hAnsi="Arial" w:cs="Arial" w:eastAsia="Arial"/>
                <w:sz w:val="16"/>
                <w:szCs w:val="16"/>
              </w:rPr>
              <w:t>Functional Safety Engineer</w:t>
            </w:r>
          </w:p>
        </w:tc>
        <w:tc>
          <w:tcPr>
            <w:tcW w:type="dxa" w:w="1805"/>
          </w:tcPr>
          <w:p>
            <w:pPr>
              <w:pStyle w:val="TableContents"/>
              <w:spacing w:before="0" w:after="0" w:line="240" w:lineRule="atLeast"/>
            </w:pPr>
            <w:r>
              <w:rPr>
                <w:rFonts w:ascii="Arial" w:hAnsi="Arial" w:cs="Arial" w:eastAsia="Arial"/>
                <w:sz w:val="16"/>
                <w:szCs w:val="16"/>
              </w:rPr>
              <w:t>SIL determination, SRS preparation, FAT/SAT approval, proof test procedure approval</w:t>
            </w:r>
          </w:p>
        </w:tc>
        <w:tc>
          <w:tcPr>
            <w:tcW w:type="dxa" w:w="1805"/>
          </w:tcPr>
          <w:p>
            <w:pPr>
              <w:pStyle w:val="TableContents"/>
              <w:spacing w:before="0" w:after="0" w:line="240" w:lineRule="atLeast"/>
            </w:pPr>
            <w:r>
              <w:rPr>
                <w:rFonts w:ascii="Arial" w:hAnsi="Arial" w:cs="Arial" w:eastAsia="Arial"/>
                <w:sz w:val="16"/>
                <w:szCs w:val="16"/>
              </w:rPr>
              <w:t>TÜV Functional Safety Engineer (FSEng) certification or equivalent recognised qualification</w:t>
            </w:r>
          </w:p>
        </w:tc>
        <w:tc>
          <w:tcPr>
            <w:tcW w:type="dxa" w:w="1805"/>
          </w:tcPr>
          <w:p>
            <w:pPr>
              <w:pStyle w:val="TableContents"/>
              <w:spacing w:before="0" w:after="0" w:line="240" w:lineRule="atLeast"/>
            </w:pPr>
            <w:r>
              <w:rPr>
                <w:rFonts w:ascii="Arial" w:hAnsi="Arial" w:cs="Arial" w:eastAsia="Arial"/>
                <w:sz w:val="16"/>
                <w:szCs w:val="16"/>
              </w:rPr>
              <w:t>None - independent sign-off authority</w:t>
            </w:r>
          </w:p>
        </w:tc>
        <w:tc>
          <w:tcPr>
            <w:tcW w:type="dxa" w:w="1806"/>
          </w:tcPr>
          <w:p>
            <w:pPr>
              <w:pStyle w:val="TableContents"/>
              <w:spacing w:before="0" w:after="0" w:line="240" w:lineRule="atLeast"/>
            </w:pPr>
            <w:r>
              <w:rPr>
                <w:rFonts w:ascii="Arial" w:hAnsi="Arial" w:cs="Arial" w:eastAsia="Arial"/>
                <w:sz w:val="16"/>
                <w:szCs w:val="16"/>
              </w:rPr>
              <w:t>Certificate sighted and recorded by HSESC Manager</w:t>
            </w:r>
          </w:p>
        </w:tc>
      </w:tr>
      <w:tr>
        <w:tc>
          <w:tcPr>
            <w:tcW w:type="dxa" w:w="1805"/>
          </w:tcPr>
          <w:p>
            <w:pPr>
              <w:pStyle w:val="TableContents"/>
              <w:spacing w:before="0" w:after="0" w:line="240" w:lineRule="atLeast"/>
            </w:pPr>
            <w:r>
              <w:rPr>
                <w:rFonts w:ascii="Arial" w:hAnsi="Arial" w:cs="Arial" w:eastAsia="Arial"/>
                <w:sz w:val="16"/>
                <w:szCs w:val="16"/>
              </w:rPr>
              <w:t>SIS Technician</w:t>
            </w:r>
          </w:p>
        </w:tc>
        <w:tc>
          <w:tcPr>
            <w:tcW w:type="dxa" w:w="1805"/>
          </w:tcPr>
          <w:p>
            <w:pPr>
              <w:pStyle w:val="TableContents"/>
              <w:spacing w:before="0" w:after="0" w:line="240" w:lineRule="atLeast"/>
            </w:pPr>
            <w:r>
              <w:rPr>
                <w:rFonts w:ascii="Arial" w:hAnsi="Arial" w:cs="Arial" w:eastAsia="Arial"/>
                <w:sz w:val="16"/>
                <w:szCs w:val="16"/>
              </w:rPr>
              <w:t>Proof test execution, SIS maintenance</w:t>
            </w:r>
          </w:p>
        </w:tc>
        <w:tc>
          <w:tcPr>
            <w:tcW w:type="dxa" w:w="1805"/>
          </w:tcPr>
          <w:p>
            <w:pPr>
              <w:pStyle w:val="TableContents"/>
              <w:spacing w:before="0" w:after="0" w:line="240" w:lineRule="atLeast"/>
            </w:pPr>
            <w:r>
              <w:rPr>
                <w:rFonts w:ascii="Arial" w:hAnsi="Arial" w:cs="Arial" w:eastAsia="Arial"/>
                <w:sz w:val="16"/>
                <w:szCs w:val="16"/>
              </w:rPr>
              <w:t>Formal training in the specific SIS platform plus project functional safety induction</w:t>
            </w:r>
          </w:p>
        </w:tc>
        <w:tc>
          <w:tcPr>
            <w:tcW w:type="dxa" w:w="1805"/>
          </w:tcPr>
          <w:p>
            <w:pPr>
              <w:pStyle w:val="TableContents"/>
              <w:spacing w:before="0" w:after="0" w:line="240" w:lineRule="atLeast"/>
            </w:pPr>
            <w:r>
              <w:rPr>
                <w:rFonts w:ascii="Arial" w:hAnsi="Arial" w:cs="Arial" w:eastAsia="Arial"/>
                <w:sz w:val="16"/>
                <w:szCs w:val="16"/>
              </w:rPr>
              <w:t>Supervised by Functional Safety Engineer for first three proof tests on this project</w:t>
            </w:r>
          </w:p>
        </w:tc>
        <w:tc>
          <w:tcPr>
            <w:tcW w:type="dxa" w:w="1806"/>
          </w:tcPr>
          <w:p>
            <w:pPr>
              <w:pStyle w:val="TableContents"/>
              <w:spacing w:before="0" w:after="0" w:line="240" w:lineRule="atLeast"/>
            </w:pPr>
            <w:r>
              <w:rPr>
                <w:rFonts w:ascii="Arial" w:hAnsi="Arial" w:cs="Arial" w:eastAsia="Arial"/>
                <w:sz w:val="16"/>
                <w:szCs w:val="16"/>
              </w:rPr>
              <w:t>Training records sighted and recorded by HSESC Manager</w:t>
            </w:r>
          </w:p>
        </w:tc>
      </w:tr>
      <w:tr>
        <w:tc>
          <w:tcPr>
            <w:tcW w:type="dxa" w:w="1805"/>
          </w:tcPr>
          <w:p>
            <w:pPr>
              <w:pStyle w:val="TableContents"/>
              <w:spacing w:before="0" w:after="0" w:line="240" w:lineRule="atLeast"/>
            </w:pPr>
            <w:r>
              <w:rPr>
                <w:rFonts w:ascii="Arial" w:hAnsi="Arial" w:cs="Arial" w:eastAsia="Arial"/>
                <w:sz w:val="16"/>
                <w:szCs w:val="16"/>
              </w:rPr>
              <w:t>Contractor SIS Technician</w:t>
            </w:r>
          </w:p>
        </w:tc>
        <w:tc>
          <w:tcPr>
            <w:tcW w:type="dxa" w:w="1805"/>
          </w:tcPr>
          <w:p>
            <w:pPr>
              <w:pStyle w:val="TableContents"/>
              <w:spacing w:before="0" w:after="0" w:line="240" w:lineRule="atLeast"/>
            </w:pPr>
            <w:r>
              <w:rPr>
                <w:rFonts w:ascii="Arial" w:hAnsi="Arial" w:cs="Arial" w:eastAsia="Arial"/>
                <w:sz w:val="16"/>
                <w:szCs w:val="16"/>
              </w:rPr>
              <w:t>Proof test execution under supervision</w:t>
            </w:r>
          </w:p>
        </w:tc>
        <w:tc>
          <w:tcPr>
            <w:tcW w:type="dxa" w:w="1805"/>
          </w:tcPr>
          <w:p>
            <w:pPr>
              <w:pStyle w:val="TableContents"/>
              <w:spacing w:before="0" w:after="0" w:line="240" w:lineRule="atLeast"/>
            </w:pPr>
            <w:r>
              <w:rPr>
                <w:rFonts w:ascii="Arial" w:hAnsi="Arial" w:cs="Arial" w:eastAsia="Arial"/>
                <w:sz w:val="16"/>
                <w:szCs w:val="16"/>
              </w:rPr>
              <w:t>Demonstrated competency on the specific SIS platform, verified by Functional Safety Engineer before first test</w:t>
            </w:r>
          </w:p>
        </w:tc>
        <w:tc>
          <w:tcPr>
            <w:tcW w:type="dxa" w:w="1805"/>
          </w:tcPr>
          <w:p>
            <w:pPr>
              <w:pStyle w:val="TableContents"/>
              <w:spacing w:before="0" w:after="0" w:line="240" w:lineRule="atLeast"/>
            </w:pPr>
            <w:r>
              <w:rPr>
                <w:rFonts w:ascii="Arial" w:hAnsi="Arial" w:cs="Arial" w:eastAsia="Arial"/>
                <w:sz w:val="16"/>
                <w:szCs w:val="16"/>
              </w:rPr>
              <w:t>Supervised by project Functional Safety Engineer at all times</w:t>
            </w:r>
          </w:p>
        </w:tc>
        <w:tc>
          <w:tcPr>
            <w:tcW w:type="dxa" w:w="1806"/>
          </w:tcPr>
          <w:p>
            <w:pPr>
              <w:pStyle w:val="TableContents"/>
              <w:spacing w:before="0" w:after="0" w:line="240" w:lineRule="atLeast"/>
            </w:pPr>
            <w:r>
              <w:rPr>
                <w:rFonts w:ascii="Arial" w:hAnsi="Arial" w:cs="Arial" w:eastAsia="Arial"/>
                <w:sz w:val="16"/>
                <w:szCs w:val="16"/>
              </w:rPr>
              <w:t>Competency assessment completed and recorded before first activity</w:t>
            </w:r>
          </w:p>
        </w:tc>
      </w:tr>
      <w:tr>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activity]</w:t>
            </w:r>
          </w:p>
        </w:tc>
        <w:tc>
          <w:tcPr>
            <w:tcW w:type="dxa" w:w="1805"/>
          </w:tcPr>
          <w:p>
            <w:pPr>
              <w:pStyle w:val="TableContents"/>
              <w:spacing w:before="0" w:after="0" w:line="240" w:lineRule="atLeast"/>
            </w:pPr>
            <w:r>
              <w:rPr>
                <w:rFonts w:ascii="Arial" w:hAnsi="Arial" w:cs="Arial" w:eastAsia="Arial"/>
                <w:b/>
                <w:bCs/>
                <w:color w:val="0059D1"/>
                <w:sz w:val="16"/>
                <w:szCs w:val="16"/>
              </w:rPr>
              <w:t>[INSERT: minimum competency]</w:t>
            </w:r>
          </w:p>
        </w:tc>
        <w:tc>
          <w:tcPr>
            <w:tcW w:type="dxa" w:w="1805"/>
          </w:tcPr>
          <w:p>
            <w:pPr>
              <w:pStyle w:val="TableContents"/>
              <w:spacing w:before="0" w:after="0" w:line="240" w:lineRule="atLeast"/>
            </w:pPr>
            <w:r>
              <w:rPr>
                <w:rFonts w:ascii="Arial" w:hAnsi="Arial" w:cs="Arial" w:eastAsia="Arial"/>
                <w:b/>
                <w:bCs/>
                <w:color w:val="0059D1"/>
                <w:sz w:val="16"/>
                <w:szCs w:val="16"/>
              </w:rPr>
              <w:t>[INSERT: supervision requirement]</w:t>
            </w:r>
          </w:p>
        </w:tc>
        <w:tc>
          <w:tcPr>
            <w:tcW w:type="dxa" w:w="1806"/>
          </w:tcPr>
          <w:p>
            <w:pPr>
              <w:pStyle w:val="TableContents"/>
              <w:spacing w:before="0" w:after="0" w:line="240" w:lineRule="atLeast"/>
            </w:pPr>
            <w:r>
              <w:rPr>
                <w:rFonts w:ascii="Arial" w:hAnsi="Arial" w:cs="Arial" w:eastAsia="Arial"/>
                <w:b/>
                <w:bCs/>
                <w:color w:val="0059D1"/>
                <w:sz w:val="16"/>
                <w:szCs w:val="16"/>
              </w:rPr>
              <w:t>[INSERT: verification method]</w:t>
            </w:r>
          </w:p>
        </w:tc>
      </w:tr>
    </w:tbl>
    <w:p>
      <w:pPr>
        <w:pStyle w:val="NormalNumberedtext"/>
      </w:pPr>
    </w:p>
    <w:p>
      <w:pPr>
        <w:pStyle w:val="NormalNumberedtext"/>
      </w:pPr>
      <w:r>
        <w:t>The HSESC Manager confirms that the competency requirements table above is reviewed at each major project phase gate and updated when scope changes result in new SIS activities or new contractor organisations being engaged in SIS work.</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SIL</w:t>
            </w:r>
          </w:p>
        </w:tc>
        <w:tc>
          <w:tcPr>
            <w:tcW w:type="dxa" w:w="4889"/>
          </w:tcPr>
          <w:p>
            <w:pPr>
              <w:pStyle w:val="TableContents"/>
              <w:spacing w:before="0" w:after="0" w:line="240" w:lineRule="atLeast"/>
            </w:pPr>
            <w:r>
              <w:rPr>
                <w:rFonts w:ascii="Arial" w:hAnsi="Arial" w:cs="Arial" w:eastAsia="Arial"/>
                <w:sz w:val="16"/>
                <w:szCs w:val="16"/>
              </w:rPr>
              <w:t>Safety Integrity Level - a discrete level (1 to 4) for specifying the safety integrity requirements of safety instrumented functions to be allocated to safety instrumented systems, as defined in IEC 61511.</w:t>
            </w:r>
          </w:p>
        </w:tc>
      </w:tr>
      <w:tr>
        <w:tc>
          <w:tcPr>
            <w:tcW w:type="dxa" w:w="4888"/>
          </w:tcPr>
          <w:p>
            <w:pPr>
              <w:pStyle w:val="TableContents"/>
              <w:spacing w:before="0" w:after="0" w:line="240" w:lineRule="atLeast"/>
            </w:pPr>
            <w:r>
              <w:rPr>
                <w:rFonts w:ascii="Arial" w:hAnsi="Arial" w:cs="Arial" w:eastAsia="Arial"/>
                <w:sz w:val="16"/>
                <w:szCs w:val="16"/>
              </w:rPr>
              <w:t>SIS</w:t>
            </w:r>
          </w:p>
        </w:tc>
        <w:tc>
          <w:tcPr>
            <w:tcW w:type="dxa" w:w="4889"/>
          </w:tcPr>
          <w:p>
            <w:pPr>
              <w:pStyle w:val="TableContents"/>
              <w:spacing w:before="0" w:after="0" w:line="240" w:lineRule="atLeast"/>
            </w:pPr>
            <w:r>
              <w:rPr>
                <w:rFonts w:ascii="Arial" w:hAnsi="Arial" w:cs="Arial" w:eastAsia="Arial"/>
                <w:sz w:val="16"/>
                <w:szCs w:val="16"/>
              </w:rPr>
              <w:t>Safety Instrumented System - an instrumented system used to implement one or more safety instrumented functions, composed of any combination of sensors, logic solvers, and final elements.</w:t>
            </w:r>
          </w:p>
        </w:tc>
      </w:tr>
      <w:tr>
        <w:tc>
          <w:tcPr>
            <w:tcW w:type="dxa" w:w="4888"/>
          </w:tcPr>
          <w:p>
            <w:pPr>
              <w:pStyle w:val="TableContents"/>
              <w:spacing w:before="0" w:after="0" w:line="240" w:lineRule="atLeast"/>
            </w:pPr>
            <w:r>
              <w:rPr>
                <w:rFonts w:ascii="Arial" w:hAnsi="Arial" w:cs="Arial" w:eastAsia="Arial"/>
                <w:sz w:val="16"/>
                <w:szCs w:val="16"/>
              </w:rPr>
              <w:t>SIF</w:t>
            </w:r>
          </w:p>
        </w:tc>
        <w:tc>
          <w:tcPr>
            <w:tcW w:type="dxa" w:w="4889"/>
          </w:tcPr>
          <w:p>
            <w:pPr>
              <w:pStyle w:val="TableContents"/>
              <w:spacing w:before="0" w:after="0" w:line="240" w:lineRule="atLeast"/>
            </w:pPr>
            <w:r>
              <w:rPr>
                <w:rFonts w:ascii="Arial" w:hAnsi="Arial" w:cs="Arial" w:eastAsia="Arial"/>
                <w:sz w:val="16"/>
                <w:szCs w:val="16"/>
              </w:rPr>
              <w:t>Safety Instrumented Function - a safety function with a specified safety integrity level that is implemented by a safety instrumented system and is intended to achieve or maintain a safe state of the process with respect to a specific hazardous event.</w:t>
            </w:r>
          </w:p>
        </w:tc>
      </w:tr>
      <w:tr>
        <w:tc>
          <w:tcPr>
            <w:tcW w:type="dxa" w:w="4888"/>
          </w:tcPr>
          <w:p>
            <w:pPr>
              <w:pStyle w:val="TableContents"/>
              <w:spacing w:before="0" w:after="0" w:line="240" w:lineRule="atLeast"/>
            </w:pPr>
            <w:r>
              <w:rPr>
                <w:rFonts w:ascii="Arial" w:hAnsi="Arial" w:cs="Arial" w:eastAsia="Arial"/>
                <w:sz w:val="16"/>
                <w:szCs w:val="16"/>
              </w:rPr>
              <w:t>SRS</w:t>
            </w:r>
          </w:p>
        </w:tc>
        <w:tc>
          <w:tcPr>
            <w:tcW w:type="dxa" w:w="4889"/>
          </w:tcPr>
          <w:p>
            <w:pPr>
              <w:pStyle w:val="TableContents"/>
              <w:spacing w:before="0" w:after="0" w:line="240" w:lineRule="atLeast"/>
            </w:pPr>
            <w:r>
              <w:rPr>
                <w:rFonts w:ascii="Arial" w:hAnsi="Arial" w:cs="Arial" w:eastAsia="Arial"/>
                <w:sz w:val="16"/>
                <w:szCs w:val="16"/>
              </w:rPr>
              <w:t>Safety Requirements Specification - a document that specifies the requirements for a safety instrumented system, including the required safety integrity level, process conditions, and functional requirements for each safety instrumented function.</w:t>
            </w:r>
          </w:p>
        </w:tc>
      </w:tr>
      <w:tr>
        <w:tc>
          <w:tcPr>
            <w:tcW w:type="dxa" w:w="4888"/>
          </w:tcPr>
          <w:p>
            <w:pPr>
              <w:pStyle w:val="TableContents"/>
              <w:spacing w:before="0" w:after="0" w:line="240" w:lineRule="atLeast"/>
            </w:pPr>
            <w:r>
              <w:rPr>
                <w:rFonts w:ascii="Arial" w:hAnsi="Arial" w:cs="Arial" w:eastAsia="Arial"/>
                <w:sz w:val="16"/>
                <w:szCs w:val="16"/>
              </w:rPr>
              <w:t>LOPA</w:t>
            </w:r>
          </w:p>
        </w:tc>
        <w:tc>
          <w:tcPr>
            <w:tcW w:type="dxa" w:w="4889"/>
          </w:tcPr>
          <w:p>
            <w:pPr>
              <w:pStyle w:val="TableContents"/>
              <w:spacing w:before="0" w:after="0" w:line="240" w:lineRule="atLeast"/>
            </w:pPr>
            <w:r>
              <w:rPr>
                <w:rFonts w:ascii="Arial" w:hAnsi="Arial" w:cs="Arial" w:eastAsia="Arial"/>
                <w:sz w:val="16"/>
                <w:szCs w:val="16"/>
              </w:rPr>
              <w:t>Layer of Protection Analysis - a semi-quantitative risk assessment method used to determine whether sufficient independent layers of protection exist to reduce risk to a tolerable level, and to establish SIL targets for safety instrumented functions.</w:t>
            </w:r>
          </w:p>
        </w:tc>
      </w:tr>
      <w:tr>
        <w:tc>
          <w:tcPr>
            <w:tcW w:type="dxa" w:w="4888"/>
          </w:tcPr>
          <w:p>
            <w:pPr>
              <w:pStyle w:val="TableContents"/>
              <w:spacing w:before="0" w:after="0" w:line="240" w:lineRule="atLeast"/>
            </w:pPr>
            <w:r>
              <w:rPr>
                <w:rFonts w:ascii="Arial" w:hAnsi="Arial" w:cs="Arial" w:eastAsia="Arial"/>
                <w:sz w:val="16"/>
                <w:szCs w:val="16"/>
              </w:rPr>
              <w:t>PFD</w:t>
            </w:r>
          </w:p>
        </w:tc>
        <w:tc>
          <w:tcPr>
            <w:tcW w:type="dxa" w:w="4889"/>
          </w:tcPr>
          <w:p>
            <w:pPr>
              <w:pStyle w:val="TableContents"/>
              <w:spacing w:before="0" w:after="0" w:line="240" w:lineRule="atLeast"/>
            </w:pPr>
            <w:r>
              <w:rPr>
                <w:rFonts w:ascii="Arial" w:hAnsi="Arial" w:cs="Arial" w:eastAsia="Arial"/>
                <w:sz w:val="16"/>
                <w:szCs w:val="16"/>
              </w:rPr>
              <w:t>Probability of Failure on Demand - a measure of the likelihood that a safety instrumented function will fail to respond correctly when a demand is placed upon it, used to verify that a required SIL is achieved.</w:t>
            </w:r>
          </w:p>
        </w:tc>
      </w:tr>
      <w:tr>
        <w:tc>
          <w:tcPr>
            <w:tcW w:type="dxa" w:w="4888"/>
          </w:tcPr>
          <w:p>
            <w:pPr>
              <w:pStyle w:val="TableContents"/>
              <w:spacing w:before="0" w:after="0" w:line="240" w:lineRule="atLeast"/>
            </w:pPr>
            <w:r>
              <w:rPr>
                <w:rFonts w:ascii="Arial" w:hAnsi="Arial" w:cs="Arial" w:eastAsia="Arial"/>
                <w:sz w:val="16"/>
                <w:szCs w:val="16"/>
              </w:rPr>
              <w:t>PFDavg</w:t>
            </w:r>
          </w:p>
        </w:tc>
        <w:tc>
          <w:tcPr>
            <w:tcW w:type="dxa" w:w="4889"/>
          </w:tcPr>
          <w:p>
            <w:pPr>
              <w:pStyle w:val="TableContents"/>
              <w:spacing w:before="0" w:after="0" w:line="240" w:lineRule="atLeast"/>
            </w:pPr>
            <w:r>
              <w:rPr>
                <w:rFonts w:ascii="Arial" w:hAnsi="Arial" w:cs="Arial" w:eastAsia="Arial"/>
                <w:sz w:val="16"/>
                <w:szCs w:val="16"/>
              </w:rPr>
              <w:t>Average Probability of Failure on Demand - the average value of the probability of failure on demand over a proof test interval, used as the primary metric for SIL verification in low demand mode of operation.</w:t>
            </w:r>
          </w:p>
        </w:tc>
      </w:tr>
      <w:tr>
        <w:tc>
          <w:tcPr>
            <w:tcW w:type="dxa" w:w="4888"/>
          </w:tcPr>
          <w:p>
            <w:pPr>
              <w:pStyle w:val="TableContents"/>
              <w:spacing w:before="0" w:after="0" w:line="240" w:lineRule="atLeast"/>
            </w:pPr>
            <w:r>
              <w:rPr>
                <w:rFonts w:ascii="Arial" w:hAnsi="Arial" w:cs="Arial" w:eastAsia="Arial"/>
                <w:sz w:val="16"/>
                <w:szCs w:val="16"/>
              </w:rPr>
              <w:t>HAZOP</w:t>
            </w:r>
          </w:p>
        </w:tc>
        <w:tc>
          <w:tcPr>
            <w:tcW w:type="dxa" w:w="4889"/>
          </w:tcPr>
          <w:p>
            <w:pPr>
              <w:pStyle w:val="TableContents"/>
              <w:spacing w:before="0" w:after="0" w:line="240" w:lineRule="atLeast"/>
            </w:pPr>
            <w:r>
              <w:rPr>
                <w:rFonts w:ascii="Arial" w:hAnsi="Arial" w:cs="Arial" w:eastAsia="Arial"/>
                <w:sz w:val="16"/>
                <w:szCs w:val="16"/>
              </w:rPr>
              <w:t>Hazard and Operability Study - a structured and systematic examination of a planned or existing process or operation in order to identify and evaluate problems that may represent risks to personnel or equipment.</w:t>
            </w:r>
          </w:p>
        </w:tc>
      </w:tr>
      <w:tr>
        <w:tc>
          <w:tcPr>
            <w:tcW w:type="dxa" w:w="4888"/>
          </w:tcPr>
          <w:p>
            <w:pPr>
              <w:pStyle w:val="TableContents"/>
              <w:spacing w:before="0" w:after="0" w:line="240" w:lineRule="atLeast"/>
            </w:pPr>
            <w:r>
              <w:rPr>
                <w:rFonts w:ascii="Arial" w:hAnsi="Arial" w:cs="Arial" w:eastAsia="Arial"/>
                <w:sz w:val="16"/>
                <w:szCs w:val="16"/>
              </w:rPr>
              <w:t>IPL</w:t>
            </w:r>
          </w:p>
        </w:tc>
        <w:tc>
          <w:tcPr>
            <w:tcW w:type="dxa" w:w="4889"/>
          </w:tcPr>
          <w:p>
            <w:pPr>
              <w:pStyle w:val="TableContents"/>
              <w:spacing w:before="0" w:after="0" w:line="240" w:lineRule="atLeast"/>
            </w:pPr>
            <w:r>
              <w:rPr>
                <w:rFonts w:ascii="Arial" w:hAnsi="Arial" w:cs="Arial" w:eastAsia="Arial"/>
                <w:sz w:val="16"/>
                <w:szCs w:val="16"/>
              </w:rPr>
              <w:t>Independent Protection Layer - a device, system, or action that is capable of preventing a scenario from proceeding to an undesired consequence, independent of the initiating event or the action of any other protection layer.</w:t>
            </w:r>
          </w:p>
        </w:tc>
      </w:tr>
      <w:tr>
        <w:tc>
          <w:tcPr>
            <w:tcW w:type="dxa" w:w="4888"/>
          </w:tcPr>
          <w:p>
            <w:pPr>
              <w:pStyle w:val="TableContents"/>
              <w:spacing w:before="0" w:after="0" w:line="240" w:lineRule="atLeast"/>
            </w:pPr>
            <w:r>
              <w:rPr>
                <w:rFonts w:ascii="Arial" w:hAnsi="Arial" w:cs="Arial" w:eastAsia="Arial"/>
                <w:sz w:val="16"/>
                <w:szCs w:val="16"/>
              </w:rPr>
              <w:t>FAT</w:t>
            </w:r>
          </w:p>
        </w:tc>
        <w:tc>
          <w:tcPr>
            <w:tcW w:type="dxa" w:w="4889"/>
          </w:tcPr>
          <w:p>
            <w:pPr>
              <w:pStyle w:val="TableContents"/>
              <w:spacing w:before="0" w:after="0" w:line="240" w:lineRule="atLeast"/>
            </w:pPr>
            <w:r>
              <w:rPr>
                <w:rFonts w:ascii="Arial" w:hAnsi="Arial" w:cs="Arial" w:eastAsia="Arial"/>
                <w:sz w:val="16"/>
                <w:szCs w:val="16"/>
              </w:rPr>
              <w:t>Factory Acceptance Test - a testing phase conducted at the manufacturer's facility to verify that a safety instrumented system or component meets specified design and functional requirements prior to delivery to site.</w:t>
            </w:r>
          </w:p>
        </w:tc>
      </w:tr>
      <w:tr>
        <w:tc>
          <w:tcPr>
            <w:tcW w:type="dxa" w:w="4888"/>
          </w:tcPr>
          <w:p>
            <w:pPr>
              <w:pStyle w:val="TableContents"/>
              <w:spacing w:before="0" w:after="0" w:line="240" w:lineRule="atLeast"/>
            </w:pPr>
            <w:r>
              <w:rPr>
                <w:rFonts w:ascii="Arial" w:hAnsi="Arial" w:cs="Arial" w:eastAsia="Arial"/>
                <w:sz w:val="16"/>
                <w:szCs w:val="16"/>
              </w:rPr>
              <w:t>SAT</w:t>
            </w:r>
          </w:p>
        </w:tc>
        <w:tc>
          <w:tcPr>
            <w:tcW w:type="dxa" w:w="4889"/>
          </w:tcPr>
          <w:p>
            <w:pPr>
              <w:pStyle w:val="TableContents"/>
              <w:spacing w:before="0" w:after="0" w:line="240" w:lineRule="atLeast"/>
            </w:pPr>
            <w:r>
              <w:rPr>
                <w:rFonts w:ascii="Arial" w:hAnsi="Arial" w:cs="Arial" w:eastAsia="Arial"/>
                <w:sz w:val="16"/>
                <w:szCs w:val="16"/>
              </w:rPr>
              <w:t>Site Acceptance Test - a testing phase conducted at the installation site to verify that a safety instrumented system has been correctly installed, configured, and functions in accordance with the safety requirements specification.</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 xml:space="preserve">Permit to Work - a formal documented system used to control non-routine work activities, including the testing and maintenance of safety instrumented systems, as governed by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 xml:space="preserve">Management of Change - a systematic process for reviewing, approving, and documenting proposed changes to equipment, processes, procedures, or organisational structures that may affect safety, as governed by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BPCS</w:t>
            </w:r>
          </w:p>
        </w:tc>
        <w:tc>
          <w:tcPr>
            <w:tcW w:type="dxa" w:w="4889"/>
          </w:tcPr>
          <w:p>
            <w:pPr>
              <w:pStyle w:val="TableContents"/>
              <w:spacing w:before="0" w:after="0" w:line="240" w:lineRule="atLeast"/>
            </w:pPr>
            <w:r>
              <w:rPr>
                <w:rFonts w:ascii="Arial" w:hAnsi="Arial" w:cs="Arial" w:eastAsia="Arial"/>
                <w:sz w:val="16"/>
                <w:szCs w:val="16"/>
              </w:rPr>
              <w:t>Basic Process Control System - a system that responds to input signals from the process and its associated equipment and generates output signals causing the process and its associated equipment to operate in the desired manner.</w:t>
            </w:r>
          </w:p>
        </w:tc>
      </w:tr>
      <w:tr>
        <w:tc>
          <w:tcPr>
            <w:tcW w:type="dxa" w:w="4888"/>
          </w:tcPr>
          <w:p>
            <w:pPr>
              <w:pStyle w:val="TableContents"/>
              <w:spacing w:before="0" w:after="0" w:line="240" w:lineRule="atLeast"/>
            </w:pPr>
            <w:r>
              <w:rPr>
                <w:rFonts w:ascii="Arial" w:hAnsi="Arial" w:cs="Arial" w:eastAsia="Arial"/>
                <w:sz w:val="16"/>
                <w:szCs w:val="16"/>
              </w:rPr>
              <w:t>ESD</w:t>
            </w:r>
          </w:p>
        </w:tc>
        <w:tc>
          <w:tcPr>
            <w:tcW w:type="dxa" w:w="4889"/>
          </w:tcPr>
          <w:p>
            <w:pPr>
              <w:pStyle w:val="TableContents"/>
              <w:spacing w:before="0" w:after="0" w:line="240" w:lineRule="atLeast"/>
            </w:pPr>
            <w:r>
              <w:rPr>
                <w:rFonts w:ascii="Arial" w:hAnsi="Arial" w:cs="Arial" w:eastAsia="Arial"/>
                <w:sz w:val="16"/>
                <w:szCs w:val="16"/>
              </w:rPr>
              <w:t>Emergency Shutdown - a safety instrumented function or system designed to bring a process to a safe state upon detection of a hazardous condition, typically implemented as a discrete SIF within a SIS.</w:t>
            </w:r>
          </w:p>
        </w:tc>
      </w:tr>
      <w:tr>
        <w:tc>
          <w:tcPr>
            <w:tcW w:type="dxa" w:w="4888"/>
          </w:tcPr>
          <w:p>
            <w:pPr>
              <w:pStyle w:val="TableContents"/>
              <w:spacing w:before="0" w:after="0" w:line="240" w:lineRule="atLeast"/>
            </w:pPr>
            <w:r>
              <w:rPr>
                <w:rFonts w:ascii="Arial" w:hAnsi="Arial" w:cs="Arial" w:eastAsia="Arial"/>
                <w:sz w:val="16"/>
                <w:szCs w:val="16"/>
              </w:rPr>
              <w:t>HIPPS</w:t>
            </w:r>
          </w:p>
        </w:tc>
        <w:tc>
          <w:tcPr>
            <w:tcW w:type="dxa" w:w="4889"/>
          </w:tcPr>
          <w:p>
            <w:pPr>
              <w:pStyle w:val="TableContents"/>
              <w:spacing w:before="0" w:after="0" w:line="240" w:lineRule="atLeast"/>
            </w:pPr>
            <w:r>
              <w:rPr>
                <w:rFonts w:ascii="Arial" w:hAnsi="Arial" w:cs="Arial" w:eastAsia="Arial"/>
                <w:sz w:val="16"/>
                <w:szCs w:val="16"/>
              </w:rPr>
              <w:t>High Integrity Pressure Protection System - a type of safety instrumented system designed to prevent overpressure of a vessel or pipeline by isolating the pressure source, replacing or supplementing traditional pressure relief devices.</w:t>
            </w:r>
          </w:p>
        </w:tc>
      </w:tr>
      <w:tr>
        <w:tc>
          <w:tcPr>
            <w:tcW w:type="dxa" w:w="4888"/>
          </w:tcPr>
          <w:p>
            <w:pPr>
              <w:pStyle w:val="TableContents"/>
              <w:spacing w:before="0" w:after="0" w:line="240" w:lineRule="atLeast"/>
            </w:pPr>
            <w:r>
              <w:rPr>
                <w:rFonts w:ascii="Arial" w:hAnsi="Arial" w:cs="Arial" w:eastAsia="Arial"/>
                <w:sz w:val="16"/>
                <w:szCs w:val="16"/>
              </w:rPr>
              <w:t>FSE</w:t>
            </w:r>
          </w:p>
        </w:tc>
        <w:tc>
          <w:tcPr>
            <w:tcW w:type="dxa" w:w="4889"/>
          </w:tcPr>
          <w:p>
            <w:pPr>
              <w:pStyle w:val="TableContents"/>
              <w:spacing w:before="0" w:after="0" w:line="240" w:lineRule="atLeast"/>
            </w:pPr>
            <w:r>
              <w:rPr>
                <w:rFonts w:ascii="Arial" w:hAnsi="Arial" w:cs="Arial" w:eastAsia="Arial"/>
                <w:sz w:val="16"/>
                <w:szCs w:val="16"/>
              </w:rPr>
              <w:t>Functional Safety Engineer - a competent person responsible for the engineering, assessment, and verification of safety instrumented systems and safety instrumented functions in accordance with IEC 61511 and project requirements.</w:t>
            </w:r>
          </w:p>
        </w:tc>
      </w:tr>
      <w:tr>
        <w:tc>
          <w:tcPr>
            <w:tcW w:type="dxa" w:w="4888"/>
          </w:tcPr>
          <w:p>
            <w:pPr>
              <w:pStyle w:val="TableContents"/>
              <w:spacing w:before="0" w:after="0" w:line="240" w:lineRule="atLeast"/>
            </w:pPr>
            <w:r>
              <w:rPr>
                <w:rFonts w:ascii="Arial" w:hAnsi="Arial" w:cs="Arial" w:eastAsia="Arial"/>
                <w:sz w:val="16"/>
                <w:szCs w:val="16"/>
              </w:rPr>
              <w:t>FSA</w:t>
            </w:r>
          </w:p>
        </w:tc>
        <w:tc>
          <w:tcPr>
            <w:tcW w:type="dxa" w:w="4889"/>
          </w:tcPr>
          <w:p>
            <w:pPr>
              <w:pStyle w:val="TableContents"/>
              <w:spacing w:before="0" w:after="0" w:line="240" w:lineRule="atLeast"/>
            </w:pPr>
            <w:r>
              <w:rPr>
                <w:rFonts w:ascii="Arial" w:hAnsi="Arial" w:cs="Arial" w:eastAsia="Arial"/>
                <w:sz w:val="16"/>
                <w:szCs w:val="16"/>
              </w:rPr>
              <w:t>Functional Safety Assessment - a structured investigation to judge the functional safety achieved by one or more protective systems, conducted at defined phases of the safety lifecycle to confirm compliance with requirements.</w:t>
            </w:r>
          </w:p>
        </w:tc>
      </w:tr>
      <w:tr>
        <w:tc>
          <w:tcPr>
            <w:tcW w:type="dxa" w:w="4888"/>
          </w:tcPr>
          <w:p>
            <w:pPr>
              <w:pStyle w:val="TableContents"/>
              <w:spacing w:before="0" w:after="0" w:line="240" w:lineRule="atLeast"/>
            </w:pPr>
            <w:r>
              <w:rPr>
                <w:rFonts w:ascii="Arial" w:hAnsi="Arial" w:cs="Arial" w:eastAsia="Arial"/>
                <w:sz w:val="16"/>
                <w:szCs w:val="16"/>
              </w:rPr>
              <w:t>MTTR</w:t>
            </w:r>
          </w:p>
        </w:tc>
        <w:tc>
          <w:tcPr>
            <w:tcW w:type="dxa" w:w="4889"/>
          </w:tcPr>
          <w:p>
            <w:pPr>
              <w:pStyle w:val="TableContents"/>
              <w:spacing w:before="0" w:after="0" w:line="240" w:lineRule="atLeast"/>
            </w:pPr>
            <w:r>
              <w:rPr>
                <w:rFonts w:ascii="Arial" w:hAnsi="Arial" w:cs="Arial" w:eastAsia="Arial"/>
                <w:sz w:val="16"/>
                <w:szCs w:val="16"/>
              </w:rPr>
              <w:t>Mean Time To Repair - the average time required to restore a failed safety instrumented system component to an operational state, used in reliability and availability calculations for SIL verification.</w:t>
            </w:r>
          </w:p>
        </w:tc>
      </w:tr>
      <w:tr>
        <w:tc>
          <w:tcPr>
            <w:tcW w:type="dxa" w:w="4888"/>
          </w:tcPr>
          <w:p>
            <w:pPr>
              <w:pStyle w:val="TableContents"/>
              <w:spacing w:before="0" w:after="0" w:line="240" w:lineRule="atLeast"/>
            </w:pPr>
            <w:r>
              <w:rPr>
                <w:rFonts w:ascii="Arial" w:hAnsi="Arial" w:cs="Arial" w:eastAsia="Arial"/>
                <w:sz w:val="16"/>
                <w:szCs w:val="16"/>
              </w:rPr>
              <w:t>MTTF</w:t>
            </w:r>
          </w:p>
        </w:tc>
        <w:tc>
          <w:tcPr>
            <w:tcW w:type="dxa" w:w="4889"/>
          </w:tcPr>
          <w:p>
            <w:pPr>
              <w:pStyle w:val="TableContents"/>
              <w:spacing w:before="0" w:after="0" w:line="240" w:lineRule="atLeast"/>
            </w:pPr>
            <w:r>
              <w:rPr>
                <w:rFonts w:ascii="Arial" w:hAnsi="Arial" w:cs="Arial" w:eastAsia="Arial"/>
                <w:sz w:val="16"/>
                <w:szCs w:val="16"/>
              </w:rPr>
              <w:t>Mean Time To Failure - the average time a safety instrumented system component operates before failing, used in quantitative reliability assessments to verify that SIL targets are achieved.</w:t>
            </w:r>
          </w:p>
        </w:tc>
      </w:tr>
      <w:tr>
        <w:tc>
          <w:tcPr>
            <w:tcW w:type="dxa" w:w="4888"/>
          </w:tcPr>
          <w:p>
            <w:pPr>
              <w:pStyle w:val="TableContents"/>
              <w:spacing w:before="0" w:after="0" w:line="240" w:lineRule="atLeast"/>
            </w:pPr>
            <w:r>
              <w:rPr>
                <w:rFonts w:ascii="Arial" w:hAnsi="Arial" w:cs="Arial" w:eastAsia="Arial"/>
                <w:sz w:val="16"/>
                <w:szCs w:val="16"/>
              </w:rPr>
              <w:t>DC</w:t>
            </w:r>
          </w:p>
        </w:tc>
        <w:tc>
          <w:tcPr>
            <w:tcW w:type="dxa" w:w="4889"/>
          </w:tcPr>
          <w:p>
            <w:pPr>
              <w:pStyle w:val="TableContents"/>
              <w:spacing w:before="0" w:after="0" w:line="240" w:lineRule="atLeast"/>
            </w:pPr>
            <w:r>
              <w:rPr>
                <w:rFonts w:ascii="Arial" w:hAnsi="Arial" w:cs="Arial" w:eastAsia="Arial"/>
                <w:sz w:val="16"/>
                <w:szCs w:val="16"/>
              </w:rPr>
              <w:t>Diagnostic Coverage - the percentage of dangerous failures of a component or subsystem that are detected by automatic diagnostic tests, used in safety integrity level verification calculations.</w:t>
            </w:r>
          </w:p>
        </w:tc>
      </w:tr>
      <w:tr>
        <w:tc>
          <w:tcPr>
            <w:tcW w:type="dxa" w:w="4888"/>
          </w:tcPr>
          <w:p>
            <w:pPr>
              <w:pStyle w:val="TableContents"/>
              <w:spacing w:before="0" w:after="0" w:line="240" w:lineRule="atLeast"/>
            </w:pPr>
            <w:r>
              <w:rPr>
                <w:rFonts w:ascii="Arial" w:hAnsi="Arial" w:cs="Arial" w:eastAsia="Arial"/>
                <w:sz w:val="16"/>
                <w:szCs w:val="16"/>
              </w:rPr>
              <w:t>CCF</w:t>
            </w:r>
          </w:p>
        </w:tc>
        <w:tc>
          <w:tcPr>
            <w:tcW w:type="dxa" w:w="4889"/>
          </w:tcPr>
          <w:p>
            <w:pPr>
              <w:pStyle w:val="TableContents"/>
              <w:spacing w:before="0" w:after="0" w:line="240" w:lineRule="atLeast"/>
            </w:pPr>
            <w:r>
              <w:rPr>
                <w:rFonts w:ascii="Arial" w:hAnsi="Arial" w:cs="Arial" w:eastAsia="Arial"/>
                <w:sz w:val="16"/>
                <w:szCs w:val="16"/>
              </w:rPr>
              <w:t>Common Cause Failure - a failure in which multiple components fail due to the same root cause, which can undermine the independence and redundancy assumed in safety instrumented system designs.</w:t>
            </w:r>
          </w:p>
        </w:tc>
      </w:tr>
      <w:tr>
        <w:tc>
          <w:tcPr>
            <w:tcW w:type="dxa" w:w="4888"/>
          </w:tcPr>
          <w:p>
            <w:pPr>
              <w:pStyle w:val="TableContents"/>
              <w:spacing w:before="0" w:after="0" w:line="240" w:lineRule="atLeast"/>
            </w:pPr>
            <w:r>
              <w:rPr>
                <w:rFonts w:ascii="Arial" w:hAnsi="Arial" w:cs="Arial" w:eastAsia="Arial"/>
                <w:sz w:val="16"/>
                <w:szCs w:val="16"/>
              </w:rPr>
              <w:t>TI</w:t>
            </w:r>
          </w:p>
        </w:tc>
        <w:tc>
          <w:tcPr>
            <w:tcW w:type="dxa" w:w="4889"/>
          </w:tcPr>
          <w:p>
            <w:pPr>
              <w:pStyle w:val="TableContents"/>
              <w:spacing w:before="0" w:after="0" w:line="240" w:lineRule="atLeast"/>
            </w:pPr>
            <w:r>
              <w:rPr>
                <w:rFonts w:ascii="Arial" w:hAnsi="Arial" w:cs="Arial" w:eastAsia="Arial"/>
                <w:sz w:val="16"/>
                <w:szCs w:val="16"/>
              </w:rPr>
              <w:t>Test Interval - the maximum period of time between successive proof tests of a safety instrumented function, used in calculating average probability of failure on demand and verifying SIL compliance.</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a risk reduction principle requiring that residual risk be reduced to the lowest level that is reasonably practicable, balancing the cost and effort of further reduction against the benefit gained.</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management framework under which Rio Tinto owner-led project procedures are developed and implemented to ensure integrated management of health, safety, environmental, and community risks.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project owner and custodian of standards, procedures, and risk management frameworks referenced throughout this procedure.</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associated management system governing the identification, assessment, and control of risks to people and the environment.</w:t>
            </w:r>
          </w:p>
        </w:tc>
      </w:tr>
      <w:tr>
        <w:tc>
          <w:tcPr>
            <w:tcW w:type="dxa" w:w="4888"/>
          </w:tcPr>
          <w:p>
            <w:pPr>
              <w:pStyle w:val="TableContents"/>
              <w:spacing w:before="0" w:after="0" w:line="240" w:lineRule="atLeast"/>
            </w:pPr>
            <w:r>
              <w:rPr>
                <w:rFonts w:ascii="Arial" w:hAnsi="Arial" w:cs="Arial" w:eastAsia="Arial"/>
                <w:sz w:val="16"/>
                <w:szCs w:val="16"/>
              </w:rPr>
              <w:t>P&amp;ID</w:t>
            </w:r>
          </w:p>
        </w:tc>
        <w:tc>
          <w:tcPr>
            <w:tcW w:type="dxa" w:w="4889"/>
          </w:tcPr>
          <w:p>
            <w:pPr>
              <w:pStyle w:val="TableContents"/>
              <w:spacing w:before="0" w:after="0" w:line="240" w:lineRule="atLeast"/>
            </w:pPr>
            <w:r>
              <w:rPr>
                <w:rFonts w:ascii="Arial" w:hAnsi="Arial" w:cs="Arial" w:eastAsia="Arial"/>
                <w:sz w:val="16"/>
                <w:szCs w:val="16"/>
              </w:rPr>
              <w:t>Piping and Instrumentation Diagram - an engineering drawing that shows the piping, instrumentation, and control devices associated with a process, used as a key reference document during SIS design and verification.</w:t>
            </w:r>
          </w:p>
        </w:tc>
      </w:tr>
      <w:tr>
        <w:tc>
          <w:tcPr>
            <w:tcW w:type="dxa" w:w="4888"/>
          </w:tcPr>
          <w:p>
            <w:pPr>
              <w:pStyle w:val="TableContents"/>
              <w:spacing w:before="0" w:after="0" w:line="240" w:lineRule="atLeast"/>
            </w:pPr>
            <w:r>
              <w:rPr>
                <w:rFonts w:ascii="Arial" w:hAnsi="Arial" w:cs="Arial" w:eastAsia="Arial"/>
                <w:sz w:val="16"/>
                <w:szCs w:val="16"/>
              </w:rPr>
              <w:t>OEM</w:t>
            </w:r>
          </w:p>
        </w:tc>
        <w:tc>
          <w:tcPr>
            <w:tcW w:type="dxa" w:w="4889"/>
          </w:tcPr>
          <w:p>
            <w:pPr>
              <w:pStyle w:val="TableContents"/>
              <w:spacing w:before="0" w:after="0" w:line="240" w:lineRule="atLeast"/>
            </w:pPr>
            <w:r>
              <w:rPr>
                <w:rFonts w:ascii="Arial" w:hAnsi="Arial" w:cs="Arial" w:eastAsia="Arial"/>
                <w:sz w:val="16"/>
                <w:szCs w:val="16"/>
              </w:rPr>
              <w:t>Original Equipment Manufacturer - the manufacturer of a safety instrumented system component or subsystem, whose documentation, certificates, and data are required for SIL verification and maintenance activities.</w:t>
            </w:r>
          </w:p>
        </w:tc>
      </w:tr>
      <w:tr>
        <w:tc>
          <w:tcPr>
            <w:tcW w:type="dxa" w:w="4888"/>
          </w:tcPr>
          <w:p>
            <w:pPr>
              <w:pStyle w:val="TableContents"/>
              <w:spacing w:before="0" w:after="0" w:line="240" w:lineRule="atLeast"/>
            </w:pPr>
            <w:r>
              <w:rPr>
                <w:rFonts w:ascii="Arial" w:hAnsi="Arial" w:cs="Arial" w:eastAsia="Arial"/>
                <w:sz w:val="16"/>
                <w:szCs w:val="16"/>
              </w:rPr>
              <w:t>IEC</w:t>
            </w:r>
          </w:p>
        </w:tc>
        <w:tc>
          <w:tcPr>
            <w:tcW w:type="dxa" w:w="4889"/>
          </w:tcPr>
          <w:p>
            <w:pPr>
              <w:pStyle w:val="TableContents"/>
              <w:spacing w:before="0" w:after="0" w:line="240" w:lineRule="atLeast"/>
            </w:pPr>
            <w:r>
              <w:rPr>
                <w:rFonts w:ascii="Arial" w:hAnsi="Arial" w:cs="Arial" w:eastAsia="Arial"/>
                <w:sz w:val="16"/>
                <w:szCs w:val="16"/>
              </w:rPr>
              <w:t>International Electrotechnical Commission - the international standards body responsible for publishing IEC 61511 and IEC 61508, which form the primary functional safety framework referenced in this procedure.</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 person with demonstrated expertise in a specific technical discipline, such as functional safety, whose input is required during safety lifecycle activities including HAZOP, LOPA, and functional safety assessments.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Requirement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Process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Commissioning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Functional Safety of Safety Instrumented Systems for the Process Industry Sector - Part 1: Framework, Definitions, System, Hardware and Application Programming Requirements</w:t>
            </w:r>
          </w:p>
        </w:tc>
        <w:tc>
          <w:tcPr>
            <w:tcW w:type="dxa" w:w="3259"/>
          </w:tcPr>
          <w:p>
            <w:pPr>
              <w:pStyle w:val="TableContents"/>
              <w:spacing w:before="0" w:after="0" w:line="240" w:lineRule="atLeast"/>
            </w:pPr>
            <w:r>
              <w:rPr>
                <w:rFonts w:ascii="Arial" w:hAnsi="Arial" w:cs="Arial" w:eastAsia="Arial"/>
                <w:sz w:val="16"/>
                <w:szCs w:val="16"/>
              </w:rPr>
              <w:t>IEC 61511-1:2016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Functional Safety of Safety Instrumented Systems for the Process Industry Sector - Part 2: Guidelines for the Application of IEC 61511-1</w:t>
            </w:r>
          </w:p>
        </w:tc>
        <w:tc>
          <w:tcPr>
            <w:tcW w:type="dxa" w:w="3259"/>
          </w:tcPr>
          <w:p>
            <w:pPr>
              <w:pStyle w:val="TableContents"/>
              <w:spacing w:before="0" w:after="0" w:line="240" w:lineRule="atLeast"/>
            </w:pPr>
            <w:r>
              <w:rPr>
                <w:rFonts w:ascii="Arial" w:hAnsi="Arial" w:cs="Arial" w:eastAsia="Arial"/>
                <w:sz w:val="16"/>
                <w:szCs w:val="16"/>
              </w:rPr>
              <w:t>IEC 61511-2:2016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Functional Safety of Safety Instrumented Systems for the Process Industry Sector - Part 3: Guidance for the Determination of the Required Safety Integrity Levels</w:t>
            </w:r>
          </w:p>
        </w:tc>
        <w:tc>
          <w:tcPr>
            <w:tcW w:type="dxa" w:w="3259"/>
          </w:tcPr>
          <w:p>
            <w:pPr>
              <w:pStyle w:val="TableContents"/>
              <w:spacing w:before="0" w:after="0" w:line="240" w:lineRule="atLeast"/>
            </w:pPr>
            <w:r>
              <w:rPr>
                <w:rFonts w:ascii="Arial" w:hAnsi="Arial" w:cs="Arial" w:eastAsia="Arial"/>
                <w:sz w:val="16"/>
                <w:szCs w:val="16"/>
              </w:rPr>
              <w:t>IEC 61511-3:2016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Functional Safety of Electrical/Electronic/Programmable Electronic Safety-Related Systems</w:t>
            </w:r>
          </w:p>
        </w:tc>
        <w:tc>
          <w:tcPr>
            <w:tcW w:type="dxa" w:w="3259"/>
          </w:tcPr>
          <w:p>
            <w:pPr>
              <w:pStyle w:val="TableContents"/>
              <w:spacing w:before="0" w:after="0" w:line="240" w:lineRule="atLeast"/>
            </w:pPr>
            <w:r>
              <w:rPr>
                <w:rFonts w:ascii="Arial" w:hAnsi="Arial" w:cs="Arial" w:eastAsia="Arial"/>
                <w:sz w:val="16"/>
                <w:szCs w:val="16"/>
              </w:rPr>
              <w:t>IEC 61508:2010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Layer of Protection Analysis - Simplified Process Risk Assessment</w:t>
            </w:r>
          </w:p>
        </w:tc>
        <w:tc>
          <w:tcPr>
            <w:tcW w:type="dxa" w:w="3259"/>
          </w:tcPr>
          <w:p>
            <w:pPr>
              <w:pStyle w:val="TableContents"/>
              <w:spacing w:before="0" w:after="0" w:line="240" w:lineRule="atLeast"/>
            </w:pPr>
            <w:r>
              <w:rPr>
                <w:rFonts w:ascii="Arial" w:hAnsi="Arial" w:cs="Arial" w:eastAsia="Arial"/>
                <w:sz w:val="16"/>
                <w:szCs w:val="16"/>
              </w:rPr>
              <w:t>CCPS LOPA Guideline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Process Safety Standard and Functional Safety Standard</w:t>
            </w:r>
          </w:p>
        </w:tc>
        <w:tc>
          <w:tcPr>
            <w:tcW w:type="dxa" w:w="2256"/>
          </w:tcPr>
          <w:p>
            <w:pPr>
              <w:pStyle w:val="TableContents"/>
              <w:spacing w:before="0" w:after="0" w:line="240" w:lineRule="atLeast"/>
            </w:pPr>
            <w:r>
              <w:rPr>
                <w:rFonts w:ascii="Arial" w:hAnsi="Arial" w:cs="Arial" w:eastAsia="Arial"/>
                <w:sz w:val="16"/>
                <w:szCs w:val="16"/>
              </w:rPr>
              <w:t>Requires functional safety lifecycle management from concept through decommissioning, including SIL determination, Safety Requirements Specifications, FAT/SAT, bypass management, and proof test intervals for all SIS.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§2.8</w:t>
            </w:r>
          </w:p>
        </w:tc>
        <w:tc>
          <w:tcPr>
            <w:tcW w:type="dxa" w:w="2256"/>
          </w:tcPr>
          <w:p>
            <w:pPr>
              <w:pStyle w:val="TableContents"/>
              <w:spacing w:before="0" w:after="0" w:line="240" w:lineRule="atLeast"/>
            </w:pPr>
            <w:r>
              <w:rPr>
                <w:rFonts w:ascii="Arial" w:hAnsi="Arial" w:cs="Arial" w:eastAsia="Arial"/>
                <w:sz w:val="16"/>
                <w:szCs w:val="16"/>
              </w:rPr>
              <w:t>Requires that SIS and safety instrumented functions are designed by competent personnel with documented design basis retained for the life of the system, and that adequate ventilation and confined space management practices are maintained.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§26</w:t>
            </w:r>
          </w:p>
        </w:tc>
        <w:tc>
          <w:tcPr>
            <w:tcW w:type="dxa" w:w="2256"/>
          </w:tcPr>
          <w:p>
            <w:pPr>
              <w:pStyle w:val="TableContents"/>
              <w:spacing w:before="0" w:after="0" w:line="240" w:lineRule="atLeast"/>
            </w:pPr>
            <w:r>
              <w:rPr>
                <w:rFonts w:ascii="Arial" w:hAnsi="Arial" w:cs="Arial" w:eastAsia="Arial"/>
                <w:sz w:val="16"/>
                <w:szCs w:val="16"/>
              </w:rPr>
              <w:t>Requires that any bypass of a critical control is captured in the project action tracking system and reported to the project owner as part of monthly HSESC reporting.</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