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Water Quality Protection and Water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Water Quality Protection and Water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protecting water quality and managing water resources across all project activities including withdrawal, diversion, storage, use, treatment, and discharge of water. It applies to all project lifecycle phases from construction through closure.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water quality protection and water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water management domains within scope, and the lifecycle phases to which it applies from Execution through to Closure.</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water quality protection and water management across the project.</w:t>
      </w:r>
    </w:p>
    <w:p>
      <w:pPr>
        <w:pStyle w:val="NormalNumberedtext"/>
      </w:pPr>
      <w:r>
        <w:t>This procedure meets the following purpose requirements:</w:t>
      </w:r>
    </w:p>
    <w:p>
      <w:pPr>
        <w:pStyle w:val="NormalNumberedtext"/>
      </w:pPr>
      <w:r>
        <w:t>This procedure governs the following water management domains for the project:</w:t>
      </w:r>
    </w:p>
    <w:p>
      <w:pPr>
        <w:pStyle w:val="NumberedBulletL1"/>
      </w:pPr>
      <w:r>
        <w:t>Water quality monitoring requirements, including baseline characterisation, ongoing monitoring, and reporting.</w:t>
      </w:r>
    </w:p>
    <w:p>
      <w:pPr>
        <w:pStyle w:val="NumberedBulletL1"/>
      </w:pPr>
      <w:r>
        <w:t>Water abstraction controls, including source prioritisation, environmental flow protection, and volume tracking.</w:t>
      </w:r>
    </w:p>
    <w:p>
      <w:pPr>
        <w:pStyle w:val="NumberedBulletL1"/>
      </w:pPr>
      <w:r>
        <w:t>Stormwater and dirty/clean water separation requirements, including diversion drain design and sediment control.</w:t>
      </w:r>
    </w:p>
    <w:p>
      <w:pPr>
        <w:pStyle w:val="NumberedBulletL1"/>
      </w:pPr>
      <w:r>
        <w:t>Discharge limits and treatment requirements, including site-specific performance criteria and escalation actions.</w:t>
      </w:r>
    </w:p>
    <w:p>
      <w:pPr>
        <w:pStyle w:val="NumberedBulletL1"/>
      </w:pPr>
      <w:r>
        <w:t>Flooding risk assessment requirements, including floodplain characterisation under current and future climate conditions.</w:t>
      </w:r>
    </w:p>
    <w:p>
      <w:pPr>
        <w:pStyle w:val="NumberedBulletL1"/>
      </w:pPr>
      <w:r>
        <w:t>Water closure planning requirements, including minimisation of legacy water management obligations post-closure.</w:t>
      </w:r>
    </w:p>
    <w:p>
      <w:pPr>
        <w:pStyle w:val="NormalNumberedtext"/>
      </w:pPr>
      <w:r>
        <w:t>This procedure operationalises the Rio Tinto Environment and Nature Water Management Standard and applicable international benchmarks into a documented, project-specific process. It connects to risk assessment requirements in [INSERT: Project Document Number], legal licence obligations in [INSERT: Project Document Number], and the broader environmental monitoring programme in [INSERT: Project Document Number].</w:t>
      </w:r>
    </w:p>
    <w:p>
      <w:pPr>
        <w:pStyle w:val="NormalNumberedtext"/>
      </w:pPr>
      <w:r>
        <w:t>All environmental approvals, permits, authorisations, and notifications required for water management activities must be obtained prior to commencing on-site activities. No work may commence in any area until all required approvals are confirmed in writing.</w:t>
      </w:r>
    </w:p>
    <w:p>
      <w:pPr>
        <w:pStyle w:val="NormalNumberedtext"/>
      </w:pPr>
      <w:r>
        <w:rPr>
          <w:b/>
          <w:bCs/>
          <w:color w:val="0059D1"/>
        </w:rPr>
        <w:t>[INSERT: approval_register_reference] — Insert the reference to the project environmental approvals register or permit schedule confirming all water-related approvals are in place before mobilisation. [APPC – Appendix C, C-4 §84.0.2.1]</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the lifecycle phases, project activities, and water bodies to which this procedure applies.</w:t>
      </w:r>
    </w:p>
    <w:p>
      <w:pPr>
        <w:pStyle w:val="NormalNumberedtext"/>
      </w:pPr>
      <w:r>
        <w:t>This procedure applies the following scope requirements:</w:t>
      </w:r>
    </w:p>
    <w:p>
      <w:pPr>
        <w:pStyle w:val="NormalNumberedtext"/>
      </w:pPr>
      <w:r>
        <w:t>The scope of this procedure covers the following:</w:t>
      </w:r>
    </w:p>
    <w:p>
      <w:pPr>
        <w:pStyle w:val="NumberedBulletL1"/>
      </w:pPr>
      <w:r>
        <w:t>All project activities from the pre-disturbance baseline phase through to construction, operations, and closure that have the potential to affect surface water quality, groundwater quality, or water balance conditions.</w:t>
      </w:r>
    </w:p>
    <w:p>
      <w:pPr>
        <w:pStyle w:val="NumberedBulletL1"/>
      </w:pPr>
      <w:r>
        <w:t>All water bodies within the project catchment that may be affected by project activities, including receiving watercourses, wetlands, groundwater aquifers, and off-site water users.</w:t>
      </w:r>
    </w:p>
    <w:p>
      <w:pPr>
        <w:pStyle w:val="NumberedBulletL1"/>
      </w:pPr>
      <w:r>
        <w:t>All project personnel, including Rio Tinto staff and all contractor organisations.</w:t>
      </w:r>
    </w:p>
    <w:p>
      <w:pPr>
        <w:pStyle w:val="NormalNumberedtext"/>
      </w:pPr>
      <w:r>
        <w:t>Water management activities related to chemical spills to water are governed by [INSERT: Project Document Number] and are cross-referenced in this procedure where relevant. Acid rock drainage seepage to water is governed by [INSERT: Project Document Number]. This procedure does not reproduce those requirements.</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water management responsibilities for all project roles, covering the Rio Tinto project team and all contractor organisations.</w:t>
      </w:r>
    </w:p>
    <w:p>
      <w:pPr>
        <w:pStyle w:val="NormalNumberedtext"/>
      </w:pPr>
      <w:r>
        <w:t>Responsibilities for water quality protection and water management are assigned as follows:</w:t>
      </w:r>
    </w:p>
    <w:p>
      <w:pPr>
        <w:pStyle w:val="NormalNumberedtext"/>
      </w:pPr>
      <w:r>
        <w:t>Table 1: Water Management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Accountable for overall compliance with water management obligations, including permit conditions and Rio Tinto Water Management Standard requirements.</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Responsible for implementing and maintaining this procedure, coordinating water quality monitoring, managing exceedance escalation, and reporting to the Project Director.</w:t>
            </w:r>
          </w:p>
        </w:tc>
      </w:tr>
      <w:tr>
        <w:tc>
          <w:tcPr>
            <w:tcW w:type="dxa" w:w="4888"/>
          </w:tcPr>
          <w:p>
            <w:pPr>
              <w:pStyle w:val="TableContents"/>
              <w:spacing w:before="0" w:after="0" w:line="240" w:lineRule="atLeast"/>
            </w:pPr>
            <w:r>
              <w:rPr>
                <w:rFonts w:ascii="Arial" w:hAnsi="Arial" w:cs="Arial" w:eastAsia="Arial"/>
                <w:sz w:val="16"/>
                <w:szCs w:val="16"/>
              </w:rPr>
              <w:t>Environmental Specialist (Qualified)</w:t>
            </w:r>
          </w:p>
        </w:tc>
        <w:tc>
          <w:tcPr>
            <w:tcW w:type="dxa" w:w="4889"/>
          </w:tcPr>
          <w:p>
            <w:pPr>
              <w:pStyle w:val="TableContents"/>
              <w:spacing w:before="0" w:after="0" w:line="240" w:lineRule="atLeast"/>
            </w:pPr>
            <w:r>
              <w:rPr>
                <w:rFonts w:ascii="Arial" w:hAnsi="Arial" w:cs="Arial" w:eastAsia="Arial"/>
                <w:sz w:val="16"/>
                <w:szCs w:val="16"/>
              </w:rPr>
              <w:t>Responsible for establishing site-specific water quality performance criteria, reviewing monitoring data, and advising on treatment requirements and closure planning.</w:t>
            </w:r>
          </w:p>
        </w:tc>
      </w:tr>
      <w:tr>
        <w:tc>
          <w:tcPr>
            <w:tcW w:type="dxa" w:w="4888"/>
          </w:tcPr>
          <w:p>
            <w:pPr>
              <w:pStyle w:val="TableContents"/>
              <w:spacing w:before="0" w:after="0" w:line="240" w:lineRule="atLeast"/>
            </w:pPr>
            <w:r>
              <w:rPr>
                <w:rFonts w:ascii="Arial" w:hAnsi="Arial" w:cs="Arial" w:eastAsia="Arial"/>
                <w:sz w:val="16"/>
                <w:szCs w:val="16"/>
              </w:rPr>
              <w:t>Construction Manager</w:t>
            </w:r>
          </w:p>
        </w:tc>
        <w:tc>
          <w:tcPr>
            <w:tcW w:type="dxa" w:w="4889"/>
          </w:tcPr>
          <w:p>
            <w:pPr>
              <w:pStyle w:val="TableContents"/>
              <w:spacing w:before="0" w:after="0" w:line="240" w:lineRule="atLeast"/>
            </w:pPr>
            <w:r>
              <w:rPr>
                <w:rFonts w:ascii="Arial" w:hAnsi="Arial" w:cs="Arial" w:eastAsia="Arial"/>
                <w:sz w:val="16"/>
                <w:szCs w:val="16"/>
              </w:rPr>
              <w:t>Responsible for ensuring all construction activities comply with stormwater and pollution prevention controls defined in this procedure.</w:t>
            </w:r>
          </w:p>
        </w:tc>
      </w:tr>
      <w:tr>
        <w:tc>
          <w:tcPr>
            <w:tcW w:type="dxa" w:w="4888"/>
          </w:tcPr>
          <w:p>
            <w:pPr>
              <w:pStyle w:val="TableContents"/>
              <w:spacing w:before="0" w:after="0" w:line="240" w:lineRule="atLeast"/>
            </w:pPr>
            <w:r>
              <w:rPr>
                <w:rFonts w:ascii="Arial" w:hAnsi="Arial" w:cs="Arial" w:eastAsia="Arial"/>
                <w:sz w:val="16"/>
                <w:szCs w:val="16"/>
              </w:rPr>
              <w:t>{'insert': True, 'field': 'contractor_water_manager_role'}</w:t>
            </w:r>
          </w:p>
        </w:tc>
        <w:tc>
          <w:tcPr>
            <w:tcW w:type="dxa" w:w="4889"/>
          </w:tcPr>
          <w:p>
            <w:pPr>
              <w:pStyle w:val="TableContents"/>
              <w:spacing w:before="0" w:after="0" w:line="240" w:lineRule="atLeast"/>
            </w:pPr>
            <w:r>
              <w:rPr>
                <w:rFonts w:ascii="Arial" w:hAnsi="Arial" w:cs="Arial" w:eastAsia="Arial"/>
                <w:sz w:val="16"/>
                <w:szCs w:val="16"/>
              </w:rPr>
              <w:t>{'insert': True, 'field': 'contractor_water_manager_responsibility'}</w:t>
            </w:r>
          </w:p>
        </w:tc>
      </w:tr>
      <w:tr>
        <w:tc>
          <w:tcPr>
            <w:tcW w:type="dxa" w:w="4888"/>
          </w:tcPr>
          <w:p>
            <w:pPr>
              <w:pStyle w:val="TableContents"/>
              <w:spacing w:before="0" w:after="0" w:line="240" w:lineRule="atLeast"/>
            </w:pPr>
            <w:r>
              <w:rPr>
                <w:rFonts w:ascii="Arial" w:hAnsi="Arial" w:cs="Arial" w:eastAsia="Arial"/>
                <w:sz w:val="16"/>
                <w:szCs w:val="16"/>
              </w:rPr>
              <w:t>{'insert': True, 'field': 'additional_role'}</w:t>
            </w:r>
          </w:p>
        </w:tc>
        <w:tc>
          <w:tcPr>
            <w:tcW w:type="dxa" w:w="4889"/>
          </w:tcPr>
          <w:p>
            <w:pPr>
              <w:pStyle w:val="TableContents"/>
              <w:spacing w:before="0" w:after="0" w:line="240" w:lineRule="atLeast"/>
            </w:pPr>
            <w:r>
              <w:rPr>
                <w:rFonts w:ascii="Arial" w:hAnsi="Arial" w:cs="Arial" w:eastAsia="Arial"/>
                <w:sz w:val="16"/>
                <w:szCs w:val="16"/>
              </w:rPr>
              <w:t>{'insert': True, 'field': 'additional_responsibility'}</w:t>
            </w:r>
          </w:p>
        </w:tc>
      </w:tr>
    </w:tbl>
    <w:p>
      <w:pPr>
        <w:pStyle w:val="NormalNumberedtext"/>
      </w:pPr>
    </w:p>
    <w:p>
      <w:pPr>
        <w:pStyle w:val="Heading1Numbered"/>
        <w:numPr>
          <w:ilvl w:val="0"/>
          <w:numId w:val="1"/>
        </w:numPr>
      </w:pPr>
      <w:r>
        <w:rPr>
          <w:rFonts w:ascii="Arial" w:hAnsi="Arial" w:cs="Arial" w:eastAsia="Arial"/>
        </w:rPr>
        <w:t>Baseline, Risk Assessment and Planning</w:t>
      </w:r>
    </w:p>
    <w:p>
      <w:pPr>
        <w:pStyle w:val="NormalNumberedtext"/>
      </w:pPr>
      <w:r>
        <w:t>This section defines the baseline characterisation, impact assessment, water balance, and risk assessment requirements that must be completed before any site disturbance commences.</w:t>
      </w:r>
    </w:p>
    <w:p>
      <w:pPr>
        <w:pStyle w:val="NormalNumberedtext"/>
      </w:pPr>
    </w:p>
    <w:p>
      <w:pPr>
        <w:pStyle w:val="Heading2Numbered"/>
        <w:numPr>
          <w:ilvl w:val="1"/>
          <w:numId w:val="1"/>
        </w:numPr>
      </w:pPr>
      <w:r>
        <w:rPr>
          <w:rFonts w:ascii="Arial" w:hAnsi="Arial" w:cs="Arial" w:eastAsia="Arial"/>
        </w:rPr>
        <w:t>Baseline Characterisation</w:t>
      </w:r>
    </w:p>
    <w:p>
      <w:pPr>
        <w:pStyle w:val="NormalNumberedtext"/>
      </w:pPr>
      <w:r>
        <w:t>This section defines the pre-disturbance baseline data requirements for surface water, groundwater, and water balance conditions.</w:t>
      </w:r>
    </w:p>
    <w:p>
      <w:pPr>
        <w:pStyle w:val="NormalNumberedtext"/>
      </w:pPr>
      <w:r>
        <w:t>Baseline characterisation of surface water, groundwater, and water balance conditions is required before any site disturbance commences. This is a pre-disturbance deliverable and is a condition of this procedure. Baseline data provides the reference condition against which all monitoring results, impact assessments, and discharge criteria are evaluated.</w:t>
      </w:r>
    </w:p>
    <w:p>
      <w:pPr>
        <w:pStyle w:val="NormalNumberedtext"/>
      </w:pPr>
      <w:r>
        <w:t>The baseline characterisation programme must address the following as a minimum:</w:t>
      </w:r>
    </w:p>
    <w:p>
      <w:pPr>
        <w:pStyle w:val="NumberedBulletL1"/>
      </w:pPr>
      <w:r>
        <w:t>Surface water quality and hydrology across all watercourses and water bodies within the project catchment, including seasonal variability.</w:t>
      </w:r>
    </w:p>
    <w:p>
      <w:pPr>
        <w:pStyle w:val="NumberedBulletL1"/>
      </w:pPr>
      <w:r>
        <w:t>Groundwater quality, levels, and connectivity with surface water across all relevant aquifers.</w:t>
      </w:r>
    </w:p>
    <w:p>
      <w:pPr>
        <w:pStyle w:val="NumberedBulletL1"/>
      </w:pPr>
      <w:r>
        <w:t>Water balance conditions including natural recharge, discharge, and evapotranspiration rates.</w:t>
      </w:r>
    </w:p>
    <w:p>
      <w:pPr>
        <w:pStyle w:val="NumberedBulletL1"/>
      </w:pPr>
      <w:r>
        <w:t>Identification of all potential sources of water pollution including chemicals, sediment, hazardous materials, and process water, with description of potential pollutant pathways to receiving water bodies, consistent with IFC PS3 §8 and IFC EHS General Guidelines §1.3.</w:t>
      </w:r>
    </w:p>
    <w:p>
      <w:pPr>
        <w:pStyle w:val="NumberedBulletL1"/>
      </w:pPr>
      <w:r>
        <w:t>Description of variability and uncertainty in baseline data, with documentation of assumptions and a precautionary approach applied where data is insufficient.</w:t>
      </w:r>
    </w:p>
    <w:p>
      <w:pPr>
        <w:pStyle w:val="NormalNumberedtext"/>
      </w:pPr>
      <w:r>
        <w:rPr>
          <w:b/>
          <w:bCs/>
          <w:color w:val="0059D1"/>
        </w:rPr>
        <w:t>[INSERT: baseline_water_quality_data] — Insert the project baseline water quality data or reference the approved baseline characterisation report. This must be completed before any disturbance activities commence. State the report title, document number, and date.</w:t>
      </w:r>
    </w:p>
    <w:p>
      <w:pPr>
        <w:pStyle w:val="NormalNumberedtext"/>
      </w:pPr>
      <w:r>
        <w:t>The water quality baseline feeds directly into the site-specific water quality performance criteria defined in Section 5.3 of this procedure. The HSESC Manager confirms the baseline report is reviewed and approved before earthworks commence.</w:t>
      </w:r>
    </w:p>
    <w:p>
      <w:pPr>
        <w:pStyle w:val="NormalNumberedtext"/>
      </w:pPr>
    </w:p>
    <w:p>
      <w:pPr>
        <w:pStyle w:val="Heading2Numbered"/>
        <w:numPr>
          <w:ilvl w:val="1"/>
          <w:numId w:val="1"/>
        </w:numPr>
      </w:pPr>
      <w:r>
        <w:rPr>
          <w:rFonts w:ascii="Arial" w:hAnsi="Arial" w:cs="Arial" w:eastAsia="Arial"/>
        </w:rPr>
        <w:t>Water Management Planning and Impact Assessment</w:t>
      </w:r>
    </w:p>
    <w:p>
      <w:pPr>
        <w:pStyle w:val="NormalNumberedtext"/>
      </w:pPr>
      <w:r>
        <w:t>This section defines the water management planning requirements, including the impact assessment scope and the Water Discharge Management Plan deliverable.</w:t>
      </w:r>
    </w:p>
    <w:p>
      <w:pPr>
        <w:pStyle w:val="NormalNumberedtext"/>
      </w:pPr>
      <w:r>
        <w:t>Water management planning is informed by a comprehensive impact assessment addressing direct, indirect, and cumulative impacts on surface water and groundwater. The impact assessment is conducted in accordance with the risk assessment process defined in [INSERT: Project Document Number] and considers applicable legal requirements identified through [INSERT: Project Document Number].</w:t>
      </w:r>
    </w:p>
    <w:p>
      <w:pPr>
        <w:pStyle w:val="NormalNumberedtext"/>
      </w:pPr>
      <w:r>
        <w:t>The impact assessment addresses the following as a minimum:</w:t>
      </w:r>
    </w:p>
    <w:p>
      <w:pPr>
        <w:pStyle w:val="NumberedBulletL1"/>
      </w:pPr>
      <w:r>
        <w:t>Direct impacts from project water abstraction, dewatering, and discharge on receiving water bodies and other water users in the catchment.</w:t>
      </w:r>
    </w:p>
    <w:p>
      <w:pPr>
        <w:pStyle w:val="NumberedBulletL1"/>
      </w:pPr>
      <w:r>
        <w:t>Indirect impacts from pollutant pathways including sediment runoff, chemical spill, and acid rock drainage seepage to water.</w:t>
      </w:r>
    </w:p>
    <w:p>
      <w:pPr>
        <w:pStyle w:val="NumberedBulletL1"/>
      </w:pPr>
      <w:r>
        <w:t>Cumulative impacts from project activities combined with other known developments or water uses in the catchment.</w:t>
      </w:r>
    </w:p>
    <w:p>
      <w:pPr>
        <w:pStyle w:val="NumberedBulletL1"/>
      </w:pPr>
      <w:r>
        <w:t>Uncertainty in impact predictions, with conservative assumptions applied where data is limited.</w:t>
      </w:r>
    </w:p>
    <w:p>
      <w:pPr>
        <w:pStyle w:val="NormalNumberedtext"/>
      </w:pPr>
      <w:r>
        <w:t>A Water Discharge Management Plan is required as a project deliverable. The plan describes how water will be managed and discharged across the project area, including drainage systems, sediment control structures, and all discharge points. The plan is submitted for Company approval before any discharge activities commence.</w:t>
      </w:r>
    </w:p>
    <w:p>
      <w:pPr>
        <w:pStyle w:val="NormalNumberedtext"/>
      </w:pPr>
      <w:r>
        <w:rPr>
          <w:b/>
          <w:bCs/>
          <w:color w:val="0059D1"/>
        </w:rPr>
        <w:t>[INSERT: water_discharge_management_plan_reference] — Insert the document number, title, and approval status of the project Water Discharge Management Plan. If not yet prepared, state the scheduled preparation date and the responsible role. [APPC – Appendix C, C-4 §92.1.2.7]</w:t>
      </w:r>
    </w:p>
    <w:p>
      <w:pPr>
        <w:pStyle w:val="NormalNumberedtext"/>
      </w:pPr>
    </w:p>
    <w:p>
      <w:pPr>
        <w:pStyle w:val="Heading2Numbered"/>
        <w:numPr>
          <w:ilvl w:val="1"/>
          <w:numId w:val="1"/>
        </w:numPr>
      </w:pPr>
      <w:r>
        <w:rPr>
          <w:rFonts w:ascii="Arial" w:hAnsi="Arial" w:cs="Arial" w:eastAsia="Arial"/>
        </w:rPr>
        <w:t>Site Water Balance</w:t>
      </w:r>
    </w:p>
    <w:p>
      <w:pPr>
        <w:pStyle w:val="NormalNumberedtext"/>
      </w:pPr>
      <w:r>
        <w:t>This section defines the site water balance requirements, including model documentation, uncertainty, and the monitoring programme used to validate the model.</w:t>
      </w:r>
    </w:p>
    <w:p>
      <w:pPr>
        <w:pStyle w:val="NormalNumberedtext"/>
      </w:pPr>
      <w:r>
        <w:t>A site water balance is implemented to understand project water sources, uses, and discharges across all project phases. The water balance is the primary basis for water efficiency planning, abstraction target-setting, and water risk management, consistent with the TSM Water Stewardship Protocol Indicator WS1.</w:t>
      </w:r>
    </w:p>
    <w:p>
      <w:pPr>
        <w:pStyle w:val="NormalNumberedtext"/>
      </w:pPr>
      <w:r>
        <w:t>The site water balance model must include the following:</w:t>
      </w:r>
    </w:p>
    <w:p>
      <w:pPr>
        <w:pStyle w:val="NumberedBulletL1"/>
      </w:pPr>
      <w:r>
        <w:t>All water inputs: precipitation, surface water abstraction, groundwater abstraction, and imported water.</w:t>
      </w:r>
    </w:p>
    <w:p>
      <w:pPr>
        <w:pStyle w:val="NumberedBulletL1"/>
      </w:pPr>
      <w:r>
        <w:t>All water uses: process water, dust suppression, potable supply, and construction water.</w:t>
      </w:r>
    </w:p>
    <w:p>
      <w:pPr>
        <w:pStyle w:val="NumberedBulletL1"/>
      </w:pPr>
      <w:r>
        <w:t>All water outputs: evaporation, discharge, seepage, and water incorporated into product or waste.</w:t>
      </w:r>
    </w:p>
    <w:p>
      <w:pPr>
        <w:pStyle w:val="NumberedBulletL1"/>
      </w:pPr>
      <w:r>
        <w:t>Documentation of all model assumptions, uncertainty ranges, and sensitivity to key parameters.</w:t>
      </w:r>
    </w:p>
    <w:p>
      <w:pPr>
        <w:pStyle w:val="NumberedBulletL1"/>
      </w:pPr>
      <w:r>
        <w:t>A monitoring programme that validates the model inputs and outputs over time, consistent with the requirements of [INSERT: Project Document Number].</w:t>
      </w:r>
    </w:p>
    <w:p>
      <w:pPr>
        <w:pStyle w:val="NormalNumberedtext"/>
      </w:pPr>
      <w:r>
        <w:rPr>
          <w:b/>
          <w:bCs/>
          <w:color w:val="0059D1"/>
        </w:rPr>
        <w:t>[INSERT: water_balance_model_reference] — Insert the document number and title of the project water balance model. Document the key assumptions, uncertainty ranges, and the monitoring programme used to validate the model. State the responsible role for maintaining and updating the model.</w:t>
      </w:r>
    </w:p>
    <w:p>
      <w:pPr>
        <w:pStyle w:val="NormalNumberedtext"/>
      </w:pPr>
      <w:r>
        <w:t>The HSESC Manager ensures the water balance is reviewed and updated at</w:t>
      </w:r>
    </w:p>
    <w:p>
      <w:pPr>
        <w:pStyle w:val="NormalNumberedtext"/>
      </w:pPr>
      <w:r>
        <w:t>The water balance is reviewed and updated at the following intervals:</w:t>
      </w:r>
    </w:p>
    <w:p>
      <w:pPr>
        <w:pStyle w:val="NumberedBulletL1"/>
      </w:pPr>
      <w:r>
        <w:rPr>
          <w:color w:val="C55A11"/>
        </w:rPr>
        <w:t>Quarterly during construction and operations phases.</w:t>
      </w:r>
    </w:p>
    <w:p>
      <w:pPr>
        <w:pStyle w:val="NumberedBulletL1"/>
      </w:pPr>
      <w:r>
        <w:t>At each project phase gate.</w:t>
      </w:r>
    </w:p>
    <w:p>
      <w:pPr>
        <w:pStyle w:val="NumberedBulletL1"/>
      </w:pPr>
      <w:r>
        <w:t>Following any significant rainfall event, dewatering change, or abstraction volume change that affects model validity.</w:t>
      </w:r>
    </w:p>
    <w:p>
      <w:pPr>
        <w:pStyle w:val="NormalNumberedtext"/>
      </w:pPr>
    </w:p>
    <w:p>
      <w:pPr>
        <w:pStyle w:val="Heading1Numbered"/>
        <w:numPr>
          <w:ilvl w:val="0"/>
          <w:numId w:val="1"/>
        </w:numPr>
      </w:pPr>
      <w:r>
        <w:rPr>
          <w:rFonts w:ascii="Arial" w:hAnsi="Arial" w:cs="Arial" w:eastAsia="Arial"/>
        </w:rPr>
        <w:t>Water Supply and Abstraction</w:t>
      </w:r>
    </w:p>
    <w:p>
      <w:pPr>
        <w:pStyle w:val="NormalNumberedtext"/>
      </w:pPr>
      <w:r>
        <w:t>This section defines the requirements for water supply security, abstraction controls, environmental flow protection, and water use efficiency across the project.</w:t>
      </w:r>
    </w:p>
    <w:p>
      <w:pPr>
        <w:pStyle w:val="NormalNumberedtext"/>
      </w:pPr>
    </w:p>
    <w:p>
      <w:pPr>
        <w:pStyle w:val="Heading2Numbered"/>
        <w:numPr>
          <w:ilvl w:val="1"/>
          <w:numId w:val="1"/>
        </w:numPr>
      </w:pPr>
      <w:r>
        <w:rPr>
          <w:rFonts w:ascii="Arial" w:hAnsi="Arial" w:cs="Arial" w:eastAsia="Arial"/>
        </w:rPr>
        <w:t>Water Supply Security and Source Prioritisation</w:t>
      </w:r>
    </w:p>
    <w:p>
      <w:pPr>
        <w:pStyle w:val="NormalNumberedtext"/>
      </w:pPr>
      <w:r>
        <w:t>This section defines how water supply security is demonstrated and how water source selection is prioritised to minimise environmental impact.</w:t>
      </w:r>
    </w:p>
    <w:p>
      <w:pPr>
        <w:pStyle w:val="NormalNumberedtext"/>
      </w:pPr>
      <w:r>
        <w:t>The project demonstrates water supply security before any construction activity commences. Water supply security documentation identifies all water sources, the quality and reliability of each source, and confirms that supply is sufficient to meet project demand across all phases without creating unacceptable risk to environmental flows or other water users.</w:t>
      </w:r>
    </w:p>
    <w:p>
      <w:pPr>
        <w:pStyle w:val="NormalNumberedtext"/>
      </w:pPr>
      <w:r>
        <w:t>Water source selection follows the following hierarchy, consistent with the Rio Tinto Water Management Standard:</w:t>
      </w:r>
    </w:p>
    <w:p>
      <w:pPr>
        <w:pStyle w:val="NumberedBulletL1"/>
      </w:pPr>
      <w:r>
        <w:t>Recycled or reclaimed water from project activities, where quality is sufficient for the intended use.</w:t>
      </w:r>
    </w:p>
    <w:p>
      <w:pPr>
        <w:pStyle w:val="NumberedBulletL1"/>
      </w:pPr>
      <w:r>
        <w:t>Water of the lowest acceptable quality that meets the requirements of the intended use.</w:t>
      </w:r>
    </w:p>
    <w:p>
      <w:pPr>
        <w:pStyle w:val="NumberedBulletL1"/>
      </w:pPr>
      <w:r>
        <w:t>Licensed surface water or groundwater abstraction, where recycled sources are insufficient.</w:t>
      </w:r>
    </w:p>
    <w:p>
      <w:pPr>
        <w:pStyle w:val="NumberedBulletL1"/>
      </w:pPr>
      <w:r>
        <w:t>Imported or third-party water supply, as a last resort where on-site sources cannot meet demand.</w:t>
      </w:r>
    </w:p>
    <w:p>
      <w:pPr>
        <w:pStyle w:val="NormalNumberedtext"/>
      </w:pPr>
      <w:r>
        <w:t>The HSESC Manager confirms that engagement with other water users in the catchment has been conducted before abstracting water from shared sources, and that the outcomes of this engagement are documented. Engagement obligations under applicable licences are identified through [INSERT: Project Document Number].</w:t>
      </w:r>
    </w:p>
    <w:p>
      <w:pPr>
        <w:pStyle w:val="NormalNumberedtext"/>
      </w:pPr>
      <w:r>
        <w:rPr>
          <w:b/>
          <w:bCs/>
          <w:color w:val="0059D1"/>
        </w:rPr>
        <w:t>[INSERT: water_supply_security_documentation] — Insert the reference to the project water supply security assessment or register. Identify each approved water source, licensed volume, and the responsible role for managing abstraction compliance.</w:t>
      </w:r>
    </w:p>
    <w:p>
      <w:pPr>
        <w:pStyle w:val="NormalNumberedtext"/>
      </w:pPr>
    </w:p>
    <w:p>
      <w:pPr>
        <w:pStyle w:val="Heading2Numbered"/>
        <w:numPr>
          <w:ilvl w:val="1"/>
          <w:numId w:val="1"/>
        </w:numPr>
      </w:pPr>
      <w:r>
        <w:rPr>
          <w:rFonts w:ascii="Arial" w:hAnsi="Arial" w:cs="Arial" w:eastAsia="Arial"/>
        </w:rPr>
        <w:t>Abstraction Controls and Environmental Flow Protection</w:t>
      </w:r>
    </w:p>
    <w:p>
      <w:pPr>
        <w:pStyle w:val="NormalNumberedtext"/>
      </w:pPr>
      <w:r>
        <w:t>This section defines the controls applied to water abstraction, including volume limits, environmental flow requirements, and efficiency targets.</w:t>
      </w:r>
    </w:p>
    <w:p>
      <w:pPr>
        <w:pStyle w:val="NormalNumberedtext"/>
      </w:pPr>
      <w:r>
        <w:t>Water abstraction is controlled to maintain environmental flows, levels, and water quality within acceptable ranges as defined by applicable licences and the water management impact assessment. Dewatering and abstraction operations are optimised to minimise environmental water withdrawals, consistent with the TSM Water Stewardship Protocol Indicator WS2.</w:t>
      </w:r>
    </w:p>
    <w:p>
      <w:pPr>
        <w:pStyle w:val="NormalNumberedtext"/>
      </w:pPr>
      <w:r>
        <w:t>The following controls apply to all water abstraction activities:</w:t>
      </w:r>
    </w:p>
    <w:p>
      <w:pPr>
        <w:pStyle w:val="NumberedBulletL1"/>
      </w:pPr>
      <w:r>
        <w:t>All abstraction volumes are metered and recorded against licensed limits. Results are reported to the HSESC Manager on a monthly basis.</w:t>
      </w:r>
    </w:p>
    <w:p>
      <w:pPr>
        <w:pStyle w:val="NumberedBulletL1"/>
      </w:pPr>
      <w:r>
        <w:t>Abstraction is suspended or reduced when monitored environmental flow or groundwater level indicators reach the trigger levels defined in the project Trigger Action Response Plan.</w:t>
      </w:r>
    </w:p>
    <w:p>
      <w:pPr>
        <w:pStyle w:val="NumberedBulletL1"/>
      </w:pPr>
      <w:r>
        <w:t>Water use reduction and efficiency targets are set and tracked against the site water balance on a quarterly basis.</w:t>
      </w:r>
    </w:p>
    <w:p>
      <w:pPr>
        <w:pStyle w:val="NumberedBulletL1"/>
      </w:pPr>
      <w:r>
        <w:rPr>
          <w:color w:val="C55A11"/>
        </w:rPr>
        <w:t>A water use reduction target of 10% per annum relative to the baseline abstraction volume is established as the project efficiency target.</w:t>
      </w:r>
    </w:p>
    <w:p>
      <w:pPr>
        <w:pStyle w:val="NormalNumberedtext"/>
      </w:pPr>
      <w:r>
        <w:rPr>
          <w:b/>
          <w:bCs/>
          <w:color w:val="0059D1"/>
        </w:rPr>
        <w:t>[INSERT: abstraction_licence_conditions]</w:t>
      </w:r>
    </w:p>
    <w:p>
      <w:pPr>
        <w:pStyle w:val="NormalNumberedtext"/>
      </w:pPr>
      <w:r>
        <w:t>No water is released or pumped off-site without Company approval. All off-site water releases comply with legal requirements, are documented at the time of release, and results are reported to the Company. Off-site release records are retained as project environmental records.</w:t>
      </w:r>
    </w:p>
    <w:p>
      <w:pPr>
        <w:pStyle w:val="NormalNumberedtext"/>
      </w:pPr>
    </w:p>
    <w:p>
      <w:pPr>
        <w:pStyle w:val="Heading1Numbered"/>
        <w:numPr>
          <w:ilvl w:val="0"/>
          <w:numId w:val="1"/>
        </w:numPr>
      </w:pPr>
      <w:r>
        <w:rPr>
          <w:rFonts w:ascii="Arial" w:hAnsi="Arial" w:cs="Arial" w:eastAsia="Arial"/>
        </w:rPr>
        <w:t>Stormwater and Pollution Prevention</w:t>
      </w:r>
    </w:p>
    <w:p>
      <w:pPr>
        <w:pStyle w:val="NormalNumberedtext"/>
      </w:pPr>
      <w:r>
        <w:t>This section defines the requirements for stormwater management, clean and dirty water separation, erosion and sediment control, and prevention of pollutant pathways to receiving water bodies.</w:t>
      </w:r>
    </w:p>
    <w:p>
      <w:pPr>
        <w:pStyle w:val="NormalNumberedtext"/>
      </w:pPr>
    </w:p>
    <w:p>
      <w:pPr>
        <w:pStyle w:val="Heading2Numbered"/>
        <w:numPr>
          <w:ilvl w:val="1"/>
          <w:numId w:val="1"/>
        </w:numPr>
      </w:pPr>
      <w:r>
        <w:rPr>
          <w:rFonts w:ascii="Arial" w:hAnsi="Arial" w:cs="Arial" w:eastAsia="Arial"/>
        </w:rPr>
        <w:t>Clean and Dirty Water Separation</w:t>
      </w:r>
    </w:p>
    <w:p>
      <w:pPr>
        <w:pStyle w:val="NormalNumberedtext"/>
      </w:pPr>
      <w:r>
        <w:t>This section defines the requirements for separating uncontacted clean water from project disturbance areas to minimise the volume of water requiring treatment or controlled discharge.</w:t>
      </w:r>
    </w:p>
    <w:p>
      <w:pPr>
        <w:pStyle w:val="NormalNumberedtext"/>
      </w:pPr>
      <w:r>
        <w:t>The project maximises the diversion of clean, uncontacted water around all project disturbance areas. Clean water diversion reduces the volume of water requiring treatment or controlled discharge and reduces the risk of pollutant pathways reaching receiving water bodies. The clean and dirty water separation design is documented in the Water Discharge Management Plan.</w:t>
      </w:r>
    </w:p>
    <w:p>
      <w:pPr>
        <w:pStyle w:val="NormalNumberedtext"/>
      </w:pPr>
      <w:r>
        <w:t>The stormwater management system includes the following minimum elements, consistent with the Rio Tinto Water Management Standard:</w:t>
      </w:r>
    </w:p>
    <w:p>
      <w:pPr>
        <w:pStyle w:val="NumberedBulletL1"/>
      </w:pPr>
      <w:r>
        <w:t>Diversion drains designed to intercept and redirect clean surface water runoff away from all disturbed areas, waste storage areas, and chemical storage areas.</w:t>
      </w:r>
    </w:p>
    <w:p>
      <w:pPr>
        <w:pStyle w:val="NumberedBulletL1"/>
      </w:pPr>
      <w:r>
        <w:t>Dirty water containment systems designed to retain all runoff that has contacted disturbed surfaces, chemical storage areas, or process areas within the project boundary.</w:t>
      </w:r>
    </w:p>
    <w:p>
      <w:pPr>
        <w:pStyle w:val="NumberedBulletL1"/>
      </w:pPr>
      <w:r>
        <w:t>Sedimentation ponds or equivalent sediment capture structures designed to treat dirty water before discharge or recycle.</w:t>
      </w:r>
    </w:p>
    <w:p>
      <w:pPr>
        <w:pStyle w:val="NumberedBulletL1"/>
      </w:pPr>
      <w:r>
        <w:t>Clean and dirty water separation boundaries are clearly marked on the project drainage layout drawing and reviewed following any significant change to the project footprint.</w:t>
      </w:r>
    </w:p>
    <w:p>
      <w:pPr>
        <w:pStyle w:val="NumberedBulletL1"/>
      </w:pPr>
      <w:r>
        <w:rPr>
          <w:color w:val="C55A11"/>
        </w:rPr>
        <w:t>Diversion drains are designed for a 1-in-50-year storm event as the minimum design standard, with freeboard maintained at all times.</w:t>
      </w:r>
    </w:p>
    <w:p>
      <w:pPr>
        <w:pStyle w:val="NormalNumberedtext"/>
      </w:pPr>
      <w:r>
        <w:rPr>
          <w:b/>
          <w:bCs/>
          <w:color w:val="0059D1"/>
        </w:rPr>
        <w:t>[INSERT: drainage_layout_drawing_reference] — Insert the document number and title of the project drainage layout drawing showing clean and dirty water separation boundaries, diversion drain alignments, sedimentation ponds, and all discharge points.</w:t>
      </w:r>
    </w:p>
    <w:p>
      <w:pPr>
        <w:pStyle w:val="NormalNumberedtext"/>
      </w:pPr>
    </w:p>
    <w:p>
      <w:pPr>
        <w:pStyle w:val="Heading2Numbered"/>
        <w:numPr>
          <w:ilvl w:val="1"/>
          <w:numId w:val="1"/>
        </w:numPr>
      </w:pPr>
      <w:r>
        <w:rPr>
          <w:rFonts w:ascii="Arial" w:hAnsi="Arial" w:cs="Arial" w:eastAsia="Arial"/>
        </w:rPr>
        <w:t>Erosion and Sediment Control</w:t>
      </w:r>
    </w:p>
    <w:p>
      <w:pPr>
        <w:pStyle w:val="NormalNumberedtext"/>
      </w:pPr>
      <w:r>
        <w:t>This section defines the erosion and sediment control planning requirements, including seasonal review obligations and inspection frequency.</w:t>
      </w:r>
    </w:p>
    <w:p>
      <w:pPr>
        <w:pStyle w:val="NormalNumberedtext"/>
      </w:pPr>
      <w:r>
        <w:t>An Erosion and Sediment Control Plan is prepared for the project before earthworks commence and is reviewed and updated seasonally to reflect changed site conditions, progress, and climatic risk. The plan addresses all project disturbance areas and identifies specific control measures for each area, consistent with IFC EHS General Guidelines §1.3.</w:t>
      </w:r>
    </w:p>
    <w:p>
      <w:pPr>
        <w:pStyle w:val="NormalNumberedtext"/>
      </w:pPr>
      <w:r>
        <w:t>The Erosion and Sediment Control Plan addresses the following as a minimum:</w:t>
      </w:r>
    </w:p>
    <w:p>
      <w:pPr>
        <w:pStyle w:val="NumberedBulletL1"/>
      </w:pPr>
      <w:r>
        <w:t>Identification of all erosion risk areas based on soil type, slope, disturbance area, and rainfall intensity.</w:t>
      </w:r>
    </w:p>
    <w:p>
      <w:pPr>
        <w:pStyle w:val="NumberedBulletL1"/>
      </w:pPr>
      <w:r>
        <w:t>Selection of controls at the highest practicable level of the control hierarchy, including landform design, vegetation retention, surface stabilisation, and physical sediment capture structures.</w:t>
      </w:r>
    </w:p>
    <w:p>
      <w:pPr>
        <w:pStyle w:val="NumberedBulletL1"/>
      </w:pPr>
      <w:r>
        <w:t>Inspection frequency and trigger conditions for maintenance of all sediment control structures.</w:t>
      </w:r>
    </w:p>
    <w:p>
      <w:pPr>
        <w:pStyle w:val="NumberedBulletL1"/>
      </w:pPr>
      <w:r>
        <w:rPr>
          <w:color w:val="C55A11"/>
        </w:rPr>
        <w:t>All sediment control structures are inspected after every rainfall event exceeding 10 mm and following any storm event exceeding the design storm.</w:t>
      </w:r>
    </w:p>
    <w:p>
      <w:pPr>
        <w:pStyle w:val="NumberedBulletL1"/>
      </w:pPr>
      <w:r>
        <w:t>Seasonal review of the plan before the wet season and at the commencement of each major earthworks phase.</w:t>
      </w:r>
    </w:p>
    <w:p>
      <w:pPr>
        <w:pStyle w:val="NormalNumberedtext"/>
      </w:pPr>
      <w:r>
        <w:rPr>
          <w:b/>
          <w:bCs/>
          <w:color w:val="0059D1"/>
        </w:rPr>
        <w:t>[INSERT: erosion_sediment_control_plan_reference] — Insert the document number, title, current version, and approval date of the project Erosion and Sediment Control Plan. State the responsible role for maintaining and reviewing the plan.</w:t>
      </w:r>
    </w:p>
    <w:p>
      <w:pPr>
        <w:pStyle w:val="NormalNumberedtext"/>
      </w:pPr>
      <w:r>
        <w:t>Potential pollutant pathways from chemical storage and handling areas to waterways or groundwater are addressed in [INSERT: Project Document Number]. Acid rock drainage seepage pathways are addressed in [INSERT: Project Document Number]. This section does not reproduce those requirements.</w:t>
      </w:r>
    </w:p>
    <w:p>
      <w:pPr>
        <w:pStyle w:val="NormalNumberedtext"/>
      </w:pPr>
    </w:p>
    <w:p>
      <w:pPr>
        <w:pStyle w:val="Heading1Numbered"/>
        <w:numPr>
          <w:ilvl w:val="0"/>
          <w:numId w:val="1"/>
        </w:numPr>
      </w:pPr>
      <w:r>
        <w:rPr>
          <w:rFonts w:ascii="Arial" w:hAnsi="Arial" w:cs="Arial" w:eastAsia="Arial"/>
        </w:rPr>
        <w:t>Discharge and Treatment</w:t>
      </w:r>
    </w:p>
    <w:p>
      <w:pPr>
        <w:pStyle w:val="NormalNumberedtext"/>
      </w:pPr>
      <w:r>
        <w:t>This section defines the discharge control requirements, site-specific water quality performance criteria, treatment obligations, monitoring parameters, and escalation actions for water quality exceedances.</w:t>
      </w:r>
    </w:p>
    <w:p>
      <w:pPr>
        <w:pStyle w:val="NormalNumberedtext"/>
      </w:pPr>
    </w:p>
    <w:p>
      <w:pPr>
        <w:pStyle w:val="Heading2Numbered"/>
        <w:numPr>
          <w:ilvl w:val="1"/>
          <w:numId w:val="1"/>
        </w:numPr>
      </w:pPr>
      <w:r>
        <w:rPr>
          <w:rFonts w:ascii="Arial" w:hAnsi="Arial" w:cs="Arial" w:eastAsia="Arial"/>
        </w:rPr>
        <w:t>Discharge Controls and Compliance</w:t>
      </w:r>
    </w:p>
    <w:p>
      <w:pPr>
        <w:pStyle w:val="NormalNumberedtext"/>
      </w:pPr>
      <w:r>
        <w:t>This section defines the controls that apply to all discharge activities, including Company approval requirements and licence compliance obligations.</w:t>
      </w:r>
    </w:p>
    <w:p>
      <w:pPr>
        <w:pStyle w:val="NormalNumberedtext"/>
      </w:pPr>
      <w:r>
        <w:t>All water discharges comply with approved discharge locations, applicable licence conditions, and the water quality performance criteria defined in this procedure. Discharge locations, volumes, and water quality data are recorded at the time of each discharge event. Legal discharge licence conditions are identified and maintained through [INSERT: Project Document Number].</w:t>
      </w:r>
    </w:p>
    <w:p>
      <w:pPr>
        <w:pStyle w:val="NormalNumberedtext"/>
      </w:pPr>
      <w:r>
        <w:t>No water is released or pumped off-site without Company approval. All off-site water releases are documented with results reported to the Company. The Company approval process for off-site releases is initiated by the HSESC Manager and must be completed before any release commences.</w:t>
      </w:r>
    </w:p>
    <w:p>
      <w:pPr>
        <w:pStyle w:val="NormalNumberedtext"/>
      </w:pPr>
      <w:r>
        <w:t>The following controls apply to all discharge activities:</w:t>
      </w:r>
    </w:p>
    <w:p>
      <w:pPr>
        <w:pStyle w:val="NumberedBulletL1"/>
      </w:pPr>
      <w:r>
        <w:t>Water quality is sampled and analysed against the performance criteria in Table 2 before any discharge event commences.</w:t>
      </w:r>
    </w:p>
    <w:p>
      <w:pPr>
        <w:pStyle w:val="NumberedBulletL1"/>
      </w:pPr>
      <w:r>
        <w:t>Discharge does not commence unless water quality results confirm compliance with all applicable performance criteria.</w:t>
      </w:r>
    </w:p>
    <w:p>
      <w:pPr>
        <w:pStyle w:val="NumberedBulletL1"/>
      </w:pPr>
      <w:r>
        <w:t>Where quality limits cannot be met without treatment, water is treated to achieve compliance before discharge. Treatment requirements are documented in the Water Discharge Management Plan.</w:t>
      </w:r>
    </w:p>
    <w:p>
      <w:pPr>
        <w:pStyle w:val="NumberedBulletL1"/>
      </w:pPr>
      <w:r>
        <w:t>All discharge records are retained as project environmental records and are available for regulatory inspection on request.</w:t>
      </w:r>
    </w:p>
    <w:p>
      <w:pPr>
        <w:pStyle w:val="NormalNumberedtext"/>
      </w:pPr>
    </w:p>
    <w:p>
      <w:pPr>
        <w:pStyle w:val="Heading2Numbered"/>
        <w:numPr>
          <w:ilvl w:val="1"/>
          <w:numId w:val="1"/>
        </w:numPr>
      </w:pPr>
      <w:r>
        <w:rPr>
          <w:rFonts w:ascii="Arial" w:hAnsi="Arial" w:cs="Arial" w:eastAsia="Arial"/>
        </w:rPr>
        <w:t>Site-Specific Water Quality Performance Criteria</w:t>
      </w:r>
    </w:p>
    <w:p>
      <w:pPr>
        <w:pStyle w:val="NormalNumberedtext"/>
      </w:pPr>
      <w:r>
        <w:t>This section defines the site-specific water quality performance criteria for each discharge point and receiving water body.</w:t>
      </w:r>
    </w:p>
    <w:p>
      <w:pPr>
        <w:pStyle w:val="NormalNumberedtext"/>
      </w:pPr>
      <w:r>
        <w:t>Site-specific water quality performance criteria are defined for each discharge point and receiving water body. Criteria are established with input from a qualified environmental specialist before any discharge activities commence. Criteria are based on water quality baseline data, applicable licence conditions, and ecologically relevant standards for the receiving water body.</w:t>
      </w:r>
    </w:p>
    <w:p>
      <w:pPr>
        <w:pStyle w:val="NormalNumberedtext"/>
      </w:pPr>
      <w:r>
        <w:rPr>
          <w:b/>
          <w:bCs/>
          <w:color w:val="0059D1"/>
        </w:rPr>
        <w:t>[INSERT: water_quality_performance_criteria_specialist] — Confirm the name, qualification, and organisation of the qualified environmental specialist who has established the site-specific water quality performance criteria. State the date criteria were established and the baseline data reference used.</w:t>
      </w:r>
    </w:p>
    <w:p>
      <w:pPr>
        <w:pStyle w:val="NormalNumberedtext"/>
      </w:pPr>
      <w:r>
        <w:t>Table 2: Site-Specific Water Quality Performance Criteria by Discharge Point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Discharge Point ID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Receiving Water Body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Performance Criterion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Licence Limit (if applicable)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Basis for Criterion</w:t>
            </w:r>
          </w:p>
        </w:tc>
      </w:tr>
      <w:tr>
        <w:tc>
          <w:tcPr>
            <w:tcW w:type="dxa" w:w="1504"/>
          </w:tcPr>
          <w:p>
            <w:pPr>
              <w:pStyle w:val="TableContents"/>
              <w:spacing w:before="0" w:after="0" w:line="240" w:lineRule="atLeast"/>
            </w:pPr>
            <w:r>
              <w:rPr>
                <w:rFonts w:ascii="Arial" w:hAnsi="Arial" w:cs="Arial" w:eastAsia="Arial"/>
                <w:sz w:val="16"/>
                <w:szCs w:val="16"/>
              </w:rPr>
              <w:t>{'insert': True, 'field': 'discharge_point_id_1'}</w:t>
            </w:r>
          </w:p>
        </w:tc>
        <w:tc>
          <w:tcPr>
            <w:tcW w:type="dxa" w:w="1504"/>
          </w:tcPr>
          <w:p>
            <w:pPr>
              <w:pStyle w:val="TableContents"/>
              <w:spacing w:before="0" w:after="0" w:line="240" w:lineRule="atLeast"/>
            </w:pPr>
            <w:r>
              <w:rPr>
                <w:rFonts w:ascii="Arial" w:hAnsi="Arial" w:cs="Arial" w:eastAsia="Arial"/>
                <w:sz w:val="16"/>
                <w:szCs w:val="16"/>
              </w:rPr>
              <w:t>{'insert': True, 'field': 'receiving_water_body_1'}</w:t>
            </w:r>
          </w:p>
        </w:tc>
        <w:tc>
          <w:tcPr>
            <w:tcW w:type="dxa" w:w="1504"/>
          </w:tcPr>
          <w:p>
            <w:pPr>
              <w:pStyle w:val="TableContents"/>
              <w:spacing w:before="0" w:after="0" w:line="240" w:lineRule="atLeast"/>
            </w:pPr>
            <w:r>
              <w:rPr>
                <w:rFonts w:ascii="Arial" w:hAnsi="Arial" w:cs="Arial" w:eastAsia="Arial"/>
                <w:sz w:val="16"/>
                <w:szCs w:val="16"/>
              </w:rPr>
              <w:t>Total Suspended Solids (TSS)</w:t>
            </w:r>
          </w:p>
        </w:tc>
        <w:tc>
          <w:tcPr>
            <w:tcW w:type="dxa" w:w="1504"/>
          </w:tcPr>
          <w:p>
            <w:pPr>
              <w:pStyle w:val="TableContents"/>
              <w:spacing w:before="0" w:after="0" w:line="240" w:lineRule="atLeast"/>
            </w:pPr>
            <w:r>
              <w:rPr>
                <w:rFonts w:ascii="Arial" w:hAnsi="Arial" w:cs="Arial" w:eastAsia="Arial"/>
                <w:sz w:val="16"/>
                <w:szCs w:val="16"/>
              </w:rPr>
              <w:t>{'insert': True, 'field': 'tss_criterion_1'}</w:t>
            </w:r>
          </w:p>
        </w:tc>
        <w:tc>
          <w:tcPr>
            <w:tcW w:type="dxa" w:w="1504"/>
          </w:tcPr>
          <w:p>
            <w:pPr>
              <w:pStyle w:val="TableContents"/>
              <w:spacing w:before="0" w:after="0" w:line="240" w:lineRule="atLeast"/>
            </w:pPr>
            <w:r>
              <w:rPr>
                <w:rFonts w:ascii="Arial" w:hAnsi="Arial" w:cs="Arial" w:eastAsia="Arial"/>
                <w:sz w:val="16"/>
                <w:szCs w:val="16"/>
              </w:rPr>
              <w:t>{'insert': True, 'field': 'tss_licence_limit_1'}</w:t>
            </w:r>
          </w:p>
        </w:tc>
        <w:tc>
          <w:tcPr>
            <w:tcW w:type="dxa" w:w="1506"/>
          </w:tcPr>
          <w:p>
            <w:pPr>
              <w:pStyle w:val="TableContents"/>
              <w:spacing w:before="0" w:after="0" w:line="240" w:lineRule="atLeast"/>
            </w:pPr>
            <w:r>
              <w:rPr>
                <w:rFonts w:ascii="Arial" w:hAnsi="Arial" w:cs="Arial" w:eastAsia="Arial"/>
                <w:sz w:val="16"/>
                <w:szCs w:val="16"/>
              </w:rPr>
              <w:t>Baseline data and licence condition</w:t>
            </w:r>
          </w:p>
        </w:tc>
      </w:tr>
      <w:tr>
        <w:tc>
          <w:tcPr>
            <w:tcW w:type="dxa" w:w="1504"/>
          </w:tcPr>
          <w:p>
            <w:pPr>
              <w:pStyle w:val="TableContents"/>
              <w:spacing w:before="0" w:after="0" w:line="240" w:lineRule="atLeast"/>
            </w:pPr>
            <w:r>
              <w:rPr>
                <w:rFonts w:ascii="Arial" w:hAnsi="Arial" w:cs="Arial" w:eastAsia="Arial"/>
                <w:sz w:val="16"/>
                <w:szCs w:val="16"/>
              </w:rPr>
              <w:t>{'insert': True, 'field': 'discharge_point_id_1'}</w:t>
            </w:r>
          </w:p>
        </w:tc>
        <w:tc>
          <w:tcPr>
            <w:tcW w:type="dxa" w:w="1504"/>
          </w:tcPr>
          <w:p>
            <w:pPr>
              <w:pStyle w:val="TableContents"/>
              <w:spacing w:before="0" w:after="0" w:line="240" w:lineRule="atLeast"/>
            </w:pPr>
            <w:r>
              <w:rPr>
                <w:rFonts w:ascii="Arial" w:hAnsi="Arial" w:cs="Arial" w:eastAsia="Arial"/>
                <w:sz w:val="16"/>
                <w:szCs w:val="16"/>
              </w:rPr>
              <w:t>{'insert': True, 'field': 'receiving_water_body_1'}</w:t>
            </w:r>
          </w:p>
        </w:tc>
        <w:tc>
          <w:tcPr>
            <w:tcW w:type="dxa" w:w="1504"/>
          </w:tcPr>
          <w:p>
            <w:pPr>
              <w:pStyle w:val="TableContents"/>
              <w:spacing w:before="0" w:after="0" w:line="240" w:lineRule="atLeast"/>
            </w:pPr>
            <w:r>
              <w:rPr>
                <w:rFonts w:ascii="Arial" w:hAnsi="Arial" w:cs="Arial" w:eastAsia="Arial"/>
                <w:sz w:val="16"/>
                <w:szCs w:val="16"/>
              </w:rPr>
              <w:t>pH</w:t>
            </w:r>
          </w:p>
        </w:tc>
        <w:tc>
          <w:tcPr>
            <w:tcW w:type="dxa" w:w="1504"/>
          </w:tcPr>
          <w:p>
            <w:pPr>
              <w:pStyle w:val="TableContents"/>
              <w:spacing w:before="0" w:after="0" w:line="240" w:lineRule="atLeast"/>
            </w:pPr>
            <w:r>
              <w:rPr>
                <w:rFonts w:ascii="Arial" w:hAnsi="Arial" w:cs="Arial" w:eastAsia="Arial"/>
                <w:sz w:val="16"/>
                <w:szCs w:val="16"/>
              </w:rPr>
              <w:t>{'insert': True, 'field': 'ph_criterion_1'}</w:t>
            </w:r>
          </w:p>
        </w:tc>
        <w:tc>
          <w:tcPr>
            <w:tcW w:type="dxa" w:w="1504"/>
          </w:tcPr>
          <w:p>
            <w:pPr>
              <w:pStyle w:val="TableContents"/>
              <w:spacing w:before="0" w:after="0" w:line="240" w:lineRule="atLeast"/>
            </w:pPr>
            <w:r>
              <w:rPr>
                <w:rFonts w:ascii="Arial" w:hAnsi="Arial" w:cs="Arial" w:eastAsia="Arial"/>
                <w:sz w:val="16"/>
                <w:szCs w:val="16"/>
              </w:rPr>
              <w:t>{'insert': True, 'field': 'ph_licence_limit_1'}</w:t>
            </w:r>
          </w:p>
        </w:tc>
        <w:tc>
          <w:tcPr>
            <w:tcW w:type="dxa" w:w="1506"/>
          </w:tcPr>
          <w:p>
            <w:pPr>
              <w:pStyle w:val="TableContents"/>
              <w:spacing w:before="0" w:after="0" w:line="240" w:lineRule="atLeast"/>
            </w:pPr>
            <w:r>
              <w:rPr>
                <w:rFonts w:ascii="Arial" w:hAnsi="Arial" w:cs="Arial" w:eastAsia="Arial"/>
                <w:sz w:val="16"/>
                <w:szCs w:val="16"/>
              </w:rPr>
              <w:t>Baseline data and licence condition</w:t>
            </w:r>
          </w:p>
        </w:tc>
      </w:tr>
      <w:tr>
        <w:tc>
          <w:tcPr>
            <w:tcW w:type="dxa" w:w="1504"/>
          </w:tcPr>
          <w:p>
            <w:pPr>
              <w:pStyle w:val="TableContents"/>
              <w:spacing w:before="0" w:after="0" w:line="240" w:lineRule="atLeast"/>
            </w:pPr>
            <w:r>
              <w:rPr>
                <w:rFonts w:ascii="Arial" w:hAnsi="Arial" w:cs="Arial" w:eastAsia="Arial"/>
                <w:sz w:val="16"/>
                <w:szCs w:val="16"/>
              </w:rPr>
              <w:t>{'insert': True, 'field': 'discharge_point_id_1'}</w:t>
            </w:r>
          </w:p>
        </w:tc>
        <w:tc>
          <w:tcPr>
            <w:tcW w:type="dxa" w:w="1504"/>
          </w:tcPr>
          <w:p>
            <w:pPr>
              <w:pStyle w:val="TableContents"/>
              <w:spacing w:before="0" w:after="0" w:line="240" w:lineRule="atLeast"/>
            </w:pPr>
            <w:r>
              <w:rPr>
                <w:rFonts w:ascii="Arial" w:hAnsi="Arial" w:cs="Arial" w:eastAsia="Arial"/>
                <w:sz w:val="16"/>
                <w:szCs w:val="16"/>
              </w:rPr>
              <w:t>{'insert': True, 'field': 'receiving_water_body_1'}</w:t>
            </w:r>
          </w:p>
        </w:tc>
        <w:tc>
          <w:tcPr>
            <w:tcW w:type="dxa" w:w="1504"/>
          </w:tcPr>
          <w:p>
            <w:pPr>
              <w:pStyle w:val="TableContents"/>
              <w:spacing w:before="0" w:after="0" w:line="240" w:lineRule="atLeast"/>
            </w:pPr>
            <w:r>
              <w:rPr>
                <w:rFonts w:ascii="Arial" w:hAnsi="Arial" w:cs="Arial" w:eastAsia="Arial"/>
                <w:sz w:val="16"/>
                <w:szCs w:val="16"/>
              </w:rPr>
              <w:t>Electrical Conductivity</w:t>
            </w:r>
          </w:p>
        </w:tc>
        <w:tc>
          <w:tcPr>
            <w:tcW w:type="dxa" w:w="1504"/>
          </w:tcPr>
          <w:p>
            <w:pPr>
              <w:pStyle w:val="TableContents"/>
              <w:spacing w:before="0" w:after="0" w:line="240" w:lineRule="atLeast"/>
            </w:pPr>
            <w:r>
              <w:rPr>
                <w:rFonts w:ascii="Arial" w:hAnsi="Arial" w:cs="Arial" w:eastAsia="Arial"/>
                <w:sz w:val="16"/>
                <w:szCs w:val="16"/>
              </w:rPr>
              <w:t>{'insert': True, 'field': 'ec_criterion_1'}</w:t>
            </w:r>
          </w:p>
        </w:tc>
        <w:tc>
          <w:tcPr>
            <w:tcW w:type="dxa" w:w="1504"/>
          </w:tcPr>
          <w:p>
            <w:pPr>
              <w:pStyle w:val="TableContents"/>
              <w:spacing w:before="0" w:after="0" w:line="240" w:lineRule="atLeast"/>
            </w:pPr>
            <w:r>
              <w:rPr>
                <w:rFonts w:ascii="Arial" w:hAnsi="Arial" w:cs="Arial" w:eastAsia="Arial"/>
                <w:sz w:val="16"/>
                <w:szCs w:val="16"/>
              </w:rPr>
              <w:t>{'insert': True, 'field': 'ec_licence_limit_1'}</w:t>
            </w:r>
          </w:p>
        </w:tc>
        <w:tc>
          <w:tcPr>
            <w:tcW w:type="dxa" w:w="1506"/>
          </w:tcPr>
          <w:p>
            <w:pPr>
              <w:pStyle w:val="TableContents"/>
              <w:spacing w:before="0" w:after="0" w:line="240" w:lineRule="atLeast"/>
            </w:pPr>
            <w:r>
              <w:rPr>
                <w:rFonts w:ascii="Arial" w:hAnsi="Arial" w:cs="Arial" w:eastAsia="Arial"/>
                <w:sz w:val="16"/>
                <w:szCs w:val="16"/>
              </w:rPr>
              <w:t>Ecological standard</w:t>
            </w:r>
          </w:p>
        </w:tc>
      </w:tr>
      <w:tr>
        <w:tc>
          <w:tcPr>
            <w:tcW w:type="dxa" w:w="1504"/>
          </w:tcPr>
          <w:p>
            <w:pPr>
              <w:pStyle w:val="TableContents"/>
              <w:spacing w:before="0" w:after="0" w:line="240" w:lineRule="atLeast"/>
            </w:pPr>
            <w:r>
              <w:rPr>
                <w:rFonts w:ascii="Arial" w:hAnsi="Arial" w:cs="Arial" w:eastAsia="Arial"/>
                <w:sz w:val="16"/>
                <w:szCs w:val="16"/>
              </w:rPr>
              <w:t>{'insert': True, 'field': 'discharge_point_id_2'}</w:t>
            </w:r>
          </w:p>
        </w:tc>
        <w:tc>
          <w:tcPr>
            <w:tcW w:type="dxa" w:w="1504"/>
          </w:tcPr>
          <w:p>
            <w:pPr>
              <w:pStyle w:val="TableContents"/>
              <w:spacing w:before="0" w:after="0" w:line="240" w:lineRule="atLeast"/>
            </w:pPr>
            <w:r>
              <w:rPr>
                <w:rFonts w:ascii="Arial" w:hAnsi="Arial" w:cs="Arial" w:eastAsia="Arial"/>
                <w:sz w:val="16"/>
                <w:szCs w:val="16"/>
              </w:rPr>
              <w:t>{'insert': True, 'field': 'receiving_water_body_2'}</w:t>
            </w:r>
          </w:p>
        </w:tc>
        <w:tc>
          <w:tcPr>
            <w:tcW w:type="dxa" w:w="1504"/>
          </w:tcPr>
          <w:p>
            <w:pPr>
              <w:pStyle w:val="TableContents"/>
              <w:spacing w:before="0" w:after="0" w:line="240" w:lineRule="atLeast"/>
            </w:pPr>
            <w:r>
              <w:rPr>
                <w:rFonts w:ascii="Arial" w:hAnsi="Arial" w:cs="Arial" w:eastAsia="Arial"/>
                <w:sz w:val="16"/>
                <w:szCs w:val="16"/>
              </w:rPr>
              <w:t>{'insert': True, 'field': 'parameter_2'}</w:t>
            </w:r>
          </w:p>
        </w:tc>
        <w:tc>
          <w:tcPr>
            <w:tcW w:type="dxa" w:w="1504"/>
          </w:tcPr>
          <w:p>
            <w:pPr>
              <w:pStyle w:val="TableContents"/>
              <w:spacing w:before="0" w:after="0" w:line="240" w:lineRule="atLeast"/>
            </w:pPr>
            <w:r>
              <w:rPr>
                <w:rFonts w:ascii="Arial" w:hAnsi="Arial" w:cs="Arial" w:eastAsia="Arial"/>
                <w:sz w:val="16"/>
                <w:szCs w:val="16"/>
              </w:rPr>
              <w:t>{'insert': True, 'field': 'criterion_2'}</w:t>
            </w:r>
          </w:p>
        </w:tc>
        <w:tc>
          <w:tcPr>
            <w:tcW w:type="dxa" w:w="1504"/>
          </w:tcPr>
          <w:p>
            <w:pPr>
              <w:pStyle w:val="TableContents"/>
              <w:spacing w:before="0" w:after="0" w:line="240" w:lineRule="atLeast"/>
            </w:pPr>
            <w:r>
              <w:rPr>
                <w:rFonts w:ascii="Arial" w:hAnsi="Arial" w:cs="Arial" w:eastAsia="Arial"/>
                <w:sz w:val="16"/>
                <w:szCs w:val="16"/>
              </w:rPr>
              <w:t>{'insert': True, 'field': 'licence_limit_2'}</w:t>
            </w:r>
          </w:p>
        </w:tc>
        <w:tc>
          <w:tcPr>
            <w:tcW w:type="dxa" w:w="1506"/>
          </w:tcPr>
          <w:p>
            <w:pPr>
              <w:pStyle w:val="TableContents"/>
              <w:spacing w:before="0" w:after="0" w:line="240" w:lineRule="atLeast"/>
            </w:pPr>
            <w:r>
              <w:rPr>
                <w:rFonts w:ascii="Arial" w:hAnsi="Arial" w:cs="Arial" w:eastAsia="Arial"/>
                <w:sz w:val="16"/>
                <w:szCs w:val="16"/>
              </w:rPr>
              <w:t>{'insert': True, 'field': 'basis_2'}</w:t>
            </w:r>
          </w:p>
        </w:tc>
      </w:tr>
    </w:tbl>
    <w:p>
      <w:pPr>
        <w:pStyle w:val="NormalNumberedtext"/>
      </w:pPr>
    </w:p>
    <w:p>
      <w:pPr>
        <w:pStyle w:val="NormalNumberedtext"/>
      </w:pPr>
      <w:r>
        <w:t>The performance criteria in Table 2 are reviewed whenever a new discharge point is established, a licence condition changes, or monitoring data indicates a significant change in receiving water body condition. The qualified environmental specialist approves any revision to the criteria.</w:t>
      </w:r>
    </w:p>
    <w:p>
      <w:pPr>
        <w:pStyle w:val="NormalNumberedtext"/>
      </w:pPr>
    </w:p>
    <w:p>
      <w:pPr>
        <w:pStyle w:val="Heading2Numbered"/>
        <w:numPr>
          <w:ilvl w:val="1"/>
          <w:numId w:val="1"/>
        </w:numPr>
      </w:pPr>
      <w:r>
        <w:rPr>
          <w:rFonts w:ascii="Arial" w:hAnsi="Arial" w:cs="Arial" w:eastAsia="Arial"/>
        </w:rPr>
        <w:t>Water Quality Monitoring Programme</w:t>
      </w:r>
    </w:p>
    <w:p>
      <w:pPr>
        <w:pStyle w:val="NormalNumberedtext"/>
      </w:pPr>
      <w:r>
        <w:t>This section defines the monitoring parameters, locations, frequency, QA/QC requirements, and reporting obligations for all water quality monitoring.</w:t>
      </w:r>
    </w:p>
    <w:p>
      <w:pPr>
        <w:pStyle w:val="NormalNumberedtext"/>
      </w:pPr>
      <w:r>
        <w:t>Water quality monitoring is conducted at all discharge points and at representative locations in receiving water bodies to verify compliance with the performance criteria in Table 2 and to detect any trend of deterioration in receiving water quality. Monitoring requirements are consistent with IFC EHS General Guidelines §1.3 and §2.9, and are integrated with the project environmental monitoring programme governed by [INSERT: Project Document Number].</w:t>
      </w:r>
    </w:p>
    <w:p>
      <w:pPr>
        <w:pStyle w:val="NormalNumberedtext"/>
      </w:pPr>
      <w:r>
        <w:t>Table 3: Water Quality Monitoring Programme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Location ID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Location Description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Parameters Monitored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Frequency</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Sample Type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QA/QC Requirement</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289"/>
          </w:tcPr>
          <w:p>
            <w:pPr>
              <w:pStyle w:val="TableContents"/>
              <w:spacing w:before="0" w:after="0" w:line="240" w:lineRule="atLeast"/>
            </w:pPr>
            <w:r>
              <w:rPr>
                <w:rFonts w:ascii="Arial" w:hAnsi="Arial" w:cs="Arial" w:eastAsia="Arial"/>
                <w:sz w:val="16"/>
                <w:szCs w:val="16"/>
              </w:rPr>
              <w:t>{'insert': True, 'field': 'monitoring_location_id_1'}</w:t>
            </w:r>
          </w:p>
        </w:tc>
        <w:tc>
          <w:tcPr>
            <w:tcW w:type="dxa" w:w="1289"/>
          </w:tcPr>
          <w:p>
            <w:pPr>
              <w:pStyle w:val="TableContents"/>
              <w:spacing w:before="0" w:after="0" w:line="240" w:lineRule="atLeast"/>
            </w:pPr>
            <w:r>
              <w:rPr>
                <w:rFonts w:ascii="Arial" w:hAnsi="Arial" w:cs="Arial" w:eastAsia="Arial"/>
                <w:sz w:val="16"/>
                <w:szCs w:val="16"/>
              </w:rPr>
              <w:t>{'insert': True, 'field': 'location_description_1'}</w:t>
            </w:r>
          </w:p>
        </w:tc>
        <w:tc>
          <w:tcPr>
            <w:tcW w:type="dxa" w:w="1289"/>
          </w:tcPr>
          <w:p>
            <w:pPr>
              <w:pStyle w:val="TableContents"/>
              <w:spacing w:before="0" w:after="0" w:line="240" w:lineRule="atLeast"/>
            </w:pPr>
            <w:r>
              <w:rPr>
                <w:rFonts w:ascii="Arial" w:hAnsi="Arial" w:cs="Arial" w:eastAsia="Arial"/>
                <w:sz w:val="16"/>
                <w:szCs w:val="16"/>
              </w:rPr>
              <w:t>{'insert': True, 'field': 'parameters_1'}</w:t>
            </w:r>
          </w:p>
        </w:tc>
        <w:tc>
          <w:tcPr>
            <w:tcW w:type="dxa" w:w="1289"/>
          </w:tcPr>
          <w:p>
            <w:pPr>
              <w:pStyle w:val="TableContents"/>
              <w:spacing w:before="0" w:after="0" w:line="240" w:lineRule="atLeast"/>
            </w:pPr>
            <w:r>
              <w:rPr>
                <w:rFonts w:ascii="Arial" w:hAnsi="Arial" w:cs="Arial" w:eastAsia="Arial"/>
                <w:sz w:val="16"/>
                <w:szCs w:val="16"/>
              </w:rPr>
              <w:t>{'insert': True, 'field': 'frequency_1'}</w:t>
            </w:r>
          </w:p>
        </w:tc>
        <w:tc>
          <w:tcPr>
            <w:tcW w:type="dxa" w:w="1289"/>
          </w:tcPr>
          <w:p>
            <w:pPr>
              <w:pStyle w:val="TableContents"/>
              <w:spacing w:before="0" w:after="0" w:line="240" w:lineRule="atLeast"/>
            </w:pPr>
            <w:r>
              <w:rPr>
                <w:rFonts w:ascii="Arial" w:hAnsi="Arial" w:cs="Arial" w:eastAsia="Arial"/>
                <w:sz w:val="16"/>
                <w:szCs w:val="16"/>
              </w:rPr>
              <w:t>{'insert': True, 'field': 'sample_type_1'}</w:t>
            </w:r>
          </w:p>
        </w:tc>
        <w:tc>
          <w:tcPr>
            <w:tcW w:type="dxa" w:w="1289"/>
          </w:tcPr>
          <w:p>
            <w:pPr>
              <w:pStyle w:val="TableContents"/>
              <w:spacing w:before="0" w:after="0" w:line="240" w:lineRule="atLeast"/>
            </w:pPr>
            <w:r>
              <w:rPr>
                <w:rFonts w:ascii="Arial" w:hAnsi="Arial" w:cs="Arial" w:eastAsia="Arial"/>
                <w:sz w:val="16"/>
                <w:szCs w:val="16"/>
              </w:rPr>
              <w:t>Field duplicate and blank per batch of 10 samples</w:t>
            </w:r>
          </w:p>
        </w:tc>
        <w:tc>
          <w:tcPr>
            <w:tcW w:type="dxa" w:w="1292"/>
          </w:tcPr>
          <w:p>
            <w:pPr>
              <w:pStyle w:val="TableContents"/>
              <w:spacing w:before="0" w:after="0" w:line="240" w:lineRule="atLeast"/>
            </w:pPr>
            <w:r>
              <w:rPr>
                <w:rFonts w:ascii="Arial" w:hAnsi="Arial" w:cs="Arial" w:eastAsia="Arial"/>
                <w:sz w:val="16"/>
                <w:szCs w:val="16"/>
              </w:rPr>
              <w:t>{'insert': True, 'field': 'responsible_role_1'}</w:t>
            </w:r>
          </w:p>
        </w:tc>
      </w:tr>
      <w:tr>
        <w:tc>
          <w:tcPr>
            <w:tcW w:type="dxa" w:w="1289"/>
          </w:tcPr>
          <w:p>
            <w:pPr>
              <w:pStyle w:val="TableContents"/>
              <w:spacing w:before="0" w:after="0" w:line="240" w:lineRule="atLeast"/>
            </w:pPr>
            <w:r>
              <w:rPr>
                <w:rFonts w:ascii="Arial" w:hAnsi="Arial" w:cs="Arial" w:eastAsia="Arial"/>
                <w:sz w:val="16"/>
                <w:szCs w:val="16"/>
              </w:rPr>
              <w:t>{'insert': True, 'field': 'monitoring_location_id_2'}</w:t>
            </w:r>
          </w:p>
        </w:tc>
        <w:tc>
          <w:tcPr>
            <w:tcW w:type="dxa" w:w="1289"/>
          </w:tcPr>
          <w:p>
            <w:pPr>
              <w:pStyle w:val="TableContents"/>
              <w:spacing w:before="0" w:after="0" w:line="240" w:lineRule="atLeast"/>
            </w:pPr>
            <w:r>
              <w:rPr>
                <w:rFonts w:ascii="Arial" w:hAnsi="Arial" w:cs="Arial" w:eastAsia="Arial"/>
                <w:sz w:val="16"/>
                <w:szCs w:val="16"/>
              </w:rPr>
              <w:t>{'insert': True, 'field': 'location_description_2'}</w:t>
            </w:r>
          </w:p>
        </w:tc>
        <w:tc>
          <w:tcPr>
            <w:tcW w:type="dxa" w:w="1289"/>
          </w:tcPr>
          <w:p>
            <w:pPr>
              <w:pStyle w:val="TableContents"/>
              <w:spacing w:before="0" w:after="0" w:line="240" w:lineRule="atLeast"/>
            </w:pPr>
            <w:r>
              <w:rPr>
                <w:rFonts w:ascii="Arial" w:hAnsi="Arial" w:cs="Arial" w:eastAsia="Arial"/>
                <w:sz w:val="16"/>
                <w:szCs w:val="16"/>
              </w:rPr>
              <w:t>{'insert': True, 'field': 'parameters_2'}</w:t>
            </w:r>
          </w:p>
        </w:tc>
        <w:tc>
          <w:tcPr>
            <w:tcW w:type="dxa" w:w="1289"/>
          </w:tcPr>
          <w:p>
            <w:pPr>
              <w:pStyle w:val="TableContents"/>
              <w:spacing w:before="0" w:after="0" w:line="240" w:lineRule="atLeast"/>
            </w:pPr>
            <w:r>
              <w:rPr>
                <w:rFonts w:ascii="Arial" w:hAnsi="Arial" w:cs="Arial" w:eastAsia="Arial"/>
                <w:sz w:val="16"/>
                <w:szCs w:val="16"/>
              </w:rPr>
              <w:t>{'insert': True, 'field': 'frequency_2'}</w:t>
            </w:r>
          </w:p>
        </w:tc>
        <w:tc>
          <w:tcPr>
            <w:tcW w:type="dxa" w:w="1289"/>
          </w:tcPr>
          <w:p>
            <w:pPr>
              <w:pStyle w:val="TableContents"/>
              <w:spacing w:before="0" w:after="0" w:line="240" w:lineRule="atLeast"/>
            </w:pPr>
            <w:r>
              <w:rPr>
                <w:rFonts w:ascii="Arial" w:hAnsi="Arial" w:cs="Arial" w:eastAsia="Arial"/>
                <w:sz w:val="16"/>
                <w:szCs w:val="16"/>
              </w:rPr>
              <w:t>{'insert': True, 'field': 'sample_type_2'}</w:t>
            </w:r>
          </w:p>
        </w:tc>
        <w:tc>
          <w:tcPr>
            <w:tcW w:type="dxa" w:w="1289"/>
          </w:tcPr>
          <w:p>
            <w:pPr>
              <w:pStyle w:val="TableContents"/>
              <w:spacing w:before="0" w:after="0" w:line="240" w:lineRule="atLeast"/>
            </w:pPr>
            <w:r>
              <w:rPr>
                <w:rFonts w:ascii="Arial" w:hAnsi="Arial" w:cs="Arial" w:eastAsia="Arial"/>
                <w:sz w:val="16"/>
                <w:szCs w:val="16"/>
              </w:rPr>
              <w:t>{'insert': True, 'field': 'qaqc_2'}</w:t>
            </w:r>
          </w:p>
        </w:tc>
        <w:tc>
          <w:tcPr>
            <w:tcW w:type="dxa" w:w="1292"/>
          </w:tcPr>
          <w:p>
            <w:pPr>
              <w:pStyle w:val="TableContents"/>
              <w:spacing w:before="0" w:after="0" w:line="240" w:lineRule="atLeast"/>
            </w:pPr>
            <w:r>
              <w:rPr>
                <w:rFonts w:ascii="Arial" w:hAnsi="Arial" w:cs="Arial" w:eastAsia="Arial"/>
                <w:sz w:val="16"/>
                <w:szCs w:val="16"/>
              </w:rPr>
              <w:t>{'insert': True, 'field': 'responsible_role_2'}</w:t>
            </w:r>
          </w:p>
        </w:tc>
      </w:tr>
    </w:tbl>
    <w:p>
      <w:pPr>
        <w:pStyle w:val="NormalNumberedtext"/>
      </w:pPr>
    </w:p>
    <w:p>
      <w:pPr>
        <w:pStyle w:val="NormalNumberedtext"/>
      </w:pPr>
      <w:r>
        <w:t>Monitoring results are reported to the HSESC Manager within</w:t>
      </w:r>
    </w:p>
    <w:p>
      <w:pPr>
        <w:pStyle w:val="NormalNumberedtext"/>
      </w:pPr>
      <w:r>
        <w:t>Monitoring results are reported and reviewed as follows:</w:t>
      </w:r>
    </w:p>
    <w:p>
      <w:pPr>
        <w:pStyle w:val="NumberedBulletL1"/>
      </w:pPr>
      <w:r>
        <w:rPr>
          <w:color w:val="C55A11"/>
        </w:rPr>
        <w:t>Laboratory results are reported to the HSESC Manager within 5 business days of sample collection.</w:t>
      </w:r>
    </w:p>
    <w:p>
      <w:pPr>
        <w:pStyle w:val="NumberedBulletL1"/>
      </w:pPr>
      <w:r>
        <w:t>Field results are recorded in the project environmental monitoring register on the day of collection.</w:t>
      </w:r>
    </w:p>
    <w:p>
      <w:pPr>
        <w:pStyle w:val="NumberedBulletL1"/>
      </w:pPr>
      <w:r>
        <w:t>Monthly water quality monitoring summary reports are submitted to the Project Director and retained as project environmental records.</w:t>
      </w:r>
    </w:p>
    <w:p>
      <w:pPr>
        <w:pStyle w:val="NumberedBulletL1"/>
      </w:pPr>
      <w:r>
        <w:t>Any result exceeding a performance criterion triggers the escalation process defined in Table 4.</w:t>
      </w:r>
    </w:p>
    <w:p>
      <w:pPr>
        <w:pStyle w:val="NormalNumberedtext"/>
      </w:pPr>
    </w:p>
    <w:p>
      <w:pPr>
        <w:pStyle w:val="Heading2Numbered"/>
        <w:numPr>
          <w:ilvl w:val="1"/>
          <w:numId w:val="1"/>
        </w:numPr>
      </w:pPr>
      <w:r>
        <w:rPr>
          <w:rFonts w:ascii="Arial" w:hAnsi="Arial" w:cs="Arial" w:eastAsia="Arial"/>
        </w:rPr>
        <w:t>Trigger Action Response Plan for Water Quality Exceedances</w:t>
      </w:r>
    </w:p>
    <w:p>
      <w:pPr>
        <w:pStyle w:val="NormalNumberedtext"/>
      </w:pPr>
      <w:r>
        <w:t>This section defines the trigger levels, escalation actions, and notification requirements that apply when a water quality performance criterion is exceeded.</w:t>
      </w:r>
    </w:p>
    <w:p>
      <w:pPr>
        <w:pStyle w:val="NormalNumberedtext"/>
      </w:pPr>
      <w:r>
        <w:t>A Trigger Action Response Plan is applied for all monitored water quality parameters to define the escalating actions required when results approach or exceed performance criteria. The TARP is consistent with the monitoring and escalation framework in [INSERT: Project Document Number] and the risk management process in [INSERT: Project Document Number].</w:t>
      </w:r>
    </w:p>
    <w:p>
      <w:pPr>
        <w:pStyle w:val="NormalNumberedtext"/>
      </w:pPr>
      <w:r>
        <w:t>Table 4: Water Quality Trigger Action Response Plan (TARP)</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Location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Action Level 1 (Investigation)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Action Level 2 (Response)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Action Level 3 (Escalation)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Notification Required</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289"/>
          </w:tcPr>
          <w:p>
            <w:pPr>
              <w:pStyle w:val="TableContents"/>
              <w:spacing w:before="0" w:after="0" w:line="240" w:lineRule="atLeast"/>
            </w:pPr>
            <w:r>
              <w:rPr>
                <w:rFonts w:ascii="Arial" w:hAnsi="Arial" w:cs="Arial" w:eastAsia="Arial"/>
                <w:sz w:val="16"/>
                <w:szCs w:val="16"/>
              </w:rPr>
              <w:t>{'insert': True, 'field': 'tarp_parameter_1'}</w:t>
            </w:r>
          </w:p>
        </w:tc>
        <w:tc>
          <w:tcPr>
            <w:tcW w:type="dxa" w:w="1289"/>
          </w:tcPr>
          <w:p>
            <w:pPr>
              <w:pStyle w:val="TableContents"/>
              <w:spacing w:before="0" w:after="0" w:line="240" w:lineRule="atLeast"/>
            </w:pPr>
            <w:r>
              <w:rPr>
                <w:rFonts w:ascii="Arial" w:hAnsi="Arial" w:cs="Arial" w:eastAsia="Arial"/>
                <w:sz w:val="16"/>
                <w:szCs w:val="16"/>
              </w:rPr>
              <w:t>{'insert': True, 'field': 'tarp_location_1'}</w:t>
            </w:r>
          </w:p>
        </w:tc>
        <w:tc>
          <w:tcPr>
            <w:tcW w:type="dxa" w:w="1289"/>
          </w:tcPr>
          <w:p>
            <w:pPr>
              <w:pStyle w:val="TableContents"/>
              <w:spacing w:before="0" w:after="0" w:line="240" w:lineRule="atLeast"/>
            </w:pPr>
            <w:r>
              <w:rPr>
                <w:rFonts w:ascii="Arial" w:hAnsi="Arial" w:cs="Arial" w:eastAsia="Arial"/>
                <w:sz w:val="16"/>
                <w:szCs w:val="16"/>
              </w:rPr>
              <w:t>{'insert': True, 'field': 'tarp_level1_1'}</w:t>
            </w:r>
          </w:p>
        </w:tc>
        <w:tc>
          <w:tcPr>
            <w:tcW w:type="dxa" w:w="1289"/>
          </w:tcPr>
          <w:p>
            <w:pPr>
              <w:pStyle w:val="TableContents"/>
              <w:spacing w:before="0" w:after="0" w:line="240" w:lineRule="atLeast"/>
            </w:pPr>
            <w:r>
              <w:rPr>
                <w:rFonts w:ascii="Arial" w:hAnsi="Arial" w:cs="Arial" w:eastAsia="Arial"/>
                <w:sz w:val="16"/>
                <w:szCs w:val="16"/>
              </w:rPr>
              <w:t>{'insert': True, 'field': 'tarp_level2_1'}</w:t>
            </w:r>
          </w:p>
        </w:tc>
        <w:tc>
          <w:tcPr>
            <w:tcW w:type="dxa" w:w="1289"/>
          </w:tcPr>
          <w:p>
            <w:pPr>
              <w:pStyle w:val="TableContents"/>
              <w:spacing w:before="0" w:after="0" w:line="240" w:lineRule="atLeast"/>
            </w:pPr>
            <w:r>
              <w:rPr>
                <w:rFonts w:ascii="Arial" w:hAnsi="Arial" w:cs="Arial" w:eastAsia="Arial"/>
                <w:sz w:val="16"/>
                <w:szCs w:val="16"/>
              </w:rPr>
              <w:t>{'insert': True, 'field': 'tarp_level3_1'}</w:t>
            </w:r>
          </w:p>
        </w:tc>
        <w:tc>
          <w:tcPr>
            <w:tcW w:type="dxa" w:w="1289"/>
          </w:tcPr>
          <w:p>
            <w:pPr>
              <w:pStyle w:val="TableContents"/>
              <w:spacing w:before="0" w:after="0" w:line="240" w:lineRule="atLeast"/>
            </w:pPr>
            <w:r>
              <w:rPr>
                <w:rFonts w:ascii="Arial" w:hAnsi="Arial" w:cs="Arial" w:eastAsia="Arial"/>
                <w:sz w:val="16"/>
                <w:szCs w:val="16"/>
              </w:rPr>
              <w:t>{'insert': True, 'field': 'tarp_notification_1'}</w:t>
            </w:r>
          </w:p>
        </w:tc>
        <w:tc>
          <w:tcPr>
            <w:tcW w:type="dxa" w:w="1292"/>
          </w:tcPr>
          <w:p>
            <w:pPr>
              <w:pStyle w:val="TableContents"/>
              <w:spacing w:before="0" w:after="0" w:line="240" w:lineRule="atLeast"/>
            </w:pPr>
            <w:r>
              <w:rPr>
                <w:rFonts w:ascii="Arial" w:hAnsi="Arial" w:cs="Arial" w:eastAsia="Arial"/>
                <w:sz w:val="16"/>
                <w:szCs w:val="16"/>
              </w:rPr>
              <w:t>{'insert': True, 'field': 'tarp_role_1'}</w:t>
            </w:r>
          </w:p>
        </w:tc>
      </w:tr>
      <w:tr>
        <w:tc>
          <w:tcPr>
            <w:tcW w:type="dxa" w:w="1289"/>
          </w:tcPr>
          <w:p>
            <w:pPr>
              <w:pStyle w:val="TableContents"/>
              <w:spacing w:before="0" w:after="0" w:line="240" w:lineRule="atLeast"/>
            </w:pPr>
            <w:r>
              <w:rPr>
                <w:rFonts w:ascii="Arial" w:hAnsi="Arial" w:cs="Arial" w:eastAsia="Arial"/>
                <w:sz w:val="16"/>
                <w:szCs w:val="16"/>
              </w:rPr>
              <w:t>{'insert': True, 'field': 'tarp_parameter_2'}</w:t>
            </w:r>
          </w:p>
        </w:tc>
        <w:tc>
          <w:tcPr>
            <w:tcW w:type="dxa" w:w="1289"/>
          </w:tcPr>
          <w:p>
            <w:pPr>
              <w:pStyle w:val="TableContents"/>
              <w:spacing w:before="0" w:after="0" w:line="240" w:lineRule="atLeast"/>
            </w:pPr>
            <w:r>
              <w:rPr>
                <w:rFonts w:ascii="Arial" w:hAnsi="Arial" w:cs="Arial" w:eastAsia="Arial"/>
                <w:sz w:val="16"/>
                <w:szCs w:val="16"/>
              </w:rPr>
              <w:t>{'insert': True, 'field': 'tarp_location_2'}</w:t>
            </w:r>
          </w:p>
        </w:tc>
        <w:tc>
          <w:tcPr>
            <w:tcW w:type="dxa" w:w="1289"/>
          </w:tcPr>
          <w:p>
            <w:pPr>
              <w:pStyle w:val="TableContents"/>
              <w:spacing w:before="0" w:after="0" w:line="240" w:lineRule="atLeast"/>
            </w:pPr>
            <w:r>
              <w:rPr>
                <w:rFonts w:ascii="Arial" w:hAnsi="Arial" w:cs="Arial" w:eastAsia="Arial"/>
                <w:sz w:val="16"/>
                <w:szCs w:val="16"/>
              </w:rPr>
              <w:t>{'insert': True, 'field': 'tarp_level1_2'}</w:t>
            </w:r>
          </w:p>
        </w:tc>
        <w:tc>
          <w:tcPr>
            <w:tcW w:type="dxa" w:w="1289"/>
          </w:tcPr>
          <w:p>
            <w:pPr>
              <w:pStyle w:val="TableContents"/>
              <w:spacing w:before="0" w:after="0" w:line="240" w:lineRule="atLeast"/>
            </w:pPr>
            <w:r>
              <w:rPr>
                <w:rFonts w:ascii="Arial" w:hAnsi="Arial" w:cs="Arial" w:eastAsia="Arial"/>
                <w:sz w:val="16"/>
                <w:szCs w:val="16"/>
              </w:rPr>
              <w:t>{'insert': True, 'field': 'tarp_level2_2'}</w:t>
            </w:r>
          </w:p>
        </w:tc>
        <w:tc>
          <w:tcPr>
            <w:tcW w:type="dxa" w:w="1289"/>
          </w:tcPr>
          <w:p>
            <w:pPr>
              <w:pStyle w:val="TableContents"/>
              <w:spacing w:before="0" w:after="0" w:line="240" w:lineRule="atLeast"/>
            </w:pPr>
            <w:r>
              <w:rPr>
                <w:rFonts w:ascii="Arial" w:hAnsi="Arial" w:cs="Arial" w:eastAsia="Arial"/>
                <w:sz w:val="16"/>
                <w:szCs w:val="16"/>
              </w:rPr>
              <w:t>{'insert': True, 'field': 'tarp_level3_2'}</w:t>
            </w:r>
          </w:p>
        </w:tc>
        <w:tc>
          <w:tcPr>
            <w:tcW w:type="dxa" w:w="1289"/>
          </w:tcPr>
          <w:p>
            <w:pPr>
              <w:pStyle w:val="TableContents"/>
              <w:spacing w:before="0" w:after="0" w:line="240" w:lineRule="atLeast"/>
            </w:pPr>
            <w:r>
              <w:rPr>
                <w:rFonts w:ascii="Arial" w:hAnsi="Arial" w:cs="Arial" w:eastAsia="Arial"/>
                <w:sz w:val="16"/>
                <w:szCs w:val="16"/>
              </w:rPr>
              <w:t>{'insert': True, 'field': 'tarp_notification_2'}</w:t>
            </w:r>
          </w:p>
        </w:tc>
        <w:tc>
          <w:tcPr>
            <w:tcW w:type="dxa" w:w="1292"/>
          </w:tcPr>
          <w:p>
            <w:pPr>
              <w:pStyle w:val="TableContents"/>
              <w:spacing w:before="0" w:after="0" w:line="240" w:lineRule="atLeast"/>
            </w:pPr>
            <w:r>
              <w:rPr>
                <w:rFonts w:ascii="Arial" w:hAnsi="Arial" w:cs="Arial" w:eastAsia="Arial"/>
                <w:sz w:val="16"/>
                <w:szCs w:val="16"/>
              </w:rPr>
              <w:t>{'insert': True, 'field': 'tarp_role_2'}</w:t>
            </w:r>
          </w:p>
        </w:tc>
      </w:tr>
    </w:tbl>
    <w:p>
      <w:pPr>
        <w:pStyle w:val="NormalNumberedtext"/>
      </w:pPr>
    </w:p>
    <w:p>
      <w:pPr>
        <w:pStyle w:val="NormalNumberedtext"/>
      </w:pPr>
      <w:r>
        <w:t>Any exceedance of an Action Level 3 trigger is reported as an environmental incident in accordance with project incident reporting requirements, refer [INSERT: Project Document Number]. The HSESC Manager confirms that any required regulatory notification is made within the timeframe stipulated in the applicable licence or approval.</w:t>
      </w:r>
    </w:p>
    <w:p>
      <w:pPr>
        <w:pStyle w:val="NormalNumberedtext"/>
      </w:pPr>
      <w:r>
        <w:rPr>
          <w:b/>
          <w:bCs/>
          <w:color w:val="0059D1"/>
        </w:rPr>
        <w:t>[INSERT: tarp_completion_instruction] — Complete Table 4 for all monitored parameters at all monitoring locations defined in Table 3. Action Level 1, 2, and 3 trigger values must be set in consultation with a qualified environmental specialist and must be consistent with the performance criteria in Table 2 and applicable licence conditions.</w:t>
      </w:r>
    </w:p>
    <w:p>
      <w:pPr>
        <w:pStyle w:val="NormalNumberedtext"/>
      </w:pPr>
    </w:p>
    <w:p>
      <w:pPr>
        <w:pStyle w:val="Heading1Numbered"/>
        <w:numPr>
          <w:ilvl w:val="0"/>
          <w:numId w:val="1"/>
        </w:numPr>
      </w:pPr>
      <w:r>
        <w:rPr>
          <w:rFonts w:ascii="Arial" w:hAnsi="Arial" w:cs="Arial" w:eastAsia="Arial"/>
        </w:rPr>
        <w:t>Flooding and Closure</w:t>
      </w:r>
    </w:p>
    <w:p>
      <w:pPr>
        <w:pStyle w:val="NormalNumberedtext"/>
      </w:pPr>
      <w:r>
        <w:t>This section defines the flooding risk assessment requirements and the water-related closure planning obligations to minimise legacy water management obligations post-closure.</w:t>
      </w:r>
    </w:p>
    <w:p>
      <w:pPr>
        <w:pStyle w:val="NormalNumberedtext"/>
      </w:pPr>
    </w:p>
    <w:p>
      <w:pPr>
        <w:pStyle w:val="Heading2Numbered"/>
        <w:numPr>
          <w:ilvl w:val="1"/>
          <w:numId w:val="1"/>
        </w:numPr>
      </w:pPr>
      <w:r>
        <w:rPr>
          <w:rFonts w:ascii="Arial" w:hAnsi="Arial" w:cs="Arial" w:eastAsia="Arial"/>
        </w:rPr>
        <w:t>Flooding Risk Assessment</w:t>
      </w:r>
    </w:p>
    <w:p>
      <w:pPr>
        <w:pStyle w:val="NormalNumberedtext"/>
      </w:pPr>
      <w:r>
        <w:t>This section defines how flooding characteristics are assessed, documented, and managed across the project footprint under current and future climate conditions.</w:t>
      </w:r>
    </w:p>
    <w:p>
      <w:pPr>
        <w:pStyle w:val="NormalNumberedtext"/>
      </w:pPr>
      <w:r>
        <w:t>Flooding characteristics for the project site are defined before any infrastructure is located within or adjacent to the floodplain. The assessment addresses current flood conditions and future conditions under projected climate change scenarios, consistent with the Rio Tinto Water Management Standard.</w:t>
      </w:r>
    </w:p>
    <w:p>
      <w:pPr>
        <w:pStyle w:val="NormalNumberedtext"/>
      </w:pPr>
      <w:r>
        <w:t>The flooding risk assessment defines the following as a minimum:</w:t>
      </w:r>
    </w:p>
    <w:p>
      <w:pPr>
        <w:pStyle w:val="NumberedBulletL1"/>
      </w:pPr>
      <w:r>
        <w:t>The 100-year average recurrence interval (ARI) and 1000-year ARI flood extent for the project location, based on hydrological modelling using project-specific data.</w:t>
      </w:r>
    </w:p>
    <w:p>
      <w:pPr>
        <w:pStyle w:val="NumberedBulletL1"/>
      </w:pPr>
      <w:r>
        <w:t>The relationship between the project footprint and the defined flood extents, identifying all project infrastructure located within or partially within the floodplain.</w:t>
      </w:r>
    </w:p>
    <w:p>
      <w:pPr>
        <w:pStyle w:val="NumberedBulletL1"/>
      </w:pPr>
      <w:r>
        <w:t>The flood risk posed to project infrastructure, personnel, water containment structures, and receiving water quality.</w:t>
      </w:r>
    </w:p>
    <w:p>
      <w:pPr>
        <w:pStyle w:val="NumberedBulletL1"/>
      </w:pPr>
      <w:r>
        <w:t>Climate change projections for the project catchment and the effect of projected changes on flood frequency and magnitude over the project life.</w:t>
      </w:r>
    </w:p>
    <w:p>
      <w:pPr>
        <w:pStyle w:val="NormalNumberedtext"/>
      </w:pPr>
      <w:r>
        <w:rPr>
          <w:b/>
          <w:bCs/>
          <w:color w:val="0059D1"/>
        </w:rPr>
        <w:t>[INSERT: flooding_characteristics] — Insert the 100-year ARI and 1000-year ARI flood extents for the project location, referencing the supporting hydrological assessment. Describe how the project footprint relates to the floodplain and identify any infrastructure located within the flood extent. State the climate change scenario applied.</w:t>
      </w:r>
    </w:p>
    <w:p>
      <w:pPr>
        <w:pStyle w:val="NormalNumberedtext"/>
      </w:pPr>
      <w:r>
        <w:t>Development within the floodplain is minimised. Where project infrastructure must be located within the flood extent, risk is mitigated through design measures including raised finished levels, flood protection bunding, or flood-proofed containment structures. Mitigation measures are documented in the Water Discharge Management Plan and reviewed against the flooding risk assessment before construction commences.</w:t>
      </w:r>
    </w:p>
    <w:p>
      <w:pPr>
        <w:pStyle w:val="NormalNumberedtext"/>
      </w:pPr>
    </w:p>
    <w:p>
      <w:pPr>
        <w:pStyle w:val="Heading2Numbered"/>
        <w:numPr>
          <w:ilvl w:val="1"/>
          <w:numId w:val="1"/>
        </w:numPr>
      </w:pPr>
      <w:r>
        <w:rPr>
          <w:rFonts w:ascii="Arial" w:hAnsi="Arial" w:cs="Arial" w:eastAsia="Arial"/>
        </w:rPr>
        <w:t>Water Management Closure Planning</w:t>
      </w:r>
    </w:p>
    <w:p>
      <w:pPr>
        <w:pStyle w:val="NormalNumberedtext"/>
      </w:pPr>
      <w:r>
        <w:t>This section defines the water management requirements for closure planning, with the objective of minimising legacy water management obligations post-closure.</w:t>
      </w:r>
    </w:p>
    <w:p>
      <w:pPr>
        <w:pStyle w:val="NormalNumberedtext"/>
      </w:pPr>
      <w:r>
        <w:t>Closure planning for water management is integrated into the overall project closure plan from the earliest practicable stage of the project lifecycle. The objective of water-related closure planning is to achieve a landform and drainage condition that requires no active water management post-closure, consistent with the Rio Tinto Water Management Standard.</w:t>
      </w:r>
    </w:p>
    <w:p>
      <w:pPr>
        <w:pStyle w:val="NormalNumberedtext"/>
      </w:pPr>
      <w:r>
        <w:t>Water management closure planning addresses the following as a minimum:</w:t>
      </w:r>
    </w:p>
    <w:p>
      <w:pPr>
        <w:pStyle w:val="NumberedBulletL1"/>
      </w:pPr>
      <w:r>
        <w:t>Identification of all water management infrastructure requiring decommissioning at closure, including dams, ponds, diversion drains, and treatment systems.</w:t>
      </w:r>
    </w:p>
    <w:p>
      <w:pPr>
        <w:pStyle w:val="NumberedBulletL1"/>
      </w:pPr>
      <w:r>
        <w:t>Design of the post-closure landform to achieve self-sustaining drainage patterns that do not require ongoing maintenance or monitoring.</w:t>
      </w:r>
    </w:p>
    <w:p>
      <w:pPr>
        <w:pStyle w:val="NumberedBulletL1"/>
      </w:pPr>
      <w:r>
        <w:t>Assessment of residual water quality risks at closure, including long-term seepage from waste landforms, and identification of monitoring or management obligations that cannot be eliminated.</w:t>
      </w:r>
    </w:p>
    <w:p>
      <w:pPr>
        <w:pStyle w:val="NumberedBulletL1"/>
      </w:pPr>
      <w:r>
        <w:t>Documentation of any post-closure monitoring or management obligations that will be transferred to the asset owner or regulatory authority at handover.</w:t>
      </w:r>
    </w:p>
    <w:p>
      <w:pPr>
        <w:pStyle w:val="NumberedBulletL1"/>
      </w:pPr>
      <w:r>
        <w:t>Integration of acid rock drainage water management obligations from [INSERT: Project Document Number] into the closure water management plan.</w:t>
      </w:r>
    </w:p>
    <w:p>
      <w:pPr>
        <w:pStyle w:val="NormalNumberedtext"/>
      </w:pPr>
      <w:r>
        <w:rPr>
          <w:b/>
          <w:bCs/>
          <w:color w:val="0059D1"/>
        </w:rPr>
        <w:t>[INSERT: closure_water_management_plan_reference] — Insert the document number and title of the project closure water management plan or the section of the overall closure plan that addresses water management. State the current version, approval date, and the scheduled review date. If not yet prepared, state the responsible role and the date by which the plan must be completed.</w:t>
      </w:r>
    </w:p>
    <w:p>
      <w:pPr>
        <w:pStyle w:val="NormalNumberedtext"/>
      </w:pPr>
      <w:r>
        <w:t>The HSESC Manager ensures the closure water management plan is reviewed and updated at each project phase gate and whenever a significant change to the project footprint, waste landform design, or water management infrastructure occurs.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ARD</w:t>
            </w:r>
          </w:p>
        </w:tc>
        <w:tc>
          <w:tcPr>
            <w:tcW w:type="dxa" w:w="4889"/>
          </w:tcPr>
          <w:p>
            <w:pPr>
              <w:pStyle w:val="TableContents"/>
              <w:spacing w:before="0" w:after="0" w:line="240" w:lineRule="atLeast"/>
            </w:pPr>
            <w:r>
              <w:rPr>
                <w:rFonts w:ascii="Arial" w:hAnsi="Arial" w:cs="Arial" w:eastAsia="Arial"/>
                <w:sz w:val="16"/>
                <w:szCs w:val="16"/>
              </w:rPr>
              <w:t>Acid Rock Drainage - acidic water generated when sulphide-bearing minerals in rock or waste are exposed to oxygen and water, producing sulphuric acid and dissolved metals that can contaminate surface water and groundwater.</w:t>
            </w:r>
          </w:p>
        </w:tc>
      </w:tr>
      <w:tr>
        <w:tc>
          <w:tcPr>
            <w:tcW w:type="dxa" w:w="4888"/>
          </w:tcPr>
          <w:p>
            <w:pPr>
              <w:pStyle w:val="TableContents"/>
              <w:spacing w:before="0" w:after="0" w:line="240" w:lineRule="atLeast"/>
            </w:pPr>
            <w:r>
              <w:rPr>
                <w:rFonts w:ascii="Arial" w:hAnsi="Arial" w:cs="Arial" w:eastAsia="Arial"/>
                <w:sz w:val="16"/>
                <w:szCs w:val="16"/>
              </w:rPr>
              <w:t>ASS</w:t>
            </w:r>
          </w:p>
        </w:tc>
        <w:tc>
          <w:tcPr>
            <w:tcW w:type="dxa" w:w="4889"/>
          </w:tcPr>
          <w:p>
            <w:pPr>
              <w:pStyle w:val="TableContents"/>
              <w:spacing w:before="0" w:after="0" w:line="240" w:lineRule="atLeast"/>
            </w:pPr>
            <w:r>
              <w:rPr>
                <w:rFonts w:ascii="Arial" w:hAnsi="Arial" w:cs="Arial" w:eastAsia="Arial"/>
                <w:sz w:val="16"/>
                <w:szCs w:val="16"/>
              </w:rPr>
              <w:t>Acid Sulfate Soils - soils or sediments containing iron sulphides that, when exposed to air through excavation or drainage, oxidise to form sulphuric acid, posing a risk to water quality.</w:t>
            </w:r>
          </w:p>
        </w:tc>
      </w:tr>
      <w:tr>
        <w:tc>
          <w:tcPr>
            <w:tcW w:type="dxa" w:w="4888"/>
          </w:tcPr>
          <w:p>
            <w:pPr>
              <w:pStyle w:val="TableContents"/>
              <w:spacing w:before="0" w:after="0" w:line="240" w:lineRule="atLeast"/>
            </w:pPr>
            <w:r>
              <w:rPr>
                <w:rFonts w:ascii="Arial" w:hAnsi="Arial" w:cs="Arial" w:eastAsia="Arial"/>
                <w:sz w:val="16"/>
                <w:szCs w:val="16"/>
              </w:rPr>
              <w:t>BOD</w:t>
            </w:r>
          </w:p>
        </w:tc>
        <w:tc>
          <w:tcPr>
            <w:tcW w:type="dxa" w:w="4889"/>
          </w:tcPr>
          <w:p>
            <w:pPr>
              <w:pStyle w:val="TableContents"/>
              <w:spacing w:before="0" w:after="0" w:line="240" w:lineRule="atLeast"/>
            </w:pPr>
            <w:r>
              <w:rPr>
                <w:rFonts w:ascii="Arial" w:hAnsi="Arial" w:cs="Arial" w:eastAsia="Arial"/>
                <w:sz w:val="16"/>
                <w:szCs w:val="16"/>
              </w:rPr>
              <w:t>Biochemical Oxygen Demand - a measure of the amount of dissolved oxygen consumed by biological processes breaking down organic matter in water, used as an indicator of water pollution level.</w:t>
            </w:r>
          </w:p>
        </w:tc>
      </w:tr>
      <w:tr>
        <w:tc>
          <w:tcPr>
            <w:tcW w:type="dxa" w:w="4888"/>
          </w:tcPr>
          <w:p>
            <w:pPr>
              <w:pStyle w:val="TableContents"/>
              <w:spacing w:before="0" w:after="0" w:line="240" w:lineRule="atLeast"/>
            </w:pPr>
            <w:r>
              <w:rPr>
                <w:rFonts w:ascii="Arial" w:hAnsi="Arial" w:cs="Arial" w:eastAsia="Arial"/>
                <w:sz w:val="16"/>
                <w:szCs w:val="16"/>
              </w:rPr>
              <w:t>COD</w:t>
            </w:r>
          </w:p>
        </w:tc>
        <w:tc>
          <w:tcPr>
            <w:tcW w:type="dxa" w:w="4889"/>
          </w:tcPr>
          <w:p>
            <w:pPr>
              <w:pStyle w:val="TableContents"/>
              <w:spacing w:before="0" w:after="0" w:line="240" w:lineRule="atLeast"/>
            </w:pPr>
            <w:r>
              <w:rPr>
                <w:rFonts w:ascii="Arial" w:hAnsi="Arial" w:cs="Arial" w:eastAsia="Arial"/>
                <w:sz w:val="16"/>
                <w:szCs w:val="16"/>
              </w:rPr>
              <w:t>Chemical Oxygen Demand - a measure of the total quantity of oxygen required to chemically oxidise organic and inorganic compounds in water, used to assess the degree of water pollution.</w:t>
            </w:r>
          </w:p>
        </w:tc>
      </w:tr>
      <w:tr>
        <w:tc>
          <w:tcPr>
            <w:tcW w:type="dxa" w:w="4888"/>
          </w:tcPr>
          <w:p>
            <w:pPr>
              <w:pStyle w:val="TableContents"/>
              <w:spacing w:before="0" w:after="0" w:line="240" w:lineRule="atLeast"/>
            </w:pPr>
            <w:r>
              <w:rPr>
                <w:rFonts w:ascii="Arial" w:hAnsi="Arial" w:cs="Arial" w:eastAsia="Arial"/>
                <w:sz w:val="16"/>
                <w:szCs w:val="16"/>
              </w:rPr>
              <w:t>DO</w:t>
            </w:r>
          </w:p>
        </w:tc>
        <w:tc>
          <w:tcPr>
            <w:tcW w:type="dxa" w:w="4889"/>
          </w:tcPr>
          <w:p>
            <w:pPr>
              <w:pStyle w:val="TableContents"/>
              <w:spacing w:before="0" w:after="0" w:line="240" w:lineRule="atLeast"/>
            </w:pPr>
            <w:r>
              <w:rPr>
                <w:rFonts w:ascii="Arial" w:hAnsi="Arial" w:cs="Arial" w:eastAsia="Arial"/>
                <w:sz w:val="16"/>
                <w:szCs w:val="16"/>
              </w:rPr>
              <w:t>Dissolved Oxygen - the concentration of oxygen dissolved in water, a key indicator of water health and the ability of a waterbody to support aquatic life.</w:t>
            </w:r>
          </w:p>
        </w:tc>
      </w:tr>
      <w:tr>
        <w:tc>
          <w:tcPr>
            <w:tcW w:type="dxa" w:w="4888"/>
          </w:tcPr>
          <w:p>
            <w:pPr>
              <w:pStyle w:val="TableContents"/>
              <w:spacing w:before="0" w:after="0" w:line="240" w:lineRule="atLeast"/>
            </w:pPr>
            <w:r>
              <w:rPr>
                <w:rFonts w:ascii="Arial" w:hAnsi="Arial" w:cs="Arial" w:eastAsia="Arial"/>
                <w:sz w:val="16"/>
                <w:szCs w:val="16"/>
              </w:rPr>
              <w:t>EC</w:t>
            </w:r>
          </w:p>
        </w:tc>
        <w:tc>
          <w:tcPr>
            <w:tcW w:type="dxa" w:w="4889"/>
          </w:tcPr>
          <w:p>
            <w:pPr>
              <w:pStyle w:val="TableContents"/>
              <w:spacing w:before="0" w:after="0" w:line="240" w:lineRule="atLeast"/>
            </w:pPr>
            <w:r>
              <w:rPr>
                <w:rFonts w:ascii="Arial" w:hAnsi="Arial" w:cs="Arial" w:eastAsia="Arial"/>
                <w:sz w:val="16"/>
                <w:szCs w:val="16"/>
              </w:rPr>
              <w:t>Electrical Conductivity - a measure of water's ability to conduct an electrical current, used as a proxy indicator of dissolved ion concentration and overall salinity or contamination level.</w:t>
            </w:r>
          </w:p>
        </w:tc>
      </w:tr>
      <w:tr>
        <w:tc>
          <w:tcPr>
            <w:tcW w:type="dxa" w:w="4888"/>
          </w:tcPr>
          <w:p>
            <w:pPr>
              <w:pStyle w:val="TableContents"/>
              <w:spacing w:before="0" w:after="0" w:line="240" w:lineRule="atLeast"/>
            </w:pPr>
            <w:r>
              <w:rPr>
                <w:rFonts w:ascii="Arial" w:hAnsi="Arial" w:cs="Arial" w:eastAsia="Arial"/>
                <w:sz w:val="16"/>
                <w:szCs w:val="16"/>
              </w:rPr>
              <w:t>EMP</w:t>
            </w:r>
          </w:p>
        </w:tc>
        <w:tc>
          <w:tcPr>
            <w:tcW w:type="dxa" w:w="4889"/>
          </w:tcPr>
          <w:p>
            <w:pPr>
              <w:pStyle w:val="TableContents"/>
              <w:spacing w:before="0" w:after="0" w:line="240" w:lineRule="atLeast"/>
            </w:pPr>
            <w:r>
              <w:rPr>
                <w:rFonts w:ascii="Arial" w:hAnsi="Arial" w:cs="Arial" w:eastAsia="Arial"/>
                <w:sz w:val="16"/>
                <w:szCs w:val="16"/>
              </w:rPr>
              <w:t>Environmental Management Plan - a project-specific document that identifies environmental risks, mitigation measures, monitoring requirements, and responsibilities for managing environmental impacts throughout the project lifecycle.</w:t>
            </w:r>
          </w:p>
        </w:tc>
      </w:tr>
      <w:tr>
        <w:tc>
          <w:tcPr>
            <w:tcW w:type="dxa" w:w="4888"/>
          </w:tcPr>
          <w:p>
            <w:pPr>
              <w:pStyle w:val="TableContents"/>
              <w:spacing w:before="0" w:after="0" w:line="240" w:lineRule="atLeast"/>
            </w:pPr>
            <w:r>
              <w:rPr>
                <w:rFonts w:ascii="Arial" w:hAnsi="Arial" w:cs="Arial" w:eastAsia="Arial"/>
                <w:sz w:val="16"/>
                <w:szCs w:val="16"/>
              </w:rPr>
              <w:t>ESIA</w:t>
            </w:r>
          </w:p>
        </w:tc>
        <w:tc>
          <w:tcPr>
            <w:tcW w:type="dxa" w:w="4889"/>
          </w:tcPr>
          <w:p>
            <w:pPr>
              <w:pStyle w:val="TableContents"/>
              <w:spacing w:before="0" w:after="0" w:line="240" w:lineRule="atLeast"/>
            </w:pPr>
            <w:r>
              <w:rPr>
                <w:rFonts w:ascii="Arial" w:hAnsi="Arial" w:cs="Arial" w:eastAsia="Arial"/>
                <w:sz w:val="16"/>
                <w:szCs w:val="16"/>
              </w:rPr>
              <w:t>Environmental and Social Impact Assessment - a formal process used to predict the environmental and social effects of a proposed project, identify mitigation measures, and inform decision-making prior to project approval.</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framework applied across Rio Tinto owner-led projects to ensure compliance with health, safety, environmental, and social requirements.</w:t>
            </w:r>
          </w:p>
        </w:tc>
      </w:tr>
      <w:tr>
        <w:tc>
          <w:tcPr>
            <w:tcW w:type="dxa" w:w="4888"/>
          </w:tcPr>
          <w:p>
            <w:pPr>
              <w:pStyle w:val="TableContents"/>
              <w:spacing w:before="0" w:after="0" w:line="240" w:lineRule="atLeast"/>
            </w:pPr>
            <w:r>
              <w:rPr>
                <w:rFonts w:ascii="Arial" w:hAnsi="Arial" w:cs="Arial" w:eastAsia="Arial"/>
                <w:sz w:val="16"/>
                <w:szCs w:val="16"/>
              </w:rPr>
              <w:t>ML</w:t>
            </w:r>
          </w:p>
        </w:tc>
        <w:tc>
          <w:tcPr>
            <w:tcW w:type="dxa" w:w="4889"/>
          </w:tcPr>
          <w:p>
            <w:pPr>
              <w:pStyle w:val="TableContents"/>
              <w:spacing w:before="0" w:after="0" w:line="240" w:lineRule="atLeast"/>
            </w:pPr>
            <w:r>
              <w:rPr>
                <w:rFonts w:ascii="Arial" w:hAnsi="Arial" w:cs="Arial" w:eastAsia="Arial"/>
                <w:sz w:val="16"/>
                <w:szCs w:val="16"/>
              </w:rPr>
              <w:t>Metal Leaching - the process by which metals dissolved from rock, ore, or waste material are transported by water into surface water or groundwater systems, potentially causing contamination.</w:t>
            </w:r>
          </w:p>
        </w:tc>
      </w:tr>
      <w:tr>
        <w:tc>
          <w:tcPr>
            <w:tcW w:type="dxa" w:w="4888"/>
          </w:tcPr>
          <w:p>
            <w:pPr>
              <w:pStyle w:val="TableContents"/>
              <w:spacing w:before="0" w:after="0" w:line="240" w:lineRule="atLeast"/>
            </w:pPr>
            <w:r>
              <w:rPr>
                <w:rFonts w:ascii="Arial" w:hAnsi="Arial" w:cs="Arial" w:eastAsia="Arial"/>
                <w:sz w:val="16"/>
                <w:szCs w:val="16"/>
              </w:rPr>
              <w:t>NAF</w:t>
            </w:r>
          </w:p>
        </w:tc>
        <w:tc>
          <w:tcPr>
            <w:tcW w:type="dxa" w:w="4889"/>
          </w:tcPr>
          <w:p>
            <w:pPr>
              <w:pStyle w:val="TableContents"/>
              <w:spacing w:before="0" w:after="0" w:line="240" w:lineRule="atLeast"/>
            </w:pPr>
            <w:r>
              <w:rPr>
                <w:rFonts w:ascii="Arial" w:hAnsi="Arial" w:cs="Arial" w:eastAsia="Arial"/>
                <w:sz w:val="16"/>
                <w:szCs w:val="16"/>
              </w:rPr>
              <w:t>Non-Acid Forming - a classification for rock or waste material that does not have the potential to generate acid drainage when exposed to water and oxygen.</w:t>
            </w:r>
          </w:p>
        </w:tc>
      </w:tr>
      <w:tr>
        <w:tc>
          <w:tcPr>
            <w:tcW w:type="dxa" w:w="4888"/>
          </w:tcPr>
          <w:p>
            <w:pPr>
              <w:pStyle w:val="TableContents"/>
              <w:spacing w:before="0" w:after="0" w:line="240" w:lineRule="atLeast"/>
            </w:pPr>
            <w:r>
              <w:rPr>
                <w:rFonts w:ascii="Arial" w:hAnsi="Arial" w:cs="Arial" w:eastAsia="Arial"/>
                <w:sz w:val="16"/>
                <w:szCs w:val="16"/>
              </w:rPr>
              <w:t>PAF</w:t>
            </w:r>
          </w:p>
        </w:tc>
        <w:tc>
          <w:tcPr>
            <w:tcW w:type="dxa" w:w="4889"/>
          </w:tcPr>
          <w:p>
            <w:pPr>
              <w:pStyle w:val="TableContents"/>
              <w:spacing w:before="0" w:after="0" w:line="240" w:lineRule="atLeast"/>
            </w:pPr>
            <w:r>
              <w:rPr>
                <w:rFonts w:ascii="Arial" w:hAnsi="Arial" w:cs="Arial" w:eastAsia="Arial"/>
                <w:sz w:val="16"/>
                <w:szCs w:val="16"/>
              </w:rPr>
              <w:t>Potentially Acid Forming - a classification for rock or waste material that contains sufficient sulphide minerals to generate acid drainage when exposed to water and oxygen.</w:t>
            </w:r>
          </w:p>
        </w:tc>
      </w:tr>
      <w:tr>
        <w:tc>
          <w:tcPr>
            <w:tcW w:type="dxa" w:w="4888"/>
          </w:tcPr>
          <w:p>
            <w:pPr>
              <w:pStyle w:val="TableContents"/>
              <w:spacing w:before="0" w:after="0" w:line="240" w:lineRule="atLeast"/>
            </w:pPr>
            <w:r>
              <w:rPr>
                <w:rFonts w:ascii="Arial" w:hAnsi="Arial" w:cs="Arial" w:eastAsia="Arial"/>
                <w:sz w:val="16"/>
                <w:szCs w:val="16"/>
              </w:rPr>
              <w:t>pH</w:t>
            </w:r>
          </w:p>
        </w:tc>
        <w:tc>
          <w:tcPr>
            <w:tcW w:type="dxa" w:w="4889"/>
          </w:tcPr>
          <w:p>
            <w:pPr>
              <w:pStyle w:val="TableContents"/>
              <w:spacing w:before="0" w:after="0" w:line="240" w:lineRule="atLeast"/>
            </w:pPr>
            <w:r>
              <w:rPr>
                <w:rFonts w:ascii="Arial" w:hAnsi="Arial" w:cs="Arial" w:eastAsia="Arial"/>
                <w:sz w:val="16"/>
                <w:szCs w:val="16"/>
              </w:rPr>
              <w:t>Potential of Hydrogen - a numeric scale used to specify the acidity or basicity of an aqueous solution, ranging from 0 (highly acidic) to 14 (highly alkaline), with 7 representing neutral; a critical water quality parameter.</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group under whose standards, procedures, and management frameworks this procedure is developed and implemented.</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providing information on the properties, hazards, handling, storage, and emergency response measures for a chemical substance or mixture, relevant to preventing chemical spills to water.</w:t>
            </w:r>
          </w:p>
        </w:tc>
      </w:tr>
      <w:tr>
        <w:tc>
          <w:tcPr>
            <w:tcW w:type="dxa" w:w="4888"/>
          </w:tcPr>
          <w:p>
            <w:pPr>
              <w:pStyle w:val="TableContents"/>
              <w:spacing w:before="0" w:after="0" w:line="240" w:lineRule="atLeast"/>
            </w:pPr>
            <w:r>
              <w:rPr>
                <w:rFonts w:ascii="Arial" w:hAnsi="Arial" w:cs="Arial" w:eastAsia="Arial"/>
                <w:sz w:val="16"/>
                <w:szCs w:val="16"/>
              </w:rPr>
              <w:t>SPCC</w:t>
            </w:r>
          </w:p>
        </w:tc>
        <w:tc>
          <w:tcPr>
            <w:tcW w:type="dxa" w:w="4889"/>
          </w:tcPr>
          <w:p>
            <w:pPr>
              <w:pStyle w:val="TableContents"/>
              <w:spacing w:before="0" w:after="0" w:line="240" w:lineRule="atLeast"/>
            </w:pPr>
            <w:r>
              <w:rPr>
                <w:rFonts w:ascii="Arial" w:hAnsi="Arial" w:cs="Arial" w:eastAsia="Arial"/>
                <w:sz w:val="16"/>
                <w:szCs w:val="16"/>
              </w:rPr>
              <w:t>Spill Prevention, Control, and Countermeasure - a plan or set of measures designed to prevent the release of hazardous substances, oils, or chemicals into water bodies, and to control and contain spills if they occur.</w:t>
            </w:r>
          </w:p>
        </w:tc>
      </w:tr>
      <w:tr>
        <w:tc>
          <w:tcPr>
            <w:tcW w:type="dxa" w:w="4888"/>
          </w:tcPr>
          <w:p>
            <w:pPr>
              <w:pStyle w:val="TableContents"/>
              <w:spacing w:before="0" w:after="0" w:line="240" w:lineRule="atLeast"/>
            </w:pPr>
            <w:r>
              <w:rPr>
                <w:rFonts w:ascii="Arial" w:hAnsi="Arial" w:cs="Arial" w:eastAsia="Arial"/>
                <w:sz w:val="16"/>
                <w:szCs w:val="16"/>
              </w:rPr>
              <w:t>SS</w:t>
            </w:r>
          </w:p>
        </w:tc>
        <w:tc>
          <w:tcPr>
            <w:tcW w:type="dxa" w:w="4889"/>
          </w:tcPr>
          <w:p>
            <w:pPr>
              <w:pStyle w:val="TableContents"/>
              <w:spacing w:before="0" w:after="0" w:line="240" w:lineRule="atLeast"/>
            </w:pPr>
            <w:r>
              <w:rPr>
                <w:rFonts w:ascii="Arial" w:hAnsi="Arial" w:cs="Arial" w:eastAsia="Arial"/>
                <w:sz w:val="16"/>
                <w:szCs w:val="16"/>
              </w:rPr>
              <w:t>Suspended Solids - particles of solid material suspended in water rather than dissolved, measured by mass concentration and used as an indicator of sediment load and water turbidity.</w:t>
            </w:r>
          </w:p>
        </w:tc>
      </w:tr>
      <w:tr>
        <w:tc>
          <w:tcPr>
            <w:tcW w:type="dxa" w:w="4888"/>
          </w:tcPr>
          <w:p>
            <w:pPr>
              <w:pStyle w:val="TableContents"/>
              <w:spacing w:before="0" w:after="0" w:line="240" w:lineRule="atLeast"/>
            </w:pPr>
            <w:r>
              <w:rPr>
                <w:rFonts w:ascii="Arial" w:hAnsi="Arial" w:cs="Arial" w:eastAsia="Arial"/>
                <w:sz w:val="16"/>
                <w:szCs w:val="16"/>
              </w:rPr>
              <w:t>TSS</w:t>
            </w:r>
          </w:p>
        </w:tc>
        <w:tc>
          <w:tcPr>
            <w:tcW w:type="dxa" w:w="4889"/>
          </w:tcPr>
          <w:p>
            <w:pPr>
              <w:pStyle w:val="TableContents"/>
              <w:spacing w:before="0" w:after="0" w:line="240" w:lineRule="atLeast"/>
            </w:pPr>
            <w:r>
              <w:rPr>
                <w:rFonts w:ascii="Arial" w:hAnsi="Arial" w:cs="Arial" w:eastAsia="Arial"/>
                <w:sz w:val="16"/>
                <w:szCs w:val="16"/>
              </w:rPr>
              <w:t>Total Suspended Solids - the total mass of solid particles retained on a filter from a water sample, a standard water quality parameter used to assess sediment and particulate pollution in discharge and receiving waters.</w:t>
            </w:r>
          </w:p>
        </w:tc>
      </w:tr>
      <w:tr>
        <w:tc>
          <w:tcPr>
            <w:tcW w:type="dxa" w:w="4888"/>
          </w:tcPr>
          <w:p>
            <w:pPr>
              <w:pStyle w:val="TableContents"/>
              <w:spacing w:before="0" w:after="0" w:line="240" w:lineRule="atLeast"/>
            </w:pPr>
            <w:r>
              <w:rPr>
                <w:rFonts w:ascii="Arial" w:hAnsi="Arial" w:cs="Arial" w:eastAsia="Arial"/>
                <w:sz w:val="16"/>
                <w:szCs w:val="16"/>
              </w:rPr>
              <w:t>TDS</w:t>
            </w:r>
          </w:p>
        </w:tc>
        <w:tc>
          <w:tcPr>
            <w:tcW w:type="dxa" w:w="4889"/>
          </w:tcPr>
          <w:p>
            <w:pPr>
              <w:pStyle w:val="TableContents"/>
              <w:spacing w:before="0" w:after="0" w:line="240" w:lineRule="atLeast"/>
            </w:pPr>
            <w:r>
              <w:rPr>
                <w:rFonts w:ascii="Arial" w:hAnsi="Arial" w:cs="Arial" w:eastAsia="Arial"/>
                <w:sz w:val="16"/>
                <w:szCs w:val="16"/>
              </w:rPr>
              <w:t>Total Dissolved Solids - the total concentration of dissolved substances in water, including salts, minerals, and metals, used as an indicator of overall water quality and salinity.</w:t>
            </w:r>
          </w:p>
        </w:tc>
      </w:tr>
      <w:tr>
        <w:tc>
          <w:tcPr>
            <w:tcW w:type="dxa" w:w="4888"/>
          </w:tcPr>
          <w:p>
            <w:pPr>
              <w:pStyle w:val="TableContents"/>
              <w:spacing w:before="0" w:after="0" w:line="240" w:lineRule="atLeast"/>
            </w:pPr>
            <w:r>
              <w:rPr>
                <w:rFonts w:ascii="Arial" w:hAnsi="Arial" w:cs="Arial" w:eastAsia="Arial"/>
                <w:sz w:val="16"/>
                <w:szCs w:val="16"/>
              </w:rPr>
              <w:t>WMP</w:t>
            </w:r>
          </w:p>
        </w:tc>
        <w:tc>
          <w:tcPr>
            <w:tcW w:type="dxa" w:w="4889"/>
          </w:tcPr>
          <w:p>
            <w:pPr>
              <w:pStyle w:val="TableContents"/>
              <w:spacing w:before="0" w:after="0" w:line="240" w:lineRule="atLeast"/>
            </w:pPr>
            <w:r>
              <w:rPr>
                <w:rFonts w:ascii="Arial" w:hAnsi="Arial" w:cs="Arial" w:eastAsia="Arial"/>
                <w:sz w:val="16"/>
                <w:szCs w:val="16"/>
              </w:rPr>
              <w:t>Water Management Plan - a project-specific plan that defines strategies, controls, and monitoring measures for the sustainable management of water resources, including abstraction, use, treatment, discharge, and protection of water quality.</w:t>
            </w:r>
          </w:p>
        </w:tc>
      </w:tr>
      <w:tr>
        <w:tc>
          <w:tcPr>
            <w:tcW w:type="dxa" w:w="4888"/>
          </w:tcPr>
          <w:p>
            <w:pPr>
              <w:pStyle w:val="TableContents"/>
              <w:spacing w:before="0" w:after="0" w:line="240" w:lineRule="atLeast"/>
            </w:pPr>
            <w:r>
              <w:rPr>
                <w:rFonts w:ascii="Arial" w:hAnsi="Arial" w:cs="Arial" w:eastAsia="Arial"/>
                <w:sz w:val="16"/>
                <w:szCs w:val="16"/>
              </w:rPr>
              <w:t>WQO</w:t>
            </w:r>
          </w:p>
        </w:tc>
        <w:tc>
          <w:tcPr>
            <w:tcW w:type="dxa" w:w="4889"/>
          </w:tcPr>
          <w:p>
            <w:pPr>
              <w:pStyle w:val="TableContents"/>
              <w:spacing w:before="0" w:after="0" w:line="240" w:lineRule="atLeast"/>
            </w:pPr>
            <w:r>
              <w:rPr>
                <w:rFonts w:ascii="Arial" w:hAnsi="Arial" w:cs="Arial" w:eastAsia="Arial"/>
                <w:sz w:val="16"/>
                <w:szCs w:val="16"/>
              </w:rPr>
              <w:t>Water Quality Objective - a defined target or standard for the quality of water in a receiving environment, established by regulatory authorities or project agreements to protect human health and aquatic ecosystems.</w:t>
            </w:r>
          </w:p>
        </w:tc>
      </w:tr>
      <w:tr>
        <w:tc>
          <w:tcPr>
            <w:tcW w:type="dxa" w:w="4888"/>
          </w:tcPr>
          <w:p>
            <w:pPr>
              <w:pStyle w:val="TableContents"/>
              <w:spacing w:before="0" w:after="0" w:line="240" w:lineRule="atLeast"/>
            </w:pPr>
            <w:r>
              <w:rPr>
                <w:rFonts w:ascii="Arial" w:hAnsi="Arial" w:cs="Arial" w:eastAsia="Arial"/>
                <w:sz w:val="16"/>
                <w:szCs w:val="16"/>
              </w:rPr>
              <w:t>WQS</w:t>
            </w:r>
          </w:p>
        </w:tc>
        <w:tc>
          <w:tcPr>
            <w:tcW w:type="dxa" w:w="4889"/>
          </w:tcPr>
          <w:p>
            <w:pPr>
              <w:pStyle w:val="TableContents"/>
              <w:spacing w:before="0" w:after="0" w:line="240" w:lineRule="atLeast"/>
            </w:pPr>
            <w:r>
              <w:rPr>
                <w:rFonts w:ascii="Arial" w:hAnsi="Arial" w:cs="Arial" w:eastAsia="Arial"/>
                <w:sz w:val="16"/>
                <w:szCs w:val="16"/>
              </w:rPr>
              <w:t>Water Quality Standard - a legally mandated or project-defined threshold for specific water quality parameters in receiving waterbodies or discharges, used to assess compliance and drive management actions.</w:t>
            </w:r>
          </w:p>
        </w:tc>
      </w:tr>
      <w:tr>
        <w:tc>
          <w:tcPr>
            <w:tcW w:type="dxa" w:w="4888"/>
          </w:tcPr>
          <w:p>
            <w:pPr>
              <w:pStyle w:val="TableContents"/>
              <w:spacing w:before="0" w:after="0" w:line="240" w:lineRule="atLeast"/>
            </w:pPr>
            <w:r>
              <w:rPr>
                <w:rFonts w:ascii="Arial" w:hAnsi="Arial" w:cs="Arial" w:eastAsia="Arial"/>
                <w:sz w:val="16"/>
                <w:szCs w:val="16"/>
              </w:rPr>
              <w:t>GIS</w:t>
            </w:r>
          </w:p>
        </w:tc>
        <w:tc>
          <w:tcPr>
            <w:tcW w:type="dxa" w:w="4889"/>
          </w:tcPr>
          <w:p>
            <w:pPr>
              <w:pStyle w:val="TableContents"/>
              <w:spacing w:before="0" w:after="0" w:line="240" w:lineRule="atLeast"/>
            </w:pPr>
            <w:r>
              <w:rPr>
                <w:rFonts w:ascii="Arial" w:hAnsi="Arial" w:cs="Arial" w:eastAsia="Arial"/>
                <w:sz w:val="16"/>
                <w:szCs w:val="16"/>
              </w:rPr>
              <w:t>Geographic Information System - a system for capturing, storing, analysing, and managing spatial and geographic data, used in water management to map catchments, waterbodies, monitoring points, and infrastructure.</w:t>
            </w:r>
          </w:p>
        </w:tc>
      </w:tr>
      <w:tr>
        <w:tc>
          <w:tcPr>
            <w:tcW w:type="dxa" w:w="4888"/>
          </w:tcPr>
          <w:p>
            <w:pPr>
              <w:pStyle w:val="TableContents"/>
              <w:spacing w:before="0" w:after="0" w:line="240" w:lineRule="atLeast"/>
            </w:pPr>
            <w:r>
              <w:rPr>
                <w:rFonts w:ascii="Arial" w:hAnsi="Arial" w:cs="Arial" w:eastAsia="Arial"/>
                <w:sz w:val="16"/>
                <w:szCs w:val="16"/>
              </w:rPr>
              <w:t>HDPE</w:t>
            </w:r>
          </w:p>
        </w:tc>
        <w:tc>
          <w:tcPr>
            <w:tcW w:type="dxa" w:w="4889"/>
          </w:tcPr>
          <w:p>
            <w:pPr>
              <w:pStyle w:val="TableContents"/>
              <w:spacing w:before="0" w:after="0" w:line="240" w:lineRule="atLeast"/>
            </w:pPr>
            <w:r>
              <w:rPr>
                <w:rFonts w:ascii="Arial" w:hAnsi="Arial" w:cs="Arial" w:eastAsia="Arial"/>
                <w:sz w:val="16"/>
                <w:szCs w:val="16"/>
              </w:rPr>
              <w:t>High-Density Polyethylene - a durable, chemically resistant plastic material commonly used for water containment structures, pipe systems, and liner systems to prevent leachate or contaminated water from entering the environment.</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International Finance Corporation - a member of the World Bank Group that publishes Performance Standards and Environmental, Health, and Safety Guidelines used as internationally recognised benchmarks for environmental and social management.</w:t>
            </w:r>
          </w:p>
        </w:tc>
      </w:tr>
      <w:tr>
        <w:tc>
          <w:tcPr>
            <w:tcW w:type="dxa" w:w="4888"/>
          </w:tcPr>
          <w:p>
            <w:pPr>
              <w:pStyle w:val="TableContents"/>
              <w:spacing w:before="0" w:after="0" w:line="240" w:lineRule="atLeast"/>
            </w:pPr>
            <w:r>
              <w:rPr>
                <w:rFonts w:ascii="Arial" w:hAnsi="Arial" w:cs="Arial" w:eastAsia="Arial"/>
                <w:sz w:val="16"/>
                <w:szCs w:val="16"/>
              </w:rPr>
              <w:t>IFC PS</w:t>
            </w:r>
          </w:p>
        </w:tc>
        <w:tc>
          <w:tcPr>
            <w:tcW w:type="dxa" w:w="4889"/>
          </w:tcPr>
          <w:p>
            <w:pPr>
              <w:pStyle w:val="TableContents"/>
              <w:spacing w:before="0" w:after="0" w:line="240" w:lineRule="atLeast"/>
            </w:pPr>
            <w:r>
              <w:rPr>
                <w:rFonts w:ascii="Arial" w:hAnsi="Arial" w:cs="Arial" w:eastAsia="Arial"/>
                <w:sz w:val="16"/>
                <w:szCs w:val="16"/>
              </w:rPr>
              <w:t>IFC Performance Standards - a set of eight performance standards published by the International Finance Corporation that define requirements for environmental and social risk management, including water resource protection, on financed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specified steps and requirements used within the Rio Tinto HSESC management system to ensure consistent and compliant implementation of management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entity within Rio Tinto responsible for delivering owner-led capital projects, under whose management system this procedure is developed and maintained.</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Chemicals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Reactive Mineral Waste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Environmental and Social Risk Assessment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Water Standard</w:t>
            </w:r>
          </w:p>
        </w:tc>
        <w:tc>
          <w:tcPr>
            <w:tcW w:type="dxa" w:w="3259"/>
          </w:tcPr>
          <w:p>
            <w:pPr>
              <w:pStyle w:val="TableContents"/>
              <w:spacing w:before="0" w:after="0" w:line="240" w:lineRule="atLeast"/>
            </w:pPr>
            <w:r>
              <w:rPr>
                <w:rFonts w:ascii="Arial" w:hAnsi="Arial" w:cs="Arial" w:eastAsia="Arial"/>
                <w:sz w:val="16"/>
                <w:szCs w:val="16"/>
              </w:rPr>
              <w:t>RT Water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Environmental and Social Standard</w:t>
            </w:r>
          </w:p>
        </w:tc>
        <w:tc>
          <w:tcPr>
            <w:tcW w:type="dxa" w:w="3259"/>
          </w:tcPr>
          <w:p>
            <w:pPr>
              <w:pStyle w:val="TableContents"/>
              <w:spacing w:before="0" w:after="0" w:line="240" w:lineRule="atLeast"/>
            </w:pPr>
            <w:r>
              <w:rPr>
                <w:rFonts w:ascii="Arial" w:hAnsi="Arial" w:cs="Arial" w:eastAsia="Arial"/>
                <w:sz w:val="16"/>
                <w:szCs w:val="16"/>
              </w:rPr>
              <w:t>RT Environmental and Social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IFC Performance Standards on Environmental and Social Sustainability - Performance Standard 3: Resource Efficiency and Pollution Prevention</w:t>
            </w:r>
          </w:p>
        </w:tc>
        <w:tc>
          <w:tcPr>
            <w:tcW w:type="dxa" w:w="3259"/>
          </w:tcPr>
          <w:p>
            <w:pPr>
              <w:pStyle w:val="TableContents"/>
              <w:spacing w:before="0" w:after="0" w:line="240" w:lineRule="atLeast"/>
            </w:pPr>
            <w:r>
              <w:rPr>
                <w:rFonts w:ascii="Arial" w:hAnsi="Arial" w:cs="Arial" w:eastAsia="Arial"/>
                <w:sz w:val="16"/>
                <w:szCs w:val="16"/>
              </w:rPr>
              <w:t>IFC PS 3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Standards on Environmental and Social Sustainability - Performance Standard 6: Biodiversity Conservation and Sustainable Management of Living Natural Resources</w:t>
            </w:r>
          </w:p>
        </w:tc>
        <w:tc>
          <w:tcPr>
            <w:tcW w:type="dxa" w:w="3259"/>
          </w:tcPr>
          <w:p>
            <w:pPr>
              <w:pStyle w:val="TableContents"/>
              <w:spacing w:before="0" w:after="0" w:line="240" w:lineRule="atLeast"/>
            </w:pPr>
            <w:r>
              <w:rPr>
                <w:rFonts w:ascii="Arial" w:hAnsi="Arial" w:cs="Arial" w:eastAsia="Arial"/>
                <w:sz w:val="16"/>
                <w:szCs w:val="16"/>
              </w:rPr>
              <w:t>IFC PS 6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Environmental, Health, and Safety General Guidelines - Water Quality</w:t>
            </w:r>
          </w:p>
        </w:tc>
        <w:tc>
          <w:tcPr>
            <w:tcW w:type="dxa" w:w="3259"/>
          </w:tcPr>
          <w:p>
            <w:pPr>
              <w:pStyle w:val="TableContents"/>
              <w:spacing w:before="0" w:after="0" w:line="240" w:lineRule="atLeast"/>
            </w:pPr>
            <w:r>
              <w:rPr>
                <w:rFonts w:ascii="Arial" w:hAnsi="Arial" w:cs="Arial" w:eastAsia="Arial"/>
                <w:sz w:val="16"/>
                <w:szCs w:val="16"/>
              </w:rPr>
              <w:t>IFC EHS General Guidelines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World Health Organization Drinking-water Quality Guidelines</w:t>
            </w:r>
          </w:p>
        </w:tc>
        <w:tc>
          <w:tcPr>
            <w:tcW w:type="dxa" w:w="3259"/>
          </w:tcPr>
          <w:p>
            <w:pPr>
              <w:pStyle w:val="TableContents"/>
              <w:spacing w:before="0" w:after="0" w:line="240" w:lineRule="atLeast"/>
            </w:pPr>
            <w:r>
              <w:rPr>
                <w:rFonts w:ascii="Arial" w:hAnsi="Arial" w:cs="Arial" w:eastAsia="Arial"/>
                <w:sz w:val="16"/>
                <w:szCs w:val="16"/>
              </w:rPr>
              <w:t>WHO Guidelines for Drinking-water Quality, 4th Edition (2017)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and New Zealand Guidelines for Fresh and Marine Water Quality</w:t>
            </w:r>
          </w:p>
        </w:tc>
        <w:tc>
          <w:tcPr>
            <w:tcW w:type="dxa" w:w="3259"/>
          </w:tcPr>
          <w:p>
            <w:pPr>
              <w:pStyle w:val="TableContents"/>
              <w:spacing w:before="0" w:after="0" w:line="240" w:lineRule="atLeast"/>
            </w:pPr>
            <w:r>
              <w:rPr>
                <w:rFonts w:ascii="Arial" w:hAnsi="Arial" w:cs="Arial" w:eastAsia="Arial"/>
                <w:sz w:val="16"/>
                <w:szCs w:val="16"/>
              </w:rPr>
              <w:t>ANZG Water Quality Guidelines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 Industry Standard on Tailings Management</w:t>
            </w:r>
          </w:p>
        </w:tc>
        <w:tc>
          <w:tcPr>
            <w:tcW w:type="dxa" w:w="3259"/>
          </w:tcPr>
          <w:p>
            <w:pPr>
              <w:pStyle w:val="TableContents"/>
              <w:spacing w:before="0" w:after="0" w:line="240" w:lineRule="atLeast"/>
            </w:pPr>
            <w:r>
              <w:rPr>
                <w:rFonts w:ascii="Arial" w:hAnsi="Arial" w:cs="Arial" w:eastAsia="Arial"/>
                <w:sz w:val="16"/>
                <w:szCs w:val="16"/>
              </w:rPr>
              <w:t>GISTM (2020)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Water Management Standard</w:t>
            </w:r>
          </w:p>
        </w:tc>
        <w:tc>
          <w:tcPr>
            <w:tcW w:type="dxa" w:w="2256"/>
          </w:tcPr>
          <w:p>
            <w:pPr>
              <w:pStyle w:val="TableContents"/>
              <w:spacing w:before="0" w:after="0" w:line="240" w:lineRule="atLeast"/>
            </w:pPr>
            <w:r>
              <w:rPr>
                <w:rFonts w:ascii="Arial" w:hAnsi="Arial" w:cs="Arial" w:eastAsia="Arial"/>
                <w:sz w:val="16"/>
                <w:szCs w:val="16"/>
              </w:rPr>
              <w:t>Requires baseline characterisation of water conditions, optimised water use, controls on environmental flows, stormwater diversion, compliance with discharge limits, flooding risk assessment, and closure planning to minimise legacy water management obligations.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§8</w:t>
            </w:r>
          </w:p>
        </w:tc>
        <w:tc>
          <w:tcPr>
            <w:tcW w:type="dxa" w:w="2256"/>
          </w:tcPr>
          <w:p>
            <w:pPr>
              <w:pStyle w:val="TableContents"/>
              <w:spacing w:before="0" w:after="0" w:line="240" w:lineRule="atLeast"/>
            </w:pPr>
            <w:r>
              <w:rPr>
                <w:rFonts w:ascii="Arial" w:hAnsi="Arial" w:cs="Arial" w:eastAsia="Arial"/>
                <w:sz w:val="16"/>
                <w:szCs w:val="16"/>
              </w:rPr>
              <w:t>Requires identification of potential water pollution sources and design of controls to prevent pollutant pathways to receiving water bodies.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IFC EHS General Guidelines §1.3</w:t>
            </w:r>
          </w:p>
        </w:tc>
        <w:tc>
          <w:tcPr>
            <w:tcW w:type="dxa" w:w="2256"/>
          </w:tcPr>
          <w:p>
            <w:pPr>
              <w:pStyle w:val="TableContents"/>
              <w:spacing w:before="0" w:after="0" w:line="240" w:lineRule="atLeast"/>
            </w:pPr>
            <w:r>
              <w:rPr>
                <w:rFonts w:ascii="Arial" w:hAnsi="Arial" w:cs="Arial" w:eastAsia="Arial"/>
                <w:sz w:val="16"/>
                <w:szCs w:val="16"/>
              </w:rPr>
              <w:t>Requires design and management of stormwater controls to prevent sediment and pollutant runoff reaching waterways or groundwater, and defines water quality monitoring parameters, trigger levels, and escalation actions for exceedances.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IFC EHS General Guidelines §2.9</w:t>
            </w:r>
          </w:p>
        </w:tc>
        <w:tc>
          <w:tcPr>
            <w:tcW w:type="dxa" w:w="2256"/>
          </w:tcPr>
          <w:p>
            <w:pPr>
              <w:pStyle w:val="TableContents"/>
              <w:spacing w:before="0" w:after="0" w:line="240" w:lineRule="atLeast"/>
            </w:pPr>
            <w:r>
              <w:rPr>
                <w:rFonts w:ascii="Arial" w:hAnsi="Arial" w:cs="Arial" w:eastAsia="Arial"/>
                <w:sz w:val="16"/>
                <w:szCs w:val="16"/>
              </w:rPr>
              <w:t>Requires definition of water quality monitoring parameters, locations, frequency, and QA/QC requirements including trigger levels and escalation actions for water quality exceedances.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Water Stewardship Protocol, Indicator WS1</w:t>
            </w:r>
          </w:p>
        </w:tc>
        <w:tc>
          <w:tcPr>
            <w:tcW w:type="dxa" w:w="2256"/>
          </w:tcPr>
          <w:p>
            <w:pPr>
              <w:pStyle w:val="TableContents"/>
              <w:spacing w:before="0" w:after="0" w:line="240" w:lineRule="atLeast"/>
            </w:pPr>
            <w:r>
              <w:rPr>
                <w:rFonts w:ascii="Arial" w:hAnsi="Arial" w:cs="Arial" w:eastAsia="Arial"/>
                <w:sz w:val="16"/>
                <w:szCs w:val="16"/>
              </w:rPr>
              <w:t>Requires implementation of a site water balance to understand project water sources, uses, and discharges as a basis for water efficiency planning and risk management.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Water Stewardship Protocol, Indicator WS2</w:t>
            </w:r>
          </w:p>
        </w:tc>
        <w:tc>
          <w:tcPr>
            <w:tcW w:type="dxa" w:w="2256"/>
          </w:tcPr>
          <w:p>
            <w:pPr>
              <w:pStyle w:val="TableContents"/>
              <w:spacing w:before="0" w:after="0" w:line="240" w:lineRule="atLeast"/>
            </w:pPr>
            <w:r>
              <w:rPr>
                <w:rFonts w:ascii="Arial" w:hAnsi="Arial" w:cs="Arial" w:eastAsia="Arial"/>
                <w:sz w:val="16"/>
                <w:szCs w:val="16"/>
              </w:rPr>
              <w:t>Requires implementation of water use reduction and efficiency measures, tracking of abstraction volumes, and setting of targets for reducing environmental water withdrawals.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