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44"/>
        </w:rPr>
        <w:t>Client Progress Update</w:t>
      </w:r>
    </w:p>
    <w:p>
      <w:pPr>
        <w:spacing w:after="360"/>
        <w:jc w:val="center"/>
      </w:pPr>
      <w:r>
        <w:rPr>
          <w:rFonts w:ascii="Calibri" w:hAnsi="Calibri"/>
          <w:color w:val="595959"/>
          <w:sz w:val="22"/>
        </w:rPr>
        <w:t>Daily Implementation Summary | August 24, 2026</w:t>
      </w:r>
    </w:p>
    <w:p>
      <w:pPr>
        <w:spacing w:before="280" w:after="120"/>
      </w:pPr>
      <w:r>
        <w:rPr>
          <w:rFonts w:ascii="Calibri" w:hAnsi="Calibri"/>
          <w:b/>
          <w:color w:val="1F4E79"/>
          <w:sz w:val="28"/>
        </w:rPr>
        <w:t>Overview</w:t>
      </w:r>
    </w:p>
    <w:p>
      <w:pPr>
        <w:spacing w:after="120" w:line="264" w:lineRule="auto"/>
      </w:pPr>
      <w:r>
        <w:rPr>
          <w:rFonts w:ascii="Calibri" w:hAnsi="Calibri"/>
          <w:sz w:val="21"/>
        </w:rPr>
        <w:t>Today focused on improving the scanner foundation and delivering the EMA screening experience requested for client review. The work completed today strengthens result reliability, improves alignment with TradingView checks, and adds a clearer user experience for EMA-based screening.</w:t>
      </w:r>
    </w:p>
    <w:p>
      <w:pPr>
        <w:spacing w:before="280" w:after="120"/>
      </w:pPr>
      <w:r>
        <w:rPr>
          <w:rFonts w:ascii="Calibri" w:hAnsi="Calibri"/>
          <w:b/>
          <w:color w:val="1F4E79"/>
          <w:sz w:val="28"/>
        </w:rPr>
        <w:t>Completed Today</w:t>
      </w:r>
    </w:p>
    <w:p>
      <w:pPr>
        <w:pStyle w:val="ListBullet"/>
        <w:spacing w:after="80"/>
      </w:pPr>
      <w:r>
        <w:rPr>
          <w:rFonts w:ascii="Calibri" w:hAnsi="Calibri"/>
          <w:sz w:val="21"/>
        </w:rPr>
        <w:t>Improved scanner reliability by ensuring checks are based on completed candles.</w:t>
      </w:r>
    </w:p>
    <w:p>
      <w:pPr>
        <w:pStyle w:val="ListBullet"/>
        <w:spacing w:after="80"/>
      </w:pPr>
      <w:r>
        <w:rPr>
          <w:rFonts w:ascii="Calibri" w:hAnsi="Calibri"/>
          <w:sz w:val="21"/>
        </w:rPr>
        <w:t>Added EMA screening behavior that supports TradingView-style review for selected EMA levels.</w:t>
      </w:r>
    </w:p>
    <w:p>
      <w:pPr>
        <w:pStyle w:val="ListBullet"/>
        <w:spacing w:after="80"/>
      </w:pPr>
      <w:r>
        <w:rPr>
          <w:rFonts w:ascii="Calibri" w:hAnsi="Calibri"/>
          <w:sz w:val="21"/>
        </w:rPr>
        <w:t>Added support for the common EMA 20, 50, 100, and 200 setup used in TradingView.</w:t>
      </w:r>
    </w:p>
    <w:p>
      <w:pPr>
        <w:pStyle w:val="ListBullet"/>
        <w:spacing w:after="80"/>
      </w:pPr>
      <w:r>
        <w:rPr>
          <w:rFonts w:ascii="Calibri" w:hAnsi="Calibri"/>
          <w:sz w:val="21"/>
        </w:rPr>
        <w:t>Added client-facing EMA controls so users can select EMA periods, choose match behavior, and adjust the EMA condition range.</w:t>
      </w:r>
    </w:p>
    <w:p>
      <w:pPr>
        <w:pStyle w:val="ListBullet"/>
        <w:spacing w:after="80"/>
      </w:pPr>
      <w:r>
        <w:rPr>
          <w:rFonts w:ascii="Calibri" w:hAnsi="Calibri"/>
          <w:sz w:val="21"/>
        </w:rPr>
        <w:t>Added a quick preset for EMA 20/50/100/200 to make the TradingView comparison easier.</w:t>
      </w:r>
    </w:p>
    <w:p>
      <w:pPr>
        <w:pStyle w:val="ListBullet"/>
        <w:spacing w:after="80"/>
      </w:pPr>
      <w:r>
        <w:rPr>
          <w:rFonts w:ascii="Calibri" w:hAnsi="Calibri"/>
          <w:sz w:val="21"/>
        </w:rPr>
        <w:t>Added quality checks around the EMA behavior to confirm the expected passing cases.</w:t>
      </w:r>
    </w:p>
    <w:p>
      <w:pPr>
        <w:spacing w:before="280" w:after="120"/>
      </w:pPr>
      <w:r>
        <w:rPr>
          <w:rFonts w:ascii="Calibri" w:hAnsi="Calibri"/>
          <w:b/>
          <w:color w:val="1F4E79"/>
          <w:sz w:val="28"/>
        </w:rPr>
        <w:t>Testing Report Included</w:t>
      </w:r>
    </w:p>
    <w:p>
      <w:pPr>
        <w:spacing w:after="120" w:line="264" w:lineRule="auto"/>
      </w:pPr>
      <w:r>
        <w:rPr>
          <w:rFonts w:ascii="Calibri" w:hAnsi="Calibri"/>
          <w:sz w:val="21"/>
        </w:rPr>
        <w:t>The supplied EMA testing report was reviewed and included in this update as client-facing evidence. It records passing EMA examples using TradingView as the reference view.</w:t>
      </w:r>
    </w:p>
    <w:tbl>
      <w:tblPr>
        <w:tblStyle w:val="TableGrid"/>
        <w:tblW w:type="auto" w:w="0"/>
        <w:tblLook w:firstColumn="1" w:firstRow="1" w:lastColumn="0" w:lastRow="0" w:noHBand="0" w:noVBand="1" w:val="04A0"/>
      </w:tblPr>
      <w:tblGrid>
        <w:gridCol w:w="4680"/>
        <w:gridCol w:w="4680"/>
      </w:tblGrid>
      <w:tr>
        <w:tc>
          <w:tcPr>
            <w:tcW w:type="dxa" w:w="4680"/>
            <w:vAlign w:val="center"/>
            <w:shd w:fill="F2F4F7"/>
          </w:tcPr>
          <w:p>
            <w:pPr>
              <w:jc w:val="left"/>
            </w:pPr>
            <w:r/>
            <w:r>
              <w:rPr>
                <w:rFonts w:ascii="Calibri" w:hAnsi="Calibri"/>
                <w:b/>
                <w:color w:val="1F4E79"/>
                <w:sz w:val="20"/>
              </w:rPr>
              <w:t>Testing report</w:t>
            </w:r>
          </w:p>
        </w:tc>
        <w:tc>
          <w:tcPr>
            <w:tcW w:type="dxa" w:w="4680"/>
            <w:vAlign w:val="center"/>
          </w:tcPr>
          <w:p>
            <w:pPr>
              <w:jc w:val="left"/>
            </w:pPr>
            <w:r/>
            <w:r>
              <w:rPr>
                <w:rFonts w:ascii="Calibri" w:hAnsi="Calibri"/>
                <w:b w:val="0"/>
                <w:sz w:val="20"/>
              </w:rPr>
              <w:t>EMA Indicator Testing, Passing Results Report</w:t>
            </w:r>
          </w:p>
        </w:tc>
      </w:tr>
      <w:tr>
        <w:tc>
          <w:tcPr>
            <w:tcW w:type="dxa" w:w="4680"/>
            <w:vAlign w:val="center"/>
            <w:shd w:fill="F2F4F7"/>
          </w:tcPr>
          <w:p>
            <w:pPr>
              <w:jc w:val="left"/>
            </w:pPr>
            <w:r/>
            <w:r>
              <w:rPr>
                <w:rFonts w:ascii="Calibri" w:hAnsi="Calibri"/>
                <w:b/>
                <w:color w:val="1F4E79"/>
                <w:sz w:val="20"/>
              </w:rPr>
              <w:t>Reference platform</w:t>
            </w:r>
          </w:p>
        </w:tc>
        <w:tc>
          <w:tcPr>
            <w:tcW w:type="dxa" w:w="4680"/>
            <w:vAlign w:val="center"/>
          </w:tcPr>
          <w:p>
            <w:pPr>
              <w:jc w:val="left"/>
            </w:pPr>
            <w:r/>
            <w:r>
              <w:rPr>
                <w:rFonts w:ascii="Calibri" w:hAnsi="Calibri"/>
                <w:b w:val="0"/>
                <w:sz w:val="20"/>
              </w:rPr>
              <w:t>TradingView</w:t>
            </w:r>
          </w:p>
        </w:tc>
      </w:tr>
      <w:tr>
        <w:tc>
          <w:tcPr>
            <w:tcW w:type="dxa" w:w="4680"/>
            <w:vAlign w:val="center"/>
            <w:shd w:fill="F2F4F7"/>
          </w:tcPr>
          <w:p>
            <w:pPr>
              <w:jc w:val="left"/>
            </w:pPr>
            <w:r/>
            <w:r>
              <w:rPr>
                <w:rFonts w:ascii="Calibri" w:hAnsi="Calibri"/>
                <w:b/>
                <w:color w:val="1F4E79"/>
                <w:sz w:val="20"/>
              </w:rPr>
              <w:t>Test date</w:t>
            </w:r>
          </w:p>
        </w:tc>
        <w:tc>
          <w:tcPr>
            <w:tcW w:type="dxa" w:w="4680"/>
            <w:vAlign w:val="center"/>
          </w:tcPr>
          <w:p>
            <w:pPr>
              <w:jc w:val="left"/>
            </w:pPr>
            <w:r/>
            <w:r>
              <w:rPr>
                <w:rFonts w:ascii="Calibri" w:hAnsi="Calibri"/>
                <w:b w:val="0"/>
                <w:sz w:val="20"/>
              </w:rPr>
              <w:t>24 August 2026</w:t>
            </w:r>
          </w:p>
        </w:tc>
      </w:tr>
      <w:tr>
        <w:tc>
          <w:tcPr>
            <w:tcW w:type="dxa" w:w="4680"/>
            <w:vAlign w:val="center"/>
            <w:shd w:fill="F2F4F7"/>
          </w:tcPr>
          <w:p>
            <w:pPr>
              <w:jc w:val="left"/>
            </w:pPr>
            <w:r/>
            <w:r>
              <w:rPr>
                <w:rFonts w:ascii="Calibri" w:hAnsi="Calibri"/>
                <w:b/>
                <w:color w:val="1F4E79"/>
                <w:sz w:val="20"/>
              </w:rPr>
              <w:t>Overall result</w:t>
            </w:r>
          </w:p>
        </w:tc>
        <w:tc>
          <w:tcPr>
            <w:tcW w:type="dxa" w:w="4680"/>
            <w:vAlign w:val="center"/>
          </w:tcPr>
          <w:p>
            <w:pPr>
              <w:jc w:val="left"/>
            </w:pPr>
            <w:r/>
            <w:r>
              <w:rPr>
                <w:rFonts w:ascii="Calibri" w:hAnsi="Calibri"/>
                <w:b w:val="0"/>
                <w:sz w:val="20"/>
              </w:rPr>
              <w:t>PASS</w:t>
            </w:r>
          </w:p>
        </w:tc>
      </w:tr>
      <w:tr>
        <w:tc>
          <w:tcPr>
            <w:tcW w:type="dxa" w:w="4680"/>
            <w:vAlign w:val="center"/>
            <w:shd w:fill="F2F4F7"/>
          </w:tcPr>
          <w:p>
            <w:pPr>
              <w:jc w:val="left"/>
            </w:pPr>
            <w:r/>
            <w:r>
              <w:rPr>
                <w:rFonts w:ascii="Calibri" w:hAnsi="Calibri"/>
                <w:b/>
                <w:color w:val="1F4E79"/>
                <w:sz w:val="20"/>
              </w:rPr>
              <w:t>Evidence covered</w:t>
            </w:r>
          </w:p>
        </w:tc>
        <w:tc>
          <w:tcPr>
            <w:tcW w:type="dxa" w:w="4680"/>
            <w:vAlign w:val="center"/>
          </w:tcPr>
          <w:p>
            <w:pPr>
              <w:jc w:val="left"/>
            </w:pPr>
            <w:r/>
            <w:r>
              <w:rPr>
                <w:rFonts w:ascii="Calibri" w:hAnsi="Calibri"/>
                <w:b w:val="0"/>
                <w:sz w:val="20"/>
              </w:rPr>
              <w:t>13 passing chart examples across 5m, 15m, 1h, and 1D timeframes</w:t>
            </w:r>
          </w:p>
        </w:tc>
      </w:tr>
    </w:tbl>
    <w:p>
      <w:pPr>
        <w:spacing w:before="280" w:after="120"/>
      </w:pPr>
      <w:r>
        <w:rPr>
          <w:rFonts w:ascii="Calibri" w:hAnsi="Calibri"/>
          <w:b/>
          <w:color w:val="1F4E79"/>
          <w:sz w:val="28"/>
        </w:rPr>
        <w:t>Testing Evidence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1F4E79"/>
          </w:tcPr>
          <w:p>
            <w:pPr>
              <w:jc w:val="left"/>
            </w:pPr>
            <w:r/>
            <w:r>
              <w:rPr>
                <w:rFonts w:ascii="Calibri" w:hAnsi="Calibri"/>
                <w:b/>
                <w:color w:val="FFFFFF"/>
                <w:sz w:val="20"/>
              </w:rPr>
              <w:t>Symbol</w:t>
            </w:r>
          </w:p>
        </w:tc>
        <w:tc>
          <w:tcPr>
            <w:tcW w:type="dxa" w:w="2340"/>
            <w:vAlign w:val="center"/>
            <w:shd w:fill="1F4E79"/>
          </w:tcPr>
          <w:p>
            <w:pPr>
              <w:jc w:val="left"/>
            </w:pPr>
            <w:r/>
            <w:r>
              <w:rPr>
                <w:rFonts w:ascii="Calibri" w:hAnsi="Calibri"/>
                <w:b/>
                <w:color w:val="FFFFFF"/>
                <w:sz w:val="20"/>
              </w:rPr>
              <w:t>Timeframe</w:t>
            </w:r>
          </w:p>
        </w:tc>
        <w:tc>
          <w:tcPr>
            <w:tcW w:type="dxa" w:w="2340"/>
            <w:vAlign w:val="center"/>
            <w:shd w:fill="1F4E79"/>
          </w:tcPr>
          <w:p>
            <w:pPr>
              <w:jc w:val="left"/>
            </w:pPr>
            <w:r/>
            <w:r>
              <w:rPr>
                <w:rFonts w:ascii="Calibri" w:hAnsi="Calibri"/>
                <w:b/>
                <w:color w:val="FFFFFF"/>
                <w:sz w:val="20"/>
              </w:rPr>
              <w:t>Observed EMA</w:t>
            </w:r>
          </w:p>
        </w:tc>
        <w:tc>
          <w:tcPr>
            <w:tcW w:type="dxa" w:w="2340"/>
            <w:vAlign w:val="center"/>
            <w:shd w:fill="1F4E79"/>
          </w:tcPr>
          <w:p>
            <w:pPr>
              <w:jc w:val="left"/>
            </w:pPr>
            <w:r/>
            <w:r>
              <w:rPr>
                <w:rFonts w:ascii="Calibri" w:hAnsi="Calibri"/>
                <w:b/>
                <w:color w:val="FFFFFF"/>
                <w:sz w:val="20"/>
              </w:rPr>
              <w:t>Result</w:t>
            </w:r>
          </w:p>
        </w:tc>
      </w:tr>
      <w:tr>
        <w:tc>
          <w:tcPr>
            <w:tcW w:type="dxa" w:w="2340"/>
            <w:vAlign w:val="center"/>
          </w:tcPr>
          <w:p>
            <w:pPr>
              <w:jc w:val="left"/>
            </w:pPr>
            <w:r/>
            <w:r>
              <w:rPr>
                <w:rFonts w:ascii="Calibri" w:hAnsi="Calibri"/>
                <w:b w:val="0"/>
                <w:sz w:val="20"/>
              </w:rPr>
              <w:t>AAMI</w:t>
            </w:r>
          </w:p>
        </w:tc>
        <w:tc>
          <w:tcPr>
            <w:tcW w:type="dxa" w:w="2340"/>
            <w:vAlign w:val="center"/>
          </w:tcPr>
          <w:p>
            <w:pPr>
              <w:jc w:val="left"/>
            </w:pPr>
            <w:r/>
            <w:r>
              <w:rPr>
                <w:rFonts w:ascii="Calibri" w:hAnsi="Calibri"/>
                <w:b w:val="0"/>
                <w:sz w:val="20"/>
              </w:rPr>
              <w:t>1h</w:t>
            </w:r>
          </w:p>
        </w:tc>
        <w:tc>
          <w:tcPr>
            <w:tcW w:type="dxa" w:w="2340"/>
            <w:vAlign w:val="center"/>
          </w:tcPr>
          <w:p>
            <w:pPr>
              <w:jc w:val="left"/>
            </w:pPr>
            <w:r/>
            <w:r>
              <w:rPr>
                <w:rFonts w:ascii="Calibri" w:hAnsi="Calibri"/>
                <w:b w:val="0"/>
                <w:sz w:val="20"/>
              </w:rPr>
              <w:t>EMA 50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AFYA</w:t>
            </w:r>
          </w:p>
        </w:tc>
        <w:tc>
          <w:tcPr>
            <w:tcW w:type="dxa" w:w="2340"/>
            <w:vAlign w:val="center"/>
          </w:tcPr>
          <w:p>
            <w:pPr>
              <w:jc w:val="left"/>
            </w:pPr>
            <w:r/>
            <w:r>
              <w:rPr>
                <w:rFonts w:ascii="Calibri" w:hAnsi="Calibri"/>
                <w:b w:val="0"/>
                <w:sz w:val="20"/>
              </w:rPr>
              <w:t>1h</w:t>
            </w:r>
          </w:p>
        </w:tc>
        <w:tc>
          <w:tcPr>
            <w:tcW w:type="dxa" w:w="2340"/>
            <w:vAlign w:val="center"/>
          </w:tcPr>
          <w:p>
            <w:pPr>
              <w:jc w:val="left"/>
            </w:pPr>
            <w:r/>
            <w:r>
              <w:rPr>
                <w:rFonts w:ascii="Calibri" w:hAnsi="Calibri"/>
                <w:b w:val="0"/>
                <w:sz w:val="20"/>
              </w:rPr>
              <w:t>EMA 20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HPP</w:t>
            </w:r>
          </w:p>
        </w:tc>
        <w:tc>
          <w:tcPr>
            <w:tcW w:type="dxa" w:w="2340"/>
            <w:vAlign w:val="center"/>
          </w:tcPr>
          <w:p>
            <w:pPr>
              <w:jc w:val="left"/>
            </w:pPr>
            <w:r/>
            <w:r>
              <w:rPr>
                <w:rFonts w:ascii="Calibri" w:hAnsi="Calibri"/>
                <w:b w:val="0"/>
                <w:sz w:val="20"/>
              </w:rPr>
              <w:t>1h</w:t>
            </w:r>
          </w:p>
        </w:tc>
        <w:tc>
          <w:tcPr>
            <w:tcW w:type="dxa" w:w="2340"/>
            <w:vAlign w:val="center"/>
          </w:tcPr>
          <w:p>
            <w:pPr>
              <w:jc w:val="left"/>
            </w:pPr>
            <w:r/>
            <w:r>
              <w:rPr>
                <w:rFonts w:ascii="Calibri" w:hAnsi="Calibri"/>
                <w:b w:val="0"/>
                <w:sz w:val="20"/>
              </w:rPr>
              <w:t>EMA 200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APAM</w:t>
            </w:r>
          </w:p>
        </w:tc>
        <w:tc>
          <w:tcPr>
            <w:tcW w:type="dxa" w:w="2340"/>
            <w:vAlign w:val="center"/>
          </w:tcPr>
          <w:p>
            <w:pPr>
              <w:jc w:val="left"/>
            </w:pPr>
            <w:r/>
            <w:r>
              <w:rPr>
                <w:rFonts w:ascii="Calibri" w:hAnsi="Calibri"/>
                <w:b w:val="0"/>
                <w:sz w:val="20"/>
              </w:rPr>
              <w:t>1h</w:t>
            </w:r>
          </w:p>
        </w:tc>
        <w:tc>
          <w:tcPr>
            <w:tcW w:type="dxa" w:w="2340"/>
            <w:vAlign w:val="center"/>
          </w:tcPr>
          <w:p>
            <w:pPr>
              <w:jc w:val="left"/>
            </w:pPr>
            <w:r/>
            <w:r>
              <w:rPr>
                <w:rFonts w:ascii="Calibri" w:hAnsi="Calibri"/>
                <w:b w:val="0"/>
                <w:sz w:val="20"/>
              </w:rPr>
              <w:t>EMA 20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ASIX</w:t>
            </w:r>
          </w:p>
        </w:tc>
        <w:tc>
          <w:tcPr>
            <w:tcW w:type="dxa" w:w="2340"/>
            <w:vAlign w:val="center"/>
          </w:tcPr>
          <w:p>
            <w:pPr>
              <w:jc w:val="left"/>
            </w:pPr>
            <w:r/>
            <w:r>
              <w:rPr>
                <w:rFonts w:ascii="Calibri" w:hAnsi="Calibri"/>
                <w:b w:val="0"/>
                <w:sz w:val="20"/>
              </w:rPr>
              <w:t>1h</w:t>
            </w:r>
          </w:p>
        </w:tc>
        <w:tc>
          <w:tcPr>
            <w:tcW w:type="dxa" w:w="2340"/>
            <w:vAlign w:val="center"/>
          </w:tcPr>
          <w:p>
            <w:pPr>
              <w:jc w:val="left"/>
            </w:pPr>
            <w:r/>
            <w:r>
              <w:rPr>
                <w:rFonts w:ascii="Calibri" w:hAnsi="Calibri"/>
                <w:b w:val="0"/>
                <w:sz w:val="20"/>
              </w:rPr>
              <w:t>EMA 20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ALG</w:t>
            </w:r>
          </w:p>
        </w:tc>
        <w:tc>
          <w:tcPr>
            <w:tcW w:type="dxa" w:w="2340"/>
            <w:vAlign w:val="center"/>
          </w:tcPr>
          <w:p>
            <w:pPr>
              <w:jc w:val="left"/>
            </w:pPr>
            <w:r/>
            <w:r>
              <w:rPr>
                <w:rFonts w:ascii="Calibri" w:hAnsi="Calibri"/>
                <w:b w:val="0"/>
                <w:sz w:val="20"/>
              </w:rPr>
              <w:t>1D</w:t>
            </w:r>
          </w:p>
        </w:tc>
        <w:tc>
          <w:tcPr>
            <w:tcW w:type="dxa" w:w="2340"/>
            <w:vAlign w:val="center"/>
          </w:tcPr>
          <w:p>
            <w:pPr>
              <w:jc w:val="left"/>
            </w:pPr>
            <w:r/>
            <w:r>
              <w:rPr>
                <w:rFonts w:ascii="Calibri" w:hAnsi="Calibri"/>
                <w:b w:val="0"/>
                <w:sz w:val="20"/>
              </w:rPr>
              <w:t>EMA 50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ADNT</w:t>
            </w:r>
          </w:p>
        </w:tc>
        <w:tc>
          <w:tcPr>
            <w:tcW w:type="dxa" w:w="2340"/>
            <w:vAlign w:val="center"/>
          </w:tcPr>
          <w:p>
            <w:pPr>
              <w:jc w:val="left"/>
            </w:pPr>
            <w:r/>
            <w:r>
              <w:rPr>
                <w:rFonts w:ascii="Calibri" w:hAnsi="Calibri"/>
                <w:b w:val="0"/>
                <w:sz w:val="20"/>
              </w:rPr>
              <w:t>1D</w:t>
            </w:r>
          </w:p>
        </w:tc>
        <w:tc>
          <w:tcPr>
            <w:tcW w:type="dxa" w:w="2340"/>
            <w:vAlign w:val="center"/>
          </w:tcPr>
          <w:p>
            <w:pPr>
              <w:jc w:val="left"/>
            </w:pPr>
            <w:r/>
            <w:r>
              <w:rPr>
                <w:rFonts w:ascii="Calibri" w:hAnsi="Calibri"/>
                <w:b w:val="0"/>
                <w:sz w:val="20"/>
              </w:rPr>
              <w:t>EMA 20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BOF</w:t>
            </w:r>
          </w:p>
        </w:tc>
        <w:tc>
          <w:tcPr>
            <w:tcW w:type="dxa" w:w="2340"/>
            <w:vAlign w:val="center"/>
          </w:tcPr>
          <w:p>
            <w:pPr>
              <w:jc w:val="left"/>
            </w:pPr>
            <w:r/>
            <w:r>
              <w:rPr>
                <w:rFonts w:ascii="Calibri" w:hAnsi="Calibri"/>
                <w:b w:val="0"/>
                <w:sz w:val="20"/>
              </w:rPr>
              <w:t>1D</w:t>
            </w:r>
          </w:p>
        </w:tc>
        <w:tc>
          <w:tcPr>
            <w:tcW w:type="dxa" w:w="2340"/>
            <w:vAlign w:val="center"/>
          </w:tcPr>
          <w:p>
            <w:pPr>
              <w:jc w:val="left"/>
            </w:pPr>
            <w:r/>
            <w:r>
              <w:rPr>
                <w:rFonts w:ascii="Calibri" w:hAnsi="Calibri"/>
                <w:b w:val="0"/>
                <w:sz w:val="20"/>
              </w:rPr>
              <w:t>EMA 100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BESS</w:t>
            </w:r>
          </w:p>
        </w:tc>
        <w:tc>
          <w:tcPr>
            <w:tcW w:type="dxa" w:w="2340"/>
            <w:vAlign w:val="center"/>
          </w:tcPr>
          <w:p>
            <w:pPr>
              <w:jc w:val="left"/>
            </w:pPr>
            <w:r/>
            <w:r>
              <w:rPr>
                <w:rFonts w:ascii="Calibri" w:hAnsi="Calibri"/>
                <w:b w:val="0"/>
                <w:sz w:val="20"/>
              </w:rPr>
              <w:t>1D</w:t>
            </w:r>
          </w:p>
        </w:tc>
        <w:tc>
          <w:tcPr>
            <w:tcW w:type="dxa" w:w="2340"/>
            <w:vAlign w:val="center"/>
          </w:tcPr>
          <w:p>
            <w:pPr>
              <w:jc w:val="left"/>
            </w:pPr>
            <w:r/>
            <w:r>
              <w:rPr>
                <w:rFonts w:ascii="Calibri" w:hAnsi="Calibri"/>
                <w:b w:val="0"/>
                <w:sz w:val="20"/>
              </w:rPr>
              <w:t>EMA 50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ACRV</w:t>
            </w:r>
          </w:p>
        </w:tc>
        <w:tc>
          <w:tcPr>
            <w:tcW w:type="dxa" w:w="2340"/>
            <w:vAlign w:val="center"/>
          </w:tcPr>
          <w:p>
            <w:pPr>
              <w:jc w:val="left"/>
            </w:pPr>
            <w:r/>
            <w:r>
              <w:rPr>
                <w:rFonts w:ascii="Calibri" w:hAnsi="Calibri"/>
                <w:b w:val="0"/>
                <w:sz w:val="20"/>
              </w:rPr>
              <w:t>5m</w:t>
            </w:r>
          </w:p>
        </w:tc>
        <w:tc>
          <w:tcPr>
            <w:tcW w:type="dxa" w:w="2340"/>
            <w:vAlign w:val="center"/>
          </w:tcPr>
          <w:p>
            <w:pPr>
              <w:jc w:val="left"/>
            </w:pPr>
            <w:r/>
            <w:r>
              <w:rPr>
                <w:rFonts w:ascii="Calibri" w:hAnsi="Calibri"/>
                <w:b w:val="0"/>
                <w:sz w:val="20"/>
              </w:rPr>
              <w:t>EMA 20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AMAT</w:t>
            </w:r>
          </w:p>
        </w:tc>
        <w:tc>
          <w:tcPr>
            <w:tcW w:type="dxa" w:w="2340"/>
            <w:vAlign w:val="center"/>
          </w:tcPr>
          <w:p>
            <w:pPr>
              <w:jc w:val="left"/>
            </w:pPr>
            <w:r/>
            <w:r>
              <w:rPr>
                <w:rFonts w:ascii="Calibri" w:hAnsi="Calibri"/>
                <w:b w:val="0"/>
                <w:sz w:val="20"/>
              </w:rPr>
              <w:t>5m</w:t>
            </w:r>
          </w:p>
        </w:tc>
        <w:tc>
          <w:tcPr>
            <w:tcW w:type="dxa" w:w="2340"/>
            <w:vAlign w:val="center"/>
          </w:tcPr>
          <w:p>
            <w:pPr>
              <w:jc w:val="left"/>
            </w:pPr>
            <w:r/>
            <w:r>
              <w:rPr>
                <w:rFonts w:ascii="Calibri" w:hAnsi="Calibri"/>
                <w:b w:val="0"/>
                <w:sz w:val="20"/>
              </w:rPr>
              <w:t>EMA 50 / 100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ASIX</w:t>
            </w:r>
          </w:p>
        </w:tc>
        <w:tc>
          <w:tcPr>
            <w:tcW w:type="dxa" w:w="2340"/>
            <w:vAlign w:val="center"/>
          </w:tcPr>
          <w:p>
            <w:pPr>
              <w:jc w:val="left"/>
            </w:pPr>
            <w:r/>
            <w:r>
              <w:rPr>
                <w:rFonts w:ascii="Calibri" w:hAnsi="Calibri"/>
                <w:b w:val="0"/>
                <w:sz w:val="20"/>
              </w:rPr>
              <w:t>15m</w:t>
            </w:r>
          </w:p>
        </w:tc>
        <w:tc>
          <w:tcPr>
            <w:tcW w:type="dxa" w:w="2340"/>
            <w:vAlign w:val="center"/>
          </w:tcPr>
          <w:p>
            <w:pPr>
              <w:jc w:val="left"/>
            </w:pPr>
            <w:r/>
            <w:r>
              <w:rPr>
                <w:rFonts w:ascii="Calibri" w:hAnsi="Calibri"/>
                <w:b w:val="0"/>
                <w:sz w:val="20"/>
              </w:rPr>
              <w:t>EMA 100</w:t>
            </w:r>
          </w:p>
        </w:tc>
        <w:tc>
          <w:tcPr>
            <w:tcW w:type="dxa" w:w="2340"/>
            <w:vAlign w:val="center"/>
          </w:tcPr>
          <w:p>
            <w:pPr>
              <w:jc w:val="left"/>
            </w:pPr>
            <w:r/>
            <w:r>
              <w:rPr>
                <w:rFonts w:ascii="Calibri" w:hAnsi="Calibri"/>
                <w:b/>
                <w:color w:val="2E7D32"/>
                <w:sz w:val="20"/>
              </w:rPr>
              <w:t>PASS</w:t>
            </w:r>
          </w:p>
        </w:tc>
      </w:tr>
      <w:tr>
        <w:tc>
          <w:tcPr>
            <w:tcW w:type="dxa" w:w="2340"/>
            <w:vAlign w:val="center"/>
          </w:tcPr>
          <w:p>
            <w:pPr>
              <w:jc w:val="left"/>
            </w:pPr>
            <w:r/>
            <w:r>
              <w:rPr>
                <w:rFonts w:ascii="Calibri" w:hAnsi="Calibri"/>
                <w:b w:val="0"/>
                <w:sz w:val="20"/>
              </w:rPr>
              <w:t>DVLT</w:t>
            </w:r>
          </w:p>
        </w:tc>
        <w:tc>
          <w:tcPr>
            <w:tcW w:type="dxa" w:w="2340"/>
            <w:vAlign w:val="center"/>
          </w:tcPr>
          <w:p>
            <w:pPr>
              <w:jc w:val="left"/>
            </w:pPr>
            <w:r/>
            <w:r>
              <w:rPr>
                <w:rFonts w:ascii="Calibri" w:hAnsi="Calibri"/>
                <w:b w:val="0"/>
                <w:sz w:val="20"/>
              </w:rPr>
              <w:t>15m</w:t>
            </w:r>
          </w:p>
        </w:tc>
        <w:tc>
          <w:tcPr>
            <w:tcW w:type="dxa" w:w="2340"/>
            <w:vAlign w:val="center"/>
          </w:tcPr>
          <w:p>
            <w:pPr>
              <w:jc w:val="left"/>
            </w:pPr>
            <w:r/>
            <w:r>
              <w:rPr>
                <w:rFonts w:ascii="Calibri" w:hAnsi="Calibri"/>
                <w:b w:val="0"/>
                <w:sz w:val="20"/>
              </w:rPr>
              <w:t>EMA 200</w:t>
            </w:r>
          </w:p>
        </w:tc>
        <w:tc>
          <w:tcPr>
            <w:tcW w:type="dxa" w:w="2340"/>
            <w:vAlign w:val="center"/>
          </w:tcPr>
          <w:p>
            <w:pPr>
              <w:jc w:val="left"/>
            </w:pPr>
            <w:r/>
            <w:r>
              <w:rPr>
                <w:rFonts w:ascii="Calibri" w:hAnsi="Calibri"/>
                <w:b/>
                <w:color w:val="2E7D32"/>
                <w:sz w:val="20"/>
              </w:rPr>
              <w:t>PASS</w:t>
            </w:r>
          </w:p>
        </w:tc>
      </w:tr>
    </w:tbl>
    <w:p>
      <w:pPr>
        <w:spacing w:before="280" w:after="120"/>
      </w:pPr>
      <w:r>
        <w:rPr>
          <w:rFonts w:ascii="Calibri" w:hAnsi="Calibri"/>
          <w:b/>
          <w:color w:val="1F4E79"/>
          <w:sz w:val="28"/>
        </w:rPr>
        <w:t>Client Review Note</w:t>
      </w:r>
    </w:p>
    <w:p>
      <w:pPr>
        <w:spacing w:after="120" w:line="264" w:lineRule="auto"/>
      </w:pPr>
      <w:r>
        <w:rPr>
          <w:rFonts w:ascii="Calibri" w:hAnsi="Calibri"/>
          <w:sz w:val="21"/>
        </w:rPr>
        <w:t>The EMA work completed today is ready for client review using the included passing examples. The next review can focus on confirming that the visible scanner results match the expected TradingView behavior for the selected EMA setup.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Client Progress Update | August 24,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