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35268D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5338B226" w14:textId="77777777" w:rsidR="00CE5D74" w:rsidRDefault="00000000">
            <w:pPr>
              <w:spacing w:before="120" w:after="20"/>
            </w:pPr>
            <w:r>
              <w:rPr>
                <w:b/>
                <w:bCs/>
                <w:color w:val="FFFFFF"/>
                <w:sz w:val="32"/>
                <w:szCs w:val="32"/>
              </w:rPr>
              <w:t>NEXUS  RESEARCH</w:t>
            </w:r>
          </w:p>
          <w:p w14:paraId="411747B4" w14:textId="77777777" w:rsidR="00CE5D74" w:rsidRDefault="00000000">
            <w:pPr>
              <w:spacing w:after="120"/>
            </w:pPr>
            <w:r>
              <w:rPr>
                <w:color w:val="C09848"/>
                <w:sz w:val="17"/>
                <w:szCs w:val="17"/>
              </w:rPr>
              <w:t>Independent Equity Analysis by Mary Scott     ·     MOONSHOT ASSESSMENT  ·  Quantum Computing</w:t>
            </w:r>
          </w:p>
        </w:tc>
      </w:tr>
    </w:tbl>
    <w:p w14:paraId="230D2C14" w14:textId="77777777" w:rsidR="00CE5D74" w:rsidRDefault="00CE5D74">
      <w:pPr>
        <w:spacing w:before="40" w:after="40"/>
      </w:pPr>
    </w:p>
    <w:p w14:paraId="4B60B0B0" w14:textId="77777777" w:rsidR="00CE5D74" w:rsidRDefault="00000000">
      <w:pPr>
        <w:spacing w:before="200" w:after="40"/>
      </w:pPr>
      <w:r>
        <w:rPr>
          <w:b/>
          <w:bCs/>
          <w:color w:val="0D1B2A"/>
          <w:sz w:val="40"/>
          <w:szCs w:val="40"/>
        </w:rPr>
        <w:t>IonQ, Inc.</w:t>
      </w:r>
    </w:p>
    <w:p w14:paraId="57673D55" w14:textId="77777777" w:rsidR="00CE5D74" w:rsidRDefault="00000000">
      <w:pPr>
        <w:spacing w:after="60"/>
      </w:pPr>
      <w:r>
        <w:rPr>
          <w:b/>
          <w:bCs/>
          <w:color w:val="0D1B2A"/>
          <w:sz w:val="26"/>
          <w:szCs w:val="26"/>
        </w:rPr>
        <w:t>IONQ</w:t>
      </w:r>
      <w:r>
        <w:rPr>
          <w:color w:val="6B7785"/>
          <w:sz w:val="22"/>
          <w:szCs w:val="22"/>
        </w:rPr>
        <w:t xml:space="preserve">  ·  Quantum Computing  ·  NYSE</w:t>
      </w:r>
    </w:p>
    <w:p w14:paraId="2EA8C736" w14:textId="77777777" w:rsidR="00CE5D74" w:rsidRDefault="00000000">
      <w:pPr>
        <w:spacing w:after="280"/>
      </w:pPr>
      <w:r>
        <w:rPr>
          <w:b/>
          <w:bCs/>
          <w:color w:val="6B7785"/>
          <w:sz w:val="24"/>
          <w:szCs w:val="24"/>
        </w:rPr>
        <w:t>MOONSHOT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40"/>
        <w:gridCol w:w="2340"/>
        <w:gridCol w:w="2680"/>
      </w:tblGrid>
      <w:tr w:rsidR="00CE5D74" w14:paraId="291D1110" w14:textId="77777777">
        <w:tblPrEx>
          <w:tblCellMar>
            <w:top w:w="0" w:type="dxa"/>
            <w:bottom w:w="0" w:type="dxa"/>
          </w:tblCellMar>
        </w:tblPrEx>
        <w:tc>
          <w:tcPr>
            <w:tcW w:w="2000" w:type="dxa"/>
            <w:tcBorders>
              <w:top w:val="single" w:sz="2" w:space="0" w:color="D0D4D9"/>
              <w:left w:val="single" w:sz="2" w:space="0" w:color="D0D4D9"/>
              <w:bottom w:val="single" w:sz="2" w:space="0" w:color="D0D4D9"/>
              <w:right w:val="single" w:sz="2" w:space="0" w:color="D0D4D9"/>
            </w:tcBorders>
            <w:shd w:val="clear" w:color="auto" w:fill="F5EDD8"/>
            <w:tcMar>
              <w:top w:w="80" w:type="dxa"/>
              <w:left w:w="80" w:type="dxa"/>
              <w:bottom w:w="80" w:type="dxa"/>
              <w:right w:w="80" w:type="dxa"/>
            </w:tcMar>
          </w:tcPr>
          <w:p w14:paraId="1BEF3A96" w14:textId="77777777" w:rsidR="00CE5D74" w:rsidRDefault="00000000">
            <w:pPr>
              <w:spacing w:before="40" w:after="20"/>
            </w:pPr>
            <w:r>
              <w:rPr>
                <w:color w:val="6B7785"/>
                <w:sz w:val="17"/>
                <w:szCs w:val="17"/>
              </w:rPr>
              <w:t>RATING</w:t>
            </w:r>
          </w:p>
          <w:p w14:paraId="43A74969" w14:textId="77777777" w:rsidR="00CE5D74" w:rsidRDefault="00000000">
            <w:pPr>
              <w:spacing w:after="40"/>
            </w:pPr>
            <w:r>
              <w:rPr>
                <w:b/>
                <w:bCs/>
                <w:color w:val="A07830"/>
                <w:sz w:val="22"/>
                <w:szCs w:val="22"/>
              </w:rPr>
              <w:t>WATCH</w:t>
            </w:r>
          </w:p>
        </w:tc>
        <w:tc>
          <w:tcPr>
            <w:tcW w:w="234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03B80E79" w14:textId="77777777" w:rsidR="00CE5D74" w:rsidRDefault="00000000">
            <w:pPr>
              <w:spacing w:before="40" w:after="20"/>
            </w:pPr>
            <w:r>
              <w:rPr>
                <w:color w:val="6B7785"/>
                <w:sz w:val="17"/>
                <w:szCs w:val="17"/>
              </w:rPr>
              <w:t>Price Target</w:t>
            </w:r>
          </w:p>
          <w:p w14:paraId="470FFCD1" w14:textId="77777777" w:rsidR="00CE5D74" w:rsidRDefault="00000000">
            <w:pPr>
              <w:spacing w:after="40"/>
            </w:pPr>
            <w:r>
              <w:rPr>
                <w:b/>
                <w:bCs/>
                <w:sz w:val="22"/>
                <w:szCs w:val="22"/>
              </w:rPr>
              <w:t>$89.00</w:t>
            </w:r>
          </w:p>
        </w:tc>
        <w:tc>
          <w:tcPr>
            <w:tcW w:w="234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4B62B4FE" w14:textId="77777777" w:rsidR="00CE5D74" w:rsidRDefault="00000000">
            <w:pPr>
              <w:spacing w:before="40" w:after="20"/>
            </w:pPr>
            <w:r>
              <w:rPr>
                <w:color w:val="6B7785"/>
                <w:sz w:val="17"/>
                <w:szCs w:val="17"/>
              </w:rPr>
              <w:t>Current Price</w:t>
            </w:r>
          </w:p>
          <w:p w14:paraId="24C650A9" w14:textId="77777777" w:rsidR="00CE5D74" w:rsidRDefault="00000000">
            <w:pPr>
              <w:spacing w:after="40"/>
            </w:pPr>
            <w:r>
              <w:rPr>
                <w:b/>
                <w:bCs/>
                <w:sz w:val="22"/>
                <w:szCs w:val="22"/>
              </w:rPr>
              <w:t>$69.34</w:t>
            </w:r>
          </w:p>
        </w:tc>
        <w:tc>
          <w:tcPr>
            <w:tcW w:w="2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67113BCF" w14:textId="77777777" w:rsidR="00CE5D74" w:rsidRDefault="00000000">
            <w:pPr>
              <w:spacing w:before="40" w:after="20"/>
            </w:pPr>
            <w:r>
              <w:rPr>
                <w:color w:val="6B7785"/>
                <w:sz w:val="17"/>
                <w:szCs w:val="17"/>
              </w:rPr>
              <w:t>Time Horizon</w:t>
            </w:r>
          </w:p>
          <w:p w14:paraId="1B305AEE" w14:textId="77777777" w:rsidR="00CE5D74" w:rsidRDefault="00000000">
            <w:pPr>
              <w:spacing w:after="40"/>
            </w:pPr>
            <w:r>
              <w:rPr>
                <w:b/>
                <w:bCs/>
                <w:sz w:val="22"/>
                <w:szCs w:val="22"/>
              </w:rPr>
              <w:t>12–24 months</w:t>
            </w:r>
          </w:p>
        </w:tc>
      </w:tr>
    </w:tbl>
    <w:p w14:paraId="5B2459EB"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0A8998BF" w14:textId="77777777">
        <w:tblPrEx>
          <w:tblCellMar>
            <w:top w:w="0" w:type="dxa"/>
            <w:bottom w:w="0" w:type="dxa"/>
          </w:tblCellMar>
        </w:tblPrEx>
        <w:tc>
          <w:tcPr>
            <w:tcW w:w="9360" w:type="dxa"/>
            <w:tcBorders>
              <w:top w:val="none" w:sz="0" w:space="0" w:color="FFFFFF"/>
              <w:left w:val="single" w:sz="20" w:space="0" w:color="A07830"/>
              <w:bottom w:val="none" w:sz="0" w:space="0" w:color="FFFFFF"/>
              <w:right w:val="none" w:sz="0" w:space="0" w:color="FFFFFF"/>
            </w:tcBorders>
            <w:shd w:val="clear" w:color="auto" w:fill="FAFAFA"/>
            <w:tcMar>
              <w:top w:w="80" w:type="dxa"/>
              <w:left w:w="80" w:type="dxa"/>
              <w:bottom w:w="80" w:type="dxa"/>
              <w:right w:w="80" w:type="dxa"/>
            </w:tcMar>
          </w:tcPr>
          <w:p w14:paraId="1C9A74AC" w14:textId="77777777" w:rsidR="00CE5D74" w:rsidRDefault="00000000">
            <w:pPr>
              <w:spacing w:before="80" w:after="60"/>
            </w:pPr>
            <w:r>
              <w:rPr>
                <w:b/>
                <w:bCs/>
                <w:color w:val="A07830"/>
                <w:sz w:val="16"/>
                <w:szCs w:val="16"/>
              </w:rPr>
              <w:t>THESIS SUMMARY</w:t>
            </w:r>
          </w:p>
          <w:p w14:paraId="6C7ABE54" w14:textId="77777777" w:rsidR="00CE5D74" w:rsidRDefault="00000000">
            <w:pPr>
              <w:spacing w:after="60"/>
            </w:pPr>
            <w:r>
              <w:rPr>
                <w:b/>
                <w:bCs/>
                <w:sz w:val="17"/>
                <w:szCs w:val="17"/>
              </w:rPr>
              <w:t xml:space="preserve">Technology verdict:  </w:t>
            </w:r>
            <w:r>
              <w:rPr>
                <w:color w:val="6B7785"/>
                <w:sz w:val="17"/>
                <w:szCs w:val="17"/>
              </w:rPr>
              <w:t xml:space="preserve">On track  ·  </w:t>
            </w:r>
            <w:r>
              <w:rPr>
                <w:b/>
                <w:bCs/>
                <w:sz w:val="17"/>
                <w:szCs w:val="17"/>
              </w:rPr>
              <w:t xml:space="preserve">Survival verdict:  </w:t>
            </w:r>
            <w:r>
              <w:rPr>
                <w:color w:val="6B7785"/>
                <w:sz w:val="17"/>
                <w:szCs w:val="17"/>
              </w:rPr>
              <w:t>Caution</w:t>
            </w:r>
          </w:p>
          <w:p w14:paraId="3BE4802C" w14:textId="77777777" w:rsidR="00CE5D74" w:rsidRDefault="00000000">
            <w:pPr>
              <w:spacing w:after="60"/>
            </w:pPr>
            <w:r>
              <w:rPr>
                <w:i/>
                <w:iCs/>
                <w:color w:val="3D4852"/>
              </w:rPr>
              <w:t>IonQ is exceeding revenue milestones but deprioritizing its published milestones: Q1 2026 revenue $64.7M vs. $7.6M prior year; AQ progress not disclosed. At current burn the company has 23.6 quarters of runway. The stock is priced as if government backlog converts and hyperscalers eventually acquire the platform. I believe WATCH is warranted because the $470M government backlog and 23.6-quarter runway provide enough time for SkyWater to close and the platform thesis to be tested.</w:t>
            </w:r>
          </w:p>
          <w:p w14:paraId="4815E1F0" w14:textId="77777777" w:rsidR="00CE5D74" w:rsidRDefault="00000000">
            <w:pPr>
              <w:spacing w:after="80"/>
            </w:pPr>
            <w:r>
              <w:rPr>
                <w:b/>
                <w:bCs/>
                <w:color w:val="A07830"/>
              </w:rPr>
              <w:t xml:space="preserve">→  </w:t>
            </w:r>
            <w:r>
              <w:rPr>
                <w:i/>
                <w:iCs/>
                <w:color w:val="3D4852"/>
              </w:rPr>
              <w:t>SkyWater Technology acquisition close (expected Q2–Q3 2026) and Q2 2026 earnings cash flow report. These two events together will reveal whether the vertical integration bet is adding value or accelerating the bear case.</w:t>
            </w:r>
          </w:p>
        </w:tc>
      </w:tr>
    </w:tbl>
    <w:p w14:paraId="5BB581B8"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E5D74" w14:paraId="3A4E94FC"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F6F7F8"/>
            <w:tcMar>
              <w:top w:w="80" w:type="dxa"/>
              <w:left w:w="80" w:type="dxa"/>
              <w:bottom w:w="80" w:type="dxa"/>
              <w:right w:w="80" w:type="dxa"/>
            </w:tcMar>
          </w:tcPr>
          <w:p w14:paraId="5D3E61BC" w14:textId="77777777" w:rsidR="00CE5D74" w:rsidRDefault="00000000">
            <w:pPr>
              <w:spacing w:before="80" w:after="20"/>
            </w:pPr>
            <w:r>
              <w:rPr>
                <w:b/>
                <w:bCs/>
                <w:color w:val="A07830"/>
                <w:sz w:val="15"/>
                <w:szCs w:val="15"/>
              </w:rPr>
              <w:t>ANALYST</w:t>
            </w:r>
          </w:p>
          <w:p w14:paraId="3D3846BC" w14:textId="77777777" w:rsidR="00CE5D74" w:rsidRDefault="00000000">
            <w:pPr>
              <w:spacing w:after="20"/>
            </w:pPr>
            <w:r>
              <w:rPr>
                <w:b/>
                <w:bCs/>
                <w:sz w:val="18"/>
                <w:szCs w:val="18"/>
              </w:rPr>
              <w:t>Mary Scott  ·  Nexus Research</w:t>
            </w:r>
          </w:p>
          <w:p w14:paraId="32FE612E" w14:textId="77777777" w:rsidR="00CE5D74" w:rsidRDefault="00000000">
            <w:pPr>
              <w:spacing w:after="80"/>
            </w:pPr>
            <w:r>
              <w:rPr>
                <w:color w:val="6B7785"/>
                <w:sz w:val="16"/>
                <w:szCs w:val="16"/>
              </w:rPr>
              <w:t>marygzscott8600@gmail.com  ·  raptor8600.github.io/Portfolio-Site  ·  linkedin.com/in/mary-g-scott/</w:t>
            </w:r>
          </w:p>
        </w:tc>
        <w:tc>
          <w:tcPr>
            <w:tcW w:w="3360" w:type="dxa"/>
            <w:tcBorders>
              <w:top w:val="none" w:sz="0" w:space="0" w:color="FFFFFF"/>
              <w:left w:val="none" w:sz="0" w:space="0" w:color="FFFFFF"/>
              <w:bottom w:val="none" w:sz="0" w:space="0" w:color="FFFFFF"/>
              <w:right w:val="none" w:sz="0" w:space="0" w:color="FFFFFF"/>
            </w:tcBorders>
            <w:shd w:val="clear" w:color="auto" w:fill="F6F7F8"/>
            <w:tcMar>
              <w:top w:w="80" w:type="dxa"/>
              <w:left w:w="80" w:type="dxa"/>
              <w:bottom w:w="80" w:type="dxa"/>
              <w:right w:w="80" w:type="dxa"/>
            </w:tcMar>
          </w:tcPr>
          <w:p w14:paraId="63E2F51B" w14:textId="77777777" w:rsidR="00CE5D74" w:rsidRDefault="00000000">
            <w:pPr>
              <w:spacing w:before="80" w:after="20"/>
            </w:pPr>
            <w:r>
              <w:rPr>
                <w:b/>
                <w:bCs/>
                <w:color w:val="A07830"/>
                <w:sz w:val="15"/>
                <w:szCs w:val="15"/>
              </w:rPr>
              <w:t>REPORT DATE</w:t>
            </w:r>
          </w:p>
          <w:p w14:paraId="14E1ED05" w14:textId="77777777" w:rsidR="00CE5D74" w:rsidRDefault="00000000">
            <w:pPr>
              <w:spacing w:after="80"/>
            </w:pPr>
            <w:r>
              <w:rPr>
                <w:b/>
                <w:bCs/>
                <w:sz w:val="18"/>
                <w:szCs w:val="18"/>
              </w:rPr>
              <w:t>May 28, 2026</w:t>
            </w:r>
          </w:p>
        </w:tc>
      </w:tr>
    </w:tbl>
    <w:p w14:paraId="73B65BEA" w14:textId="77777777" w:rsidR="00CE5D74" w:rsidRDefault="00000000">
      <w:pPr>
        <w:spacing w:before="200" w:after="60"/>
        <w:ind w:left="120"/>
      </w:pPr>
      <w:r>
        <w:rPr>
          <w:i/>
          <w:iCs/>
          <w:color w:val="6B7785"/>
          <w:sz w:val="16"/>
          <w:szCs w:val="16"/>
        </w:rPr>
        <w:t>Nexus Research produces independent equity analysis applying a systematic, driver-based framework to identify variant views and mispriced risk. All views are personal and for educational purposes only. Mary Scott is not a financial advisor. Nothing in this document constitutes investment advice.  ·  Report date: May 28, 2026</w:t>
      </w:r>
    </w:p>
    <w:p w14:paraId="35F10E14" w14:textId="77777777" w:rsidR="00CE5D74" w:rsidRDefault="00000000">
      <w:r>
        <w:br w:type="page"/>
      </w:r>
    </w:p>
    <w:p w14:paraId="7BB5E8A8" w14:textId="77777777" w:rsidR="00CE5D74" w:rsidRDefault="00CE5D74">
      <w:pPr>
        <w:sectPr w:rsidR="00CE5D74">
          <w:pgSz w:w="12240" w:h="15840"/>
          <w:pgMar w:top="1080" w:right="1080" w:bottom="1080" w:left="108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1F260D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0CAB7B9B" w14:textId="77777777" w:rsidR="00CE5D74" w:rsidRDefault="00000000">
            <w:pPr>
              <w:spacing w:before="80" w:after="20"/>
            </w:pPr>
            <w:r>
              <w:rPr>
                <w:b/>
                <w:bCs/>
                <w:color w:val="C09848"/>
                <w:sz w:val="20"/>
                <w:szCs w:val="20"/>
              </w:rPr>
              <w:lastRenderedPageBreak/>
              <w:t xml:space="preserve">Nexus Research  ·  </w:t>
            </w:r>
            <w:r>
              <w:rPr>
                <w:b/>
                <w:bCs/>
                <w:color w:val="FFFFFF"/>
                <w:sz w:val="20"/>
                <w:szCs w:val="20"/>
              </w:rPr>
              <w:t>MOONSHOT ASSESSMENT</w:t>
            </w:r>
          </w:p>
          <w:p w14:paraId="29B1A57A" w14:textId="77777777" w:rsidR="00CE5D74" w:rsidRDefault="00000000">
            <w:pPr>
              <w:spacing w:after="80"/>
            </w:pPr>
            <w:r>
              <w:rPr>
                <w:color w:val="FFFFFF"/>
                <w:sz w:val="18"/>
                <w:szCs w:val="18"/>
              </w:rPr>
              <w:t xml:space="preserve">IonQ, Inc.   </w:t>
            </w:r>
            <w:r>
              <w:rPr>
                <w:color w:val="C09848"/>
                <w:sz w:val="18"/>
                <w:szCs w:val="18"/>
              </w:rPr>
              <w:t>IONQ  ·  Quantum Computing  ·  NYSE</w:t>
            </w:r>
          </w:p>
        </w:tc>
      </w:tr>
    </w:tbl>
    <w:p w14:paraId="11E80703" w14:textId="77777777" w:rsidR="00CE5D74" w:rsidRDefault="00CE5D74">
      <w:pPr>
        <w:spacing w:before="40" w:after="40"/>
      </w:pPr>
    </w:p>
    <w:p w14:paraId="0D61AB0D" w14:textId="77777777" w:rsidR="00CE5D74" w:rsidRDefault="00000000">
      <w:pPr>
        <w:pBdr>
          <w:bottom w:val="single" w:sz="4" w:space="0" w:color="A07830"/>
        </w:pBdr>
        <w:spacing w:before="240"/>
      </w:pPr>
      <w:r>
        <w:rPr>
          <w:b/>
          <w:bCs/>
        </w:rPr>
        <w:t>CONTENTS</w:t>
      </w:r>
    </w:p>
    <w:p w14:paraId="76EBC499" w14:textId="77777777" w:rsidR="00CE5D74" w:rsidRDefault="00CE5D74">
      <w:pPr>
        <w:spacing w:before="40" w:after="40"/>
      </w:pPr>
    </w:p>
    <w:p w14:paraId="4DE2083C" w14:textId="77777777" w:rsidR="00CE5D74" w:rsidRDefault="00000000">
      <w:pPr>
        <w:tabs>
          <w:tab w:val="right" w:pos="9026"/>
        </w:tabs>
        <w:spacing w:before="100" w:after="100"/>
      </w:pPr>
      <w:r>
        <w:rPr>
          <w:b/>
          <w:bCs/>
          <w:color w:val="A07830"/>
          <w:sz w:val="18"/>
          <w:szCs w:val="18"/>
        </w:rPr>
        <w:t>00</w:t>
      </w:r>
      <w:r>
        <w:rPr>
          <w:color w:val="3D4852"/>
          <w:sz w:val="18"/>
          <w:szCs w:val="18"/>
        </w:rPr>
        <w:t xml:space="preserve">  Company Overview &amp; Situation</w:t>
      </w:r>
      <w:r>
        <w:rPr>
          <w:color w:val="6B7785"/>
          <w:sz w:val="18"/>
          <w:szCs w:val="18"/>
        </w:rPr>
        <w:tab/>
        <w:t>3</w:t>
      </w:r>
    </w:p>
    <w:p w14:paraId="7362B9F0" w14:textId="5CAE953E" w:rsidR="00CE5D74" w:rsidRDefault="00000000">
      <w:pPr>
        <w:tabs>
          <w:tab w:val="right" w:pos="9026"/>
        </w:tabs>
        <w:spacing w:before="100" w:after="100"/>
      </w:pPr>
      <w:r>
        <w:rPr>
          <w:b/>
          <w:bCs/>
          <w:color w:val="A07830"/>
          <w:sz w:val="18"/>
          <w:szCs w:val="18"/>
        </w:rPr>
        <w:t>00B</w:t>
      </w:r>
      <w:r>
        <w:rPr>
          <w:color w:val="3D4852"/>
          <w:sz w:val="18"/>
          <w:szCs w:val="18"/>
        </w:rPr>
        <w:t xml:space="preserve">  Technology Overview</w:t>
      </w:r>
      <w:r>
        <w:rPr>
          <w:color w:val="6B7785"/>
          <w:sz w:val="18"/>
          <w:szCs w:val="18"/>
        </w:rPr>
        <w:tab/>
        <w:t>4</w:t>
      </w:r>
    </w:p>
    <w:p w14:paraId="2D842BB8" w14:textId="10A8A5EA" w:rsidR="00CE5D74" w:rsidRDefault="00000000">
      <w:pPr>
        <w:tabs>
          <w:tab w:val="right" w:pos="9026"/>
        </w:tabs>
        <w:spacing w:before="100" w:after="100"/>
      </w:pPr>
      <w:r>
        <w:rPr>
          <w:b/>
          <w:bCs/>
          <w:color w:val="A07830"/>
          <w:sz w:val="18"/>
          <w:szCs w:val="18"/>
        </w:rPr>
        <w:t>01</w:t>
      </w:r>
      <w:r>
        <w:rPr>
          <w:color w:val="3D4852"/>
          <w:sz w:val="18"/>
          <w:szCs w:val="18"/>
        </w:rPr>
        <w:t xml:space="preserve">  Technology Execution: Is the Tech Real and On Track?</w:t>
      </w:r>
      <w:r>
        <w:rPr>
          <w:color w:val="6B7785"/>
          <w:sz w:val="18"/>
          <w:szCs w:val="18"/>
        </w:rPr>
        <w:tab/>
        <w:t>5</w:t>
      </w:r>
    </w:p>
    <w:p w14:paraId="428DEB50" w14:textId="4710A216" w:rsidR="00CE5D74" w:rsidRDefault="00000000">
      <w:pPr>
        <w:tabs>
          <w:tab w:val="right" w:pos="9026"/>
        </w:tabs>
        <w:spacing w:before="100" w:after="100"/>
      </w:pPr>
      <w:r>
        <w:rPr>
          <w:b/>
          <w:bCs/>
          <w:color w:val="A07830"/>
          <w:sz w:val="18"/>
          <w:szCs w:val="18"/>
        </w:rPr>
        <w:t>02</w:t>
      </w:r>
      <w:r>
        <w:rPr>
          <w:color w:val="3D4852"/>
          <w:sz w:val="18"/>
          <w:szCs w:val="18"/>
        </w:rPr>
        <w:t xml:space="preserve">  Survival Analysis: Can They Last Long Enough to Matter?</w:t>
      </w:r>
      <w:r>
        <w:rPr>
          <w:color w:val="6B7785"/>
          <w:sz w:val="18"/>
          <w:szCs w:val="18"/>
        </w:rPr>
        <w:tab/>
        <w:t>6</w:t>
      </w:r>
    </w:p>
    <w:p w14:paraId="5989421D" w14:textId="45A1D207" w:rsidR="00CE5D74" w:rsidRDefault="00000000">
      <w:pPr>
        <w:tabs>
          <w:tab w:val="right" w:pos="9026"/>
        </w:tabs>
        <w:spacing w:before="100" w:after="100"/>
      </w:pPr>
      <w:r>
        <w:rPr>
          <w:b/>
          <w:bCs/>
          <w:color w:val="A07830"/>
          <w:sz w:val="18"/>
          <w:szCs w:val="18"/>
        </w:rPr>
        <w:t>03</w:t>
      </w:r>
      <w:r>
        <w:rPr>
          <w:color w:val="3D4852"/>
          <w:sz w:val="18"/>
          <w:szCs w:val="18"/>
        </w:rPr>
        <w:t xml:space="preserve">  Thesis Verdict</w:t>
      </w:r>
      <w:r>
        <w:rPr>
          <w:color w:val="6B7785"/>
          <w:sz w:val="18"/>
          <w:szCs w:val="18"/>
        </w:rPr>
        <w:tab/>
        <w:t>7</w:t>
      </w:r>
    </w:p>
    <w:p w14:paraId="01BA3B84" w14:textId="50EE1693" w:rsidR="00CE5D74" w:rsidRDefault="00000000">
      <w:pPr>
        <w:tabs>
          <w:tab w:val="right" w:pos="9026"/>
        </w:tabs>
        <w:spacing w:before="100" w:after="100"/>
      </w:pPr>
      <w:r>
        <w:rPr>
          <w:b/>
          <w:bCs/>
          <w:color w:val="A07830"/>
          <w:sz w:val="18"/>
          <w:szCs w:val="18"/>
        </w:rPr>
        <w:t>04</w:t>
      </w:r>
      <w:r>
        <w:rPr>
          <w:color w:val="3D4852"/>
          <w:sz w:val="18"/>
          <w:szCs w:val="18"/>
        </w:rPr>
        <w:t xml:space="preserve">  Catalyst &amp; Timing</w:t>
      </w:r>
      <w:r>
        <w:rPr>
          <w:color w:val="6B7785"/>
          <w:sz w:val="18"/>
          <w:szCs w:val="18"/>
        </w:rPr>
        <w:tab/>
        <w:t>8</w:t>
      </w:r>
    </w:p>
    <w:p w14:paraId="6089D66C" w14:textId="6199C512" w:rsidR="00CE5D74" w:rsidRDefault="00000000">
      <w:pPr>
        <w:tabs>
          <w:tab w:val="right" w:pos="9026"/>
        </w:tabs>
        <w:spacing w:before="100" w:after="100"/>
      </w:pPr>
      <w:r>
        <w:rPr>
          <w:b/>
          <w:bCs/>
          <w:color w:val="A07830"/>
          <w:sz w:val="18"/>
          <w:szCs w:val="18"/>
        </w:rPr>
        <w:t>05</w:t>
      </w:r>
      <w:r>
        <w:rPr>
          <w:color w:val="3D4852"/>
          <w:sz w:val="18"/>
          <w:szCs w:val="18"/>
        </w:rPr>
        <w:t xml:space="preserve">  Scenario Analysis</w:t>
      </w:r>
      <w:r>
        <w:rPr>
          <w:color w:val="6B7785"/>
          <w:sz w:val="18"/>
          <w:szCs w:val="18"/>
        </w:rPr>
        <w:tab/>
        <w:t>8</w:t>
      </w:r>
    </w:p>
    <w:p w14:paraId="22F3D22B" w14:textId="635F50C5" w:rsidR="00CE5D74" w:rsidRDefault="00000000">
      <w:pPr>
        <w:tabs>
          <w:tab w:val="right" w:pos="9026"/>
        </w:tabs>
        <w:spacing w:before="100" w:after="100"/>
      </w:pPr>
      <w:r>
        <w:rPr>
          <w:b/>
          <w:bCs/>
          <w:color w:val="A07830"/>
          <w:sz w:val="18"/>
          <w:szCs w:val="18"/>
        </w:rPr>
        <w:t>06</w:t>
      </w:r>
      <w:r>
        <w:rPr>
          <w:color w:val="3D4852"/>
          <w:sz w:val="18"/>
          <w:szCs w:val="18"/>
        </w:rPr>
        <w:t xml:space="preserve">  Risks &amp; Falsification</w:t>
      </w:r>
      <w:r>
        <w:rPr>
          <w:color w:val="6B7785"/>
          <w:sz w:val="18"/>
          <w:szCs w:val="18"/>
        </w:rPr>
        <w:tab/>
        <w:t>9</w:t>
      </w:r>
    </w:p>
    <w:p w14:paraId="7ED2796F" w14:textId="5804F481" w:rsidR="00CE5D74" w:rsidRDefault="00000000">
      <w:pPr>
        <w:tabs>
          <w:tab w:val="right" w:pos="9026"/>
        </w:tabs>
        <w:spacing w:before="100" w:after="100"/>
      </w:pPr>
      <w:r>
        <w:rPr>
          <w:b/>
          <w:bCs/>
          <w:color w:val="A07830"/>
          <w:sz w:val="18"/>
          <w:szCs w:val="18"/>
        </w:rPr>
        <w:t>07</w:t>
      </w:r>
      <w:r>
        <w:rPr>
          <w:color w:val="3D4852"/>
          <w:sz w:val="18"/>
          <w:szCs w:val="18"/>
        </w:rPr>
        <w:t xml:space="preserve">  Valuation Reference</w:t>
      </w:r>
      <w:r>
        <w:rPr>
          <w:color w:val="6B7785"/>
          <w:sz w:val="18"/>
          <w:szCs w:val="18"/>
        </w:rPr>
        <w:tab/>
        <w:t>9</w:t>
      </w:r>
    </w:p>
    <w:p w14:paraId="6B8991E8" w14:textId="77777777" w:rsidR="00CE5D74" w:rsidRDefault="00CE5D74">
      <w:pPr>
        <w:spacing w:before="40" w:after="40"/>
      </w:pPr>
    </w:p>
    <w:p w14:paraId="17AF516B" w14:textId="77777777" w:rsidR="00CE5D74" w:rsidRDefault="00CE5D74">
      <w:pPr>
        <w:spacing w:before="40" w:after="40"/>
      </w:pPr>
    </w:p>
    <w:p w14:paraId="3BD32B25" w14:textId="77777777" w:rsidR="00CE5D74" w:rsidRDefault="00000000">
      <w:pPr>
        <w:pBdr>
          <w:bottom w:val="single" w:sz="2" w:space="0" w:color="D0D4D9"/>
        </w:pBdr>
        <w:spacing w:before="80" w:after="60"/>
      </w:pPr>
      <w:r>
        <w:rPr>
          <w:b/>
          <w:bCs/>
          <w:color w:val="6B7785"/>
          <w:sz w:val="15"/>
          <w:szCs w:val="15"/>
        </w:rPr>
        <w:t>AT A GLANCE</w:t>
      </w:r>
    </w:p>
    <w:p w14:paraId="2F2B09E7"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800"/>
        <w:gridCol w:w="2100"/>
        <w:gridCol w:w="2100"/>
      </w:tblGrid>
      <w:tr w:rsidR="00CE5D74" w14:paraId="62FD3EDC" w14:textId="77777777">
        <w:tblPrEx>
          <w:tblCellMar>
            <w:top w:w="0" w:type="dxa"/>
            <w:bottom w:w="0" w:type="dxa"/>
          </w:tblCellMar>
        </w:tblPrEx>
        <w:tc>
          <w:tcPr>
            <w:tcW w:w="156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14:paraId="2127A621" w14:textId="77777777" w:rsidR="00CE5D74" w:rsidRDefault="00000000">
            <w:pPr>
              <w:spacing w:before="60" w:after="60"/>
            </w:pPr>
            <w:r>
              <w:rPr>
                <w:b/>
                <w:bCs/>
                <w:color w:val="FFFFFF"/>
                <w:sz w:val="16"/>
                <w:szCs w:val="16"/>
              </w:rPr>
              <w:t>Rating</w:t>
            </w:r>
          </w:p>
        </w:tc>
        <w:tc>
          <w:tcPr>
            <w:tcW w:w="18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14:paraId="091D1735" w14:textId="77777777" w:rsidR="00CE5D74" w:rsidRDefault="00000000">
            <w:pPr>
              <w:spacing w:before="60" w:after="60"/>
            </w:pPr>
            <w:r>
              <w:rPr>
                <w:b/>
                <w:bCs/>
                <w:color w:val="FFFFFF"/>
                <w:sz w:val="16"/>
                <w:szCs w:val="16"/>
              </w:rPr>
              <w:t>Current Price</w:t>
            </w:r>
          </w:p>
        </w:tc>
        <w:tc>
          <w:tcPr>
            <w:tcW w:w="18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14:paraId="3C101037" w14:textId="77777777" w:rsidR="00CE5D74" w:rsidRDefault="00000000">
            <w:pPr>
              <w:spacing w:before="60" w:after="60"/>
            </w:pPr>
            <w:r>
              <w:rPr>
                <w:b/>
                <w:bCs/>
                <w:color w:val="FFFFFF"/>
                <w:sz w:val="16"/>
                <w:szCs w:val="16"/>
              </w:rPr>
              <w:t>Price Target</w:t>
            </w:r>
          </w:p>
        </w:tc>
        <w:tc>
          <w:tcPr>
            <w:tcW w:w="21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14:paraId="4F4ADE27" w14:textId="77777777" w:rsidR="00CE5D74" w:rsidRDefault="00000000">
            <w:pPr>
              <w:spacing w:before="60" w:after="60"/>
            </w:pPr>
            <w:r>
              <w:rPr>
                <w:b/>
                <w:bCs/>
                <w:color w:val="FFFFFF"/>
                <w:sz w:val="16"/>
                <w:szCs w:val="16"/>
              </w:rPr>
              <w:t>Cash Runway</w:t>
            </w:r>
          </w:p>
        </w:tc>
        <w:tc>
          <w:tcPr>
            <w:tcW w:w="2100" w:type="dxa"/>
            <w:tcBorders>
              <w:top w:val="single" w:sz="2" w:space="0" w:color="0D1B2A"/>
              <w:left w:val="single" w:sz="2" w:space="0" w:color="0D1B2A"/>
              <w:bottom w:val="single" w:sz="2" w:space="0" w:color="0D1B2A"/>
              <w:right w:val="single" w:sz="2" w:space="0" w:color="0D1B2A"/>
            </w:tcBorders>
            <w:shd w:val="clear" w:color="auto" w:fill="0D1B2A"/>
            <w:tcMar>
              <w:top w:w="80" w:type="dxa"/>
              <w:left w:w="120" w:type="dxa"/>
              <w:bottom w:w="80" w:type="dxa"/>
              <w:right w:w="120" w:type="dxa"/>
            </w:tcMar>
          </w:tcPr>
          <w:p w14:paraId="063965A6" w14:textId="77777777" w:rsidR="00CE5D74" w:rsidRDefault="00000000">
            <w:pPr>
              <w:spacing w:before="60" w:after="60"/>
            </w:pPr>
            <w:r>
              <w:rPr>
                <w:b/>
                <w:bCs/>
                <w:color w:val="FFFFFF"/>
                <w:sz w:val="16"/>
                <w:szCs w:val="16"/>
              </w:rPr>
              <w:t>Milestone metric</w:t>
            </w:r>
          </w:p>
        </w:tc>
      </w:tr>
      <w:tr w:rsidR="00CE5D74" w14:paraId="3EF1F393" w14:textId="77777777">
        <w:tblPrEx>
          <w:tblCellMar>
            <w:top w:w="0" w:type="dxa"/>
            <w:bottom w:w="0" w:type="dxa"/>
          </w:tblCellMar>
        </w:tblPrEx>
        <w:tc>
          <w:tcPr>
            <w:tcW w:w="1560" w:type="dxa"/>
            <w:tcBorders>
              <w:top w:val="single" w:sz="2" w:space="0" w:color="D0D4D9"/>
              <w:left w:val="single" w:sz="2" w:space="0" w:color="D0D4D9"/>
              <w:bottom w:val="single" w:sz="2" w:space="0" w:color="D0D4D9"/>
              <w:right w:val="single" w:sz="2" w:space="0" w:color="D0D4D9"/>
            </w:tcBorders>
            <w:shd w:val="clear" w:color="auto" w:fill="F5EDD8"/>
            <w:tcMar>
              <w:top w:w="120" w:type="dxa"/>
              <w:left w:w="120" w:type="dxa"/>
              <w:bottom w:w="120" w:type="dxa"/>
              <w:right w:w="120" w:type="dxa"/>
            </w:tcMar>
          </w:tcPr>
          <w:p w14:paraId="2861688C" w14:textId="77777777" w:rsidR="00CE5D74" w:rsidRDefault="00000000">
            <w:pPr>
              <w:spacing w:before="60" w:after="60"/>
            </w:pPr>
            <w:r>
              <w:rPr>
                <w:b/>
                <w:bCs/>
                <w:color w:val="A07830"/>
                <w:sz w:val="22"/>
                <w:szCs w:val="22"/>
              </w:rPr>
              <w:t>WATCH</w:t>
            </w:r>
          </w:p>
        </w:tc>
        <w:tc>
          <w:tcPr>
            <w:tcW w:w="1800" w:type="dxa"/>
            <w:tcBorders>
              <w:top w:val="single" w:sz="2" w:space="0" w:color="D0D4D9"/>
              <w:left w:val="single" w:sz="2" w:space="0" w:color="D0D4D9"/>
              <w:bottom w:val="single" w:sz="2" w:space="0" w:color="D0D4D9"/>
              <w:right w:val="single" w:sz="2" w:space="0" w:color="D0D4D9"/>
            </w:tcBorders>
            <w:shd w:val="clear" w:color="auto" w:fill="FFFFFF"/>
            <w:tcMar>
              <w:top w:w="120" w:type="dxa"/>
              <w:left w:w="120" w:type="dxa"/>
              <w:bottom w:w="120" w:type="dxa"/>
              <w:right w:w="120" w:type="dxa"/>
            </w:tcMar>
          </w:tcPr>
          <w:p w14:paraId="3BF4888B" w14:textId="77777777" w:rsidR="00CE5D74" w:rsidRDefault="00000000">
            <w:pPr>
              <w:spacing w:before="60" w:after="60"/>
            </w:pPr>
            <w:r>
              <w:rPr>
                <w:b/>
                <w:bCs/>
                <w:sz w:val="22"/>
                <w:szCs w:val="22"/>
              </w:rPr>
              <w:t>$69.34</w:t>
            </w:r>
          </w:p>
        </w:tc>
        <w:tc>
          <w:tcPr>
            <w:tcW w:w="1800" w:type="dxa"/>
            <w:tcBorders>
              <w:top w:val="single" w:sz="2" w:space="0" w:color="D0D4D9"/>
              <w:left w:val="single" w:sz="2" w:space="0" w:color="D0D4D9"/>
              <w:bottom w:val="single" w:sz="2" w:space="0" w:color="D0D4D9"/>
              <w:right w:val="single" w:sz="2" w:space="0" w:color="D0D4D9"/>
            </w:tcBorders>
            <w:shd w:val="clear" w:color="auto" w:fill="FFFFFF"/>
            <w:tcMar>
              <w:top w:w="120" w:type="dxa"/>
              <w:left w:w="120" w:type="dxa"/>
              <w:bottom w:w="120" w:type="dxa"/>
              <w:right w:w="120" w:type="dxa"/>
            </w:tcMar>
          </w:tcPr>
          <w:p w14:paraId="2F27137D" w14:textId="77777777" w:rsidR="00CE5D74" w:rsidRDefault="00000000">
            <w:pPr>
              <w:spacing w:before="60" w:after="60"/>
            </w:pPr>
            <w:r>
              <w:rPr>
                <w:b/>
                <w:bCs/>
                <w:sz w:val="22"/>
                <w:szCs w:val="22"/>
              </w:rPr>
              <w:t>$89.00</w:t>
            </w:r>
          </w:p>
        </w:tc>
        <w:tc>
          <w:tcPr>
            <w:tcW w:w="2100" w:type="dxa"/>
            <w:tcBorders>
              <w:top w:val="single" w:sz="2" w:space="0" w:color="D0D4D9"/>
              <w:left w:val="single" w:sz="2" w:space="0" w:color="D0D4D9"/>
              <w:bottom w:val="single" w:sz="2" w:space="0" w:color="D0D4D9"/>
              <w:right w:val="single" w:sz="2" w:space="0" w:color="D0D4D9"/>
            </w:tcBorders>
            <w:shd w:val="clear" w:color="auto" w:fill="FFFFFF"/>
            <w:tcMar>
              <w:top w:w="120" w:type="dxa"/>
              <w:left w:w="120" w:type="dxa"/>
              <w:bottom w:w="120" w:type="dxa"/>
              <w:right w:w="120" w:type="dxa"/>
            </w:tcMar>
          </w:tcPr>
          <w:p w14:paraId="092377D5" w14:textId="77777777" w:rsidR="00CE5D74" w:rsidRDefault="00000000">
            <w:pPr>
              <w:spacing w:before="60" w:after="60"/>
            </w:pPr>
            <w:r>
              <w:rPr>
                <w:b/>
                <w:bCs/>
                <w:sz w:val="22"/>
                <w:szCs w:val="22"/>
              </w:rPr>
              <w:t>23.6 quarters</w:t>
            </w:r>
          </w:p>
        </w:tc>
        <w:tc>
          <w:tcPr>
            <w:tcW w:w="2100" w:type="dxa"/>
            <w:tcBorders>
              <w:top w:val="single" w:sz="2" w:space="0" w:color="D0D4D9"/>
              <w:left w:val="single" w:sz="2" w:space="0" w:color="D0D4D9"/>
              <w:bottom w:val="single" w:sz="2" w:space="0" w:color="D0D4D9"/>
              <w:right w:val="single" w:sz="2" w:space="0" w:color="D0D4D9"/>
            </w:tcBorders>
            <w:shd w:val="clear" w:color="auto" w:fill="FFFFFF"/>
            <w:tcMar>
              <w:top w:w="120" w:type="dxa"/>
              <w:left w:w="120" w:type="dxa"/>
              <w:bottom w:w="120" w:type="dxa"/>
              <w:right w:w="120" w:type="dxa"/>
            </w:tcMar>
          </w:tcPr>
          <w:p w14:paraId="30B8DC8E" w14:textId="77777777" w:rsidR="00CE5D74" w:rsidRDefault="00000000">
            <w:pPr>
              <w:spacing w:before="60" w:after="60"/>
            </w:pPr>
            <w:r>
              <w:rPr>
                <w:b/>
                <w:bCs/>
                <w:sz w:val="20"/>
                <w:szCs w:val="20"/>
              </w:rPr>
              <w:t>Tempo deployed · 256-qubit in fab</w:t>
            </w:r>
          </w:p>
        </w:tc>
      </w:tr>
    </w:tbl>
    <w:p w14:paraId="631A2CE3" w14:textId="77777777" w:rsidR="00CE5D74" w:rsidRDefault="00CE5D74">
      <w:pPr>
        <w:spacing w:before="40" w:after="40"/>
      </w:pPr>
    </w:p>
    <w:p w14:paraId="7E38DC2C" w14:textId="77777777" w:rsidR="00CE5D74" w:rsidRDefault="00000000">
      <w:pPr>
        <w:spacing w:before="60" w:after="60"/>
      </w:pPr>
      <w:r>
        <w:rPr>
          <w:i/>
          <w:iCs/>
          <w:color w:val="6B7785"/>
          <w:sz w:val="16"/>
          <w:szCs w:val="16"/>
        </w:rPr>
        <w:t>All views are personal and for educational purposes only. Mary Scott is not a financial advisor. Nothing in this document constitutes investment advice.</w:t>
      </w:r>
    </w:p>
    <w:p w14:paraId="666390C6"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209724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14B5E176" w14:textId="77777777" w:rsidR="00CE5D74" w:rsidRDefault="00000000">
            <w:pPr>
              <w:spacing w:before="60" w:after="60"/>
            </w:pPr>
            <w:r>
              <w:rPr>
                <w:b/>
                <w:bCs/>
                <w:color w:val="FFFFFF"/>
                <w:sz w:val="17"/>
                <w:szCs w:val="17"/>
              </w:rPr>
              <w:lastRenderedPageBreak/>
              <w:t>Nexus Research  ·  MOONSHOT ASSESSMENT</w:t>
            </w:r>
            <w:r>
              <w:rPr>
                <w:sz w:val="17"/>
                <w:szCs w:val="17"/>
              </w:rPr>
              <w:t xml:space="preserve">          </w:t>
            </w:r>
            <w:r>
              <w:rPr>
                <w:color w:val="C09848"/>
                <w:sz w:val="16"/>
                <w:szCs w:val="16"/>
              </w:rPr>
              <w:t>IonQ, Inc.   IONQ  ·  Quantum Computing  ·  NYSE</w:t>
            </w:r>
          </w:p>
        </w:tc>
      </w:tr>
    </w:tbl>
    <w:p w14:paraId="614F5C7E" w14:textId="77777777" w:rsidR="00CE5D74" w:rsidRDefault="00CE5D74">
      <w:pPr>
        <w:spacing w:before="40" w:after="40"/>
      </w:pPr>
    </w:p>
    <w:p w14:paraId="3C9C3014" w14:textId="77777777" w:rsidR="00CE5D74" w:rsidRDefault="00000000">
      <w:pPr>
        <w:pBdr>
          <w:bottom w:val="single" w:sz="6" w:space="0" w:color="A07830"/>
        </w:pBdr>
        <w:spacing w:before="280" w:after="120"/>
      </w:pPr>
      <w:r>
        <w:rPr>
          <w:b/>
          <w:bCs/>
          <w:color w:val="0D1B2A"/>
          <w:sz w:val="22"/>
          <w:szCs w:val="22"/>
        </w:rPr>
        <w:t>00  ·  Company Overview &amp; Situation</w:t>
      </w:r>
    </w:p>
    <w:p w14:paraId="4EED5518"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722752AD"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01E64DCB" w14:textId="77777777" w:rsidR="00CE5D74" w:rsidRDefault="00000000">
            <w:pPr>
              <w:spacing w:before="60" w:after="60"/>
            </w:pPr>
            <w:r>
              <w:rPr>
                <w:b/>
                <w:bCs/>
                <w:color w:val="A07830"/>
                <w:sz w:val="16"/>
                <w:szCs w:val="16"/>
              </w:rPr>
              <w:t>COMPANY OVERVIEW</w:t>
            </w:r>
          </w:p>
          <w:p w14:paraId="7B431093" w14:textId="77777777" w:rsidR="00CE5D74" w:rsidRDefault="00CE5D74">
            <w:pPr>
              <w:spacing w:before="40" w:after="40"/>
            </w:pPr>
          </w:p>
          <w:p w14:paraId="56DFE192" w14:textId="77777777" w:rsidR="00CE5D74" w:rsidRDefault="00000000">
            <w:pPr>
              <w:spacing w:before="60" w:after="60"/>
            </w:pPr>
            <w:r>
              <w:rPr>
                <w:i/>
                <w:iCs/>
                <w:color w:val="3D4852"/>
              </w:rPr>
              <w:t>IonQ, Inc. (NYSE: IONQ) is a quantum platform company delivering quantum solutions via trapped-ion quantum computing, networking, sensing, and security. Founded 2015, public since 2021 via SPAC. Primary market: enterprise, government, and defense. IonQ has expanded aggressively through eight acquisitions since 2025 into satellites (Capella Space), photonics (Skyloom), quantum hardware IP (Oxford Ionics), and semiconductor manufacturing (SkyWater, pending).</w:t>
            </w:r>
          </w:p>
          <w:p w14:paraId="65DD8CDB" w14:textId="77777777" w:rsidR="00CE5D74" w:rsidRDefault="00CE5D74">
            <w:pPr>
              <w:spacing w:before="40" w:after="40"/>
            </w:pPr>
          </w:p>
          <w:p w14:paraId="7F71A032" w14:textId="77777777" w:rsidR="00CE5D74" w:rsidRDefault="00000000">
            <w:pPr>
              <w:spacing w:before="60" w:after="60"/>
            </w:pPr>
            <w:r>
              <w:rPr>
                <w:i/>
                <w:iCs/>
                <w:color w:val="3D4852"/>
              </w:rPr>
              <w:t>Revenue is generated through quantum hardware sales ($35.7M in Q1 2026), platform and consulting services ($29.0M), and cloud-based quantum computing access (QCaaS) via AWS, Microsoft Azure, and Google Cloud Marketplace. Key customer concentration: two customers accounted for 34% of Q1 2026 revenue.</w:t>
            </w:r>
          </w:p>
          <w:p w14:paraId="451B9AEB" w14:textId="77777777" w:rsidR="00CE5D74" w:rsidRDefault="00CE5D74">
            <w:pPr>
              <w:spacing w:before="40" w:after="40"/>
            </w:pPr>
          </w:p>
          <w:p w14:paraId="4F1313D8" w14:textId="77777777" w:rsidR="00CE5D74" w:rsidRDefault="00000000">
            <w:pPr>
              <w:spacing w:before="60" w:after="60"/>
            </w:pPr>
            <w:r>
              <w:rPr>
                <w:i/>
                <w:iCs/>
                <w:color w:val="3D4852"/>
              </w:rPr>
              <w:t>IonQ is the largest pure-play trapped-ion quantum company by revenue. Key competitors in trapped ion: Quantinuum (private). Superconducting competitors include IBM and Google. IonQ trades at a significant discount to smaller peers on EV/Revenue (83x vs. 244x–338x) due to its larger revenue base.</w:t>
            </w:r>
          </w:p>
          <w:p w14:paraId="29ED2395" w14:textId="77777777" w:rsidR="00CE5D74" w:rsidRDefault="00CE5D74">
            <w:pPr>
              <w:spacing w:before="40" w:after="40"/>
            </w:pPr>
          </w:p>
          <w:p w14:paraId="097AC401" w14:textId="77777777" w:rsidR="00CE5D74" w:rsidRDefault="00000000">
            <w:pPr>
              <w:spacing w:before="60" w:after="60"/>
            </w:pPr>
            <w:r>
              <w:rPr>
                <w:b/>
                <w:bCs/>
                <w:sz w:val="17"/>
                <w:szCs w:val="17"/>
              </w:rPr>
              <w:t>Key financials (most recent fiscal year):</w:t>
            </w:r>
          </w:p>
          <w:p w14:paraId="45BE08AB" w14:textId="77777777" w:rsidR="00CE5D74" w:rsidRDefault="00000000">
            <w:pPr>
              <w:spacing w:before="60" w:after="60"/>
            </w:pPr>
            <w:r>
              <w:rPr>
                <w:color w:val="3D4852"/>
                <w:sz w:val="17"/>
                <w:szCs w:val="17"/>
              </w:rPr>
              <w:t>Revenue: $64.7M (Q1 2026)  ·  Cash+Securities: $3,570M  ·  Quarterly burn: $151M  ·  Runway: 23.6 qtrs</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65F6BB4" w14:textId="77777777" w:rsidR="00CE5D74" w:rsidRDefault="00000000">
            <w:pPr>
              <w:spacing w:before="60" w:after="60"/>
            </w:pPr>
            <w:r>
              <w:rPr>
                <w:b/>
                <w:bCs/>
                <w:color w:val="A07830"/>
                <w:sz w:val="16"/>
                <w:szCs w:val="16"/>
              </w:rPr>
              <w:t>CURRENT SITUATION</w:t>
            </w:r>
          </w:p>
          <w:p w14:paraId="35B39B3A" w14:textId="77777777" w:rsidR="00CE5D74" w:rsidRDefault="00CE5D74">
            <w:pPr>
              <w:spacing w:before="40" w:after="40"/>
            </w:pPr>
          </w:p>
          <w:p w14:paraId="4656DACF" w14:textId="77777777" w:rsidR="00CE5D74" w:rsidRDefault="00000000">
            <w:pPr>
              <w:spacing w:before="60" w:after="60"/>
            </w:pPr>
            <w:r>
              <w:rPr>
                <w:b/>
                <w:bCs/>
              </w:rPr>
              <w:t>Aggressive Acquisition Spree: Platform Bet or Cash Bonfire?</w:t>
            </w:r>
          </w:p>
          <w:p w14:paraId="0D150FC5" w14:textId="77777777" w:rsidR="00CE5D74" w:rsidRDefault="00CE5D74">
            <w:pPr>
              <w:spacing w:before="40" w:after="40"/>
            </w:pPr>
          </w:p>
          <w:p w14:paraId="7C0AA080" w14:textId="77777777" w:rsidR="00CE5D74" w:rsidRDefault="00000000">
            <w:pPr>
              <w:spacing w:before="60" w:after="60"/>
            </w:pPr>
            <w:r>
              <w:rPr>
                <w:i/>
                <w:iCs/>
                <w:color w:val="3D4852"/>
              </w:rPr>
              <w:t>IonQ has transformed from a pure-play quantum computing company into a vertically integrated quantum platform company through eight acquisitions since 2025, including Oxford Ionics, Capella Space, Skyloom, and the pending $1.8B SkyWater Technology semiconductor foundry deal. Q1 2026 revenue grew 755% YoY to $64.7M, driven by hardware contracts and acquisitions. The SkyWater acquisition, expected to close Q2–Q3 2026, will consume ~$1B in cash and dramatically accelerate both runway burn and strategic ambition.</w:t>
            </w:r>
          </w:p>
          <w:p w14:paraId="3EBC4796" w14:textId="77777777" w:rsidR="00CE5D74" w:rsidRDefault="00CE5D74">
            <w:pPr>
              <w:spacing w:before="40" w:after="40"/>
            </w:pPr>
          </w:p>
          <w:p w14:paraId="58130D59" w14:textId="77777777" w:rsidR="00CE5D74" w:rsidRDefault="00000000">
            <w:pPr>
              <w:spacing w:before="60" w:after="60"/>
            </w:pPr>
            <w:r>
              <w:rPr>
                <w:i/>
                <w:iCs/>
                <w:color w:val="3D4852"/>
              </w:rPr>
              <w:t>At $69.34 and 83x NTM EV/Revenue, the market is embedding roughly base-case execution: government backlog converts, QCaaS partnerships persist, and IonQ survives to acquisition. The market is not yet pricing the SkyWater execution risk or the 4.6x YoY burn acceleration, meaning both significant downside and upside remain unpriced.</w:t>
            </w:r>
          </w:p>
          <w:p w14:paraId="6DF3F096" w14:textId="77777777" w:rsidR="00CE5D74" w:rsidRDefault="00CE5D74">
            <w:pPr>
              <w:spacing w:before="40" w:after="40"/>
            </w:pPr>
          </w:p>
          <w:p w14:paraId="4261A1DA" w14:textId="77777777" w:rsidR="00CE5D74" w:rsidRDefault="00000000">
            <w:pPr>
              <w:spacing w:before="60" w:after="60"/>
            </w:pPr>
            <w:r>
              <w:rPr>
                <w:b/>
                <w:bCs/>
              </w:rPr>
              <w:t>Why shares are where they are:</w:t>
            </w:r>
          </w:p>
          <w:p w14:paraId="368B0FAC" w14:textId="77777777" w:rsidR="00CE5D74" w:rsidRDefault="00000000">
            <w:pPr>
              <w:spacing w:before="40" w:after="20"/>
            </w:pPr>
            <w:r>
              <w:rPr>
                <w:i/>
                <w:iCs/>
                <w:color w:val="3D4852"/>
              </w:rPr>
              <w:t>▪  Revenue 8x YoY signals real commercial traction, but most growth came from hardware contracts and acquisitions, not organic QCaaS expansion</w:t>
            </w:r>
          </w:p>
          <w:p w14:paraId="0FE50D68" w14:textId="77777777" w:rsidR="00CE5D74" w:rsidRDefault="00000000">
            <w:pPr>
              <w:spacing w:before="20" w:after="20"/>
            </w:pPr>
            <w:r>
              <w:rPr>
                <w:i/>
                <w:iCs/>
                <w:color w:val="3D4852"/>
              </w:rPr>
              <w:t>▪  $151M quarterly operating cash burn is accelerating; SkyWater will add ~$1B in cash outflow near-term</w:t>
            </w:r>
          </w:p>
          <w:p w14:paraId="6140130A" w14:textId="77777777" w:rsidR="00CE5D74" w:rsidRDefault="00000000">
            <w:pPr>
              <w:spacing w:before="20" w:after="40"/>
            </w:pPr>
            <w:r>
              <w:rPr>
                <w:i/>
                <w:iCs/>
                <w:color w:val="3D4852"/>
              </w:rPr>
              <w:t>▪  Peer multiples (244x–338x) suggest the market discounts IonQ’s larger revenue base relative to smaller, higher-multiple pure-plays</w:t>
            </w:r>
          </w:p>
        </w:tc>
      </w:tr>
    </w:tbl>
    <w:p w14:paraId="699BB433" w14:textId="77777777" w:rsidR="00CE5D74" w:rsidRDefault="00CE5D74">
      <w:pPr>
        <w:spacing w:before="40" w:after="40"/>
      </w:pPr>
    </w:p>
    <w:p w14:paraId="155D0463" w14:textId="77777777" w:rsidR="00CE5D74" w:rsidRDefault="00000000">
      <w:pPr>
        <w:pBdr>
          <w:bottom w:val="single" w:sz="6" w:space="0" w:color="A07830"/>
        </w:pBdr>
        <w:spacing w:before="280" w:after="120"/>
      </w:pPr>
      <w:r>
        <w:rPr>
          <w:b/>
          <w:bCs/>
          <w:color w:val="0D1B2A"/>
          <w:sz w:val="22"/>
          <w:szCs w:val="22"/>
        </w:rPr>
        <w:t>00B  ·  Technology Overview</w:t>
      </w:r>
    </w:p>
    <w:p w14:paraId="2C7E071C"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7032B580"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79E37909" w14:textId="77777777" w:rsidR="00CE5D74" w:rsidRDefault="00000000">
            <w:pPr>
              <w:spacing w:before="60" w:after="60"/>
            </w:pPr>
            <w:r>
              <w:rPr>
                <w:b/>
                <w:bCs/>
                <w:color w:val="A07830"/>
                <w:sz w:val="16"/>
                <w:szCs w:val="16"/>
              </w:rPr>
              <w:t>WHAT THIS COMPANY DOES</w:t>
            </w:r>
          </w:p>
          <w:p w14:paraId="26A7537E" w14:textId="77777777" w:rsidR="00CE5D74" w:rsidRDefault="00CE5D74">
            <w:pPr>
              <w:spacing w:before="40" w:after="40"/>
            </w:pPr>
          </w:p>
          <w:p w14:paraId="7C3AE11C" w14:textId="77777777" w:rsidR="00CE5D74" w:rsidRDefault="00000000">
            <w:pPr>
              <w:spacing w:before="60" w:after="60"/>
            </w:pPr>
            <w:r>
              <w:rPr>
                <w:i/>
                <w:iCs/>
                <w:color w:val="3D4852"/>
              </w:rPr>
              <w:t xml:space="preserve">IonQ uses trapped ions: individual charged atoms held in place by electromagnetic fields and precisely controlled with lasers. The advantage is high gate fidelity at lower qubit counts compared to superconducting competitors; the challenge is scaling </w:t>
              <w:lastRenderedPageBreak/>
              <w:t>to hundreds of qubits while maintaining that fidelity in real-world hardware.</w:t>
            </w:r>
          </w:p>
          <w:p w14:paraId="79DAF54A" w14:textId="77777777" w:rsidR="00CE5D74" w:rsidRDefault="00CE5D74">
            <w:pPr>
              <w:spacing w:before="40" w:after="40"/>
            </w:pPr>
          </w:p>
          <w:p w14:paraId="60011D7A" w14:textId="77777777" w:rsidR="00CE5D74" w:rsidRDefault="00000000">
            <w:pPr>
              <w:spacing w:before="60" w:after="60"/>
            </w:pPr>
            <w:r>
              <w:rPr>
                <w:i/>
                <w:iCs/>
                <w:color w:val="3D4852"/>
              </w:rPr>
              <w:t>Modality: Trapped Ion. Key competitors in same modality: Quantinuum (private, Honeywell spinout). Superconducting competitors include IBM (Eagle/Heron), Google (Willow), and Rigetti.</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5D4CC6E" w14:textId="77777777" w:rsidR="00CE5D74" w:rsidRDefault="00000000">
            <w:pPr>
              <w:spacing w:before="60" w:after="60"/>
            </w:pPr>
            <w:r>
              <w:rPr>
                <w:b/>
                <w:bCs/>
                <w:color w:val="A07830"/>
                <w:sz w:val="16"/>
                <w:szCs w:val="16"/>
              </w:rPr>
              <w:lastRenderedPageBreak/>
              <w:t>WHAT THE HEADLINE METRIC MEASURES</w:t>
            </w:r>
          </w:p>
          <w:p w14:paraId="6FB35C25" w14:textId="77777777" w:rsidR="00CE5D74" w:rsidRDefault="00CE5D74">
            <w:pPr>
              <w:spacing w:before="40" w:after="40"/>
            </w:pPr>
          </w:p>
          <w:p w14:paraId="4EE2DC85" w14:textId="77777777" w:rsidR="00CE5D74" w:rsidRDefault="00000000">
            <w:pPr>
              <w:spacing w:before="60" w:after="60"/>
            </w:pPr>
          </w:p>
        </w:tc>
      </w:tr>
    </w:tbl>
    <w:p w14:paraId="6469F1E0"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765FFA17"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4F70FA50" w14:textId="77777777" w:rsidR="00CE5D74" w:rsidRDefault="00000000">
            <w:pPr>
              <w:spacing w:before="60" w:after="60"/>
            </w:pPr>
            <w:r>
              <w:rPr>
                <w:b/>
                <w:bCs/>
                <w:color w:val="A07830"/>
                <w:sz w:val="16"/>
                <w:szCs w:val="16"/>
              </w:rPr>
              <w:t>CURRENT STAGE</w:t>
            </w:r>
          </w:p>
          <w:p w14:paraId="3C3FA408" w14:textId="77777777" w:rsidR="00CE5D74" w:rsidRDefault="00CE5D74">
            <w:pPr>
              <w:spacing w:before="40" w:after="40"/>
            </w:pPr>
          </w:p>
          <w:p w14:paraId="70849FFE" w14:textId="77777777" w:rsidR="00CE5D74" w:rsidRDefault="00000000">
            <w:pPr>
              <w:spacing w:before="60" w:after="60"/>
            </w:pPr>
            <w:r>
              <w:rPr>
                <w:i/>
                <w:iCs/>
                <w:color w:val="3D4852"/>
              </w:rPr>
              <w:t>NISQ-stage. IonQ’s systems operate in the noisy intermediate-scale quantum regime: qubits exist and gates execute, but error rates accumulate too fast for most commercially high-value computations. IonQ has published a fault-tolerance roadmap and acquired Oxford Ionics (September 2025) specifically to accelerate it, but no below-threshold logical qubits have been demonstrated in a large-scale system. No quantum company has achieved full fault tolerance as of May 2026.</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AFAD25A" w14:textId="77777777" w:rsidR="00CE5D74" w:rsidRDefault="00000000">
            <w:pPr>
              <w:spacing w:before="60" w:after="60"/>
            </w:pPr>
            <w:r>
              <w:rPr>
                <w:b/>
                <w:bCs/>
                <w:color w:val="A07830"/>
                <w:sz w:val="16"/>
                <w:szCs w:val="16"/>
              </w:rPr>
              <w:t>WHAT COMMERCIALLY USEFUL REQUIRES</w:t>
            </w:r>
          </w:p>
          <w:p w14:paraId="7364A2EE" w14:textId="77777777" w:rsidR="00CE5D74" w:rsidRDefault="00CE5D74">
            <w:pPr>
              <w:spacing w:before="40" w:after="40"/>
            </w:pPr>
          </w:p>
          <w:p w14:paraId="76CB754D" w14:textId="77777777" w:rsidR="00CE5D74" w:rsidRDefault="00000000">
            <w:pPr>
              <w:spacing w:before="60" w:after="60"/>
            </w:pPr>
            <w:r>
              <w:rPr>
                <w:i/>
                <w:iCs/>
                <w:color w:val="3D4852"/>
              </w:rPr>
              <w:t xml:space="preserve">IonQ needs fault-tolerant logical qubits at scale to deliver broad commercial quantum advantage. The bridge is their 256-qubit sixth-generation system (expected customer commissioning Q2 2027) and the 10,000-qubit seventh-generation system targeted for 2028. IonQ published their full fault-tolerant architecture blueprint in April 2026 (Walking Cat), detailing a path to millions of physical qubits and logical error rates as low as one in one trillion. The 256-qubit system presently in fabrication at SkyWater is the near-term anchor for the Bull scenario in Section 05.</w:t>
            </w:r>
          </w:p>
        </w:tc>
      </w:tr>
    </w:tbl>
    <w:p w14:paraId="5B0A2C94"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5D74" w14:paraId="1F388693" w14:textId="77777777">
        <w:tblPrEx>
          <w:tblCellMar>
            <w:top w:w="0" w:type="dxa"/>
            <w:bottom w:w="0" w:type="dxa"/>
          </w:tblCellMar>
        </w:tblPrEx>
        <w:tc>
          <w:tcPr>
            <w:tcW w:w="234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305D1D15" w14:textId="77777777" w:rsidR="00CE5D74" w:rsidRDefault="00000000">
            <w:pPr>
              <w:spacing w:before="60" w:after="60"/>
            </w:pPr>
            <w:r>
              <w:rPr>
                <w:b/>
                <w:bCs/>
                <w:sz w:val="22"/>
                <w:szCs w:val="22"/>
              </w:rPr>
              <w:t>Gen 5 Tempo</w:t>
            </w:r>
            <w:r>
              <w:t xml:space="preserve"> </w:t>
            </w:r>
            <w:r>
              <w:rPr>
                <w:color w:val="6B7785"/>
                <w:sz w:val="17"/>
                <w:szCs w:val="17"/>
              </w:rPr>
              <w:t>AQ (Most Recent)</w:t>
            </w:r>
          </w:p>
        </w:tc>
        <w:tc>
          <w:tcPr>
            <w:tcW w:w="234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7F317702" w14:textId="77777777" w:rsidR="00CE5D74" w:rsidRDefault="00000000">
            <w:pPr>
              <w:spacing w:before="60" w:after="60"/>
            </w:pPr>
            <w:r>
              <w:rPr>
                <w:b/>
                <w:bCs/>
                <w:sz w:val="22"/>
                <w:szCs w:val="22"/>
              </w:rPr>
              <w:t>23.6 qtrs</w:t>
            </w:r>
            <w:r>
              <w:t xml:space="preserve"> </w:t>
            </w:r>
            <w:r>
              <w:rPr>
                <w:color w:val="6B7785"/>
                <w:sz w:val="17"/>
                <w:szCs w:val="17"/>
              </w:rPr>
              <w:t>Cash Runway</w:t>
            </w:r>
          </w:p>
        </w:tc>
        <w:tc>
          <w:tcPr>
            <w:tcW w:w="234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27AF7366" w14:textId="77777777" w:rsidR="00CE5D74" w:rsidRDefault="00000000">
            <w:pPr>
              <w:spacing w:before="60" w:after="60"/>
            </w:pPr>
            <w:r>
              <w:rPr>
                <w:b/>
                <w:bCs/>
                <w:sz w:val="22"/>
                <w:szCs w:val="22"/>
              </w:rPr>
              <w:t>43.6%</w:t>
            </w:r>
            <w:r>
              <w:t xml:space="preserve"> </w:t>
            </w:r>
            <w:r>
              <w:rPr>
                <w:color w:val="6B7785"/>
                <w:sz w:val="17"/>
                <w:szCs w:val="17"/>
              </w:rPr>
              <w:t>Revenue Growth YoY</w:t>
            </w:r>
          </w:p>
        </w:tc>
        <w:tc>
          <w:tcPr>
            <w:tcW w:w="234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10EAEAA5" w14:textId="77777777" w:rsidR="00CE5D74" w:rsidRDefault="00000000">
            <w:pPr>
              <w:spacing w:before="60" w:after="60"/>
            </w:pPr>
            <w:r>
              <w:rPr>
                <w:b/>
                <w:bCs/>
                <w:sz w:val="22"/>
                <w:szCs w:val="22"/>
              </w:rPr>
              <w:t>256-qubit (2027)</w:t>
            </w:r>
            <w:r>
              <w:t xml:space="preserve"> </w:t>
            </w:r>
            <w:r>
              <w:rPr>
                <w:color w:val="6B7785"/>
                <w:sz w:val="17"/>
                <w:szCs w:val="17"/>
              </w:rPr>
              <w:t>Next Milestone</w:t>
            </w:r>
          </w:p>
        </w:tc>
      </w:tr>
    </w:tbl>
    <w:p w14:paraId="568F6595" w14:textId="77777777" w:rsidR="00CE5D74" w:rsidRDefault="00CE5D74">
      <w:pPr>
        <w:spacing w:before="40" w:after="40"/>
      </w:pPr>
    </w:p>
    <w:p w14:paraId="5638D719"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7D3F47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5DA0CF58" w14:textId="77777777" w:rsidR="00CE5D74" w:rsidRDefault="00000000">
            <w:pPr>
              <w:spacing w:before="60" w:after="60"/>
            </w:pPr>
            <w:r>
              <w:rPr>
                <w:b/>
                <w:bCs/>
                <w:color w:val="FFFFFF"/>
                <w:sz w:val="17"/>
                <w:szCs w:val="17"/>
              </w:rPr>
              <w:lastRenderedPageBreak/>
              <w:t>Nexus Research  ·  MOONSHOT ASSESSMENT</w:t>
            </w:r>
            <w:r>
              <w:rPr>
                <w:sz w:val="17"/>
                <w:szCs w:val="17"/>
              </w:rPr>
              <w:t xml:space="preserve">          </w:t>
            </w:r>
            <w:r>
              <w:rPr>
                <w:color w:val="C09848"/>
                <w:sz w:val="16"/>
                <w:szCs w:val="16"/>
              </w:rPr>
              <w:t>IonQ, Inc.   IONQ  ·  Quantum Computing  ·  NYSE</w:t>
            </w:r>
          </w:p>
        </w:tc>
      </w:tr>
    </w:tbl>
    <w:p w14:paraId="7F967126"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2185"/>
        <w:gridCol w:w="2185"/>
        <w:gridCol w:w="1599"/>
        <w:gridCol w:w="1599"/>
      </w:tblGrid>
      <w:tr w:rsidR="00CE5D74" w14:paraId="1047A7F9" w14:textId="77777777">
        <w:tblPrEx>
          <w:tblCellMar>
            <w:top w:w="0" w:type="dxa"/>
            <w:bottom w:w="0" w:type="dxa"/>
          </w:tblCellMar>
        </w:tblPrEx>
        <w:tc>
          <w:tcPr>
            <w:tcW w:w="1600" w:type="dxa"/>
            <w:tcBorders>
              <w:top w:val="single" w:sz="2" w:space="0" w:color="D0D4D9"/>
              <w:left w:val="single" w:sz="2" w:space="0" w:color="D0D4D9"/>
              <w:bottom w:val="single" w:sz="2" w:space="0" w:color="D0D4D9"/>
              <w:right w:val="single" w:sz="2" w:space="0" w:color="D0D4D9"/>
            </w:tcBorders>
            <w:shd w:val="clear" w:color="auto" w:fill="F5EDD8"/>
            <w:tcMar>
              <w:top w:w="80" w:type="dxa"/>
              <w:left w:w="80" w:type="dxa"/>
              <w:bottom w:w="80" w:type="dxa"/>
              <w:right w:w="80" w:type="dxa"/>
            </w:tcMar>
          </w:tcPr>
          <w:p w14:paraId="497FC97F" w14:textId="77777777" w:rsidR="00CE5D74" w:rsidRDefault="00000000">
            <w:pPr>
              <w:spacing w:before="40" w:after="20"/>
            </w:pPr>
            <w:r>
              <w:rPr>
                <w:b/>
                <w:bCs/>
                <w:color w:val="A07830"/>
                <w:sz w:val="15"/>
                <w:szCs w:val="15"/>
              </w:rPr>
              <w:t>RATING</w:t>
            </w:r>
          </w:p>
          <w:p w14:paraId="4661EF5E" w14:textId="77777777" w:rsidR="00CE5D74" w:rsidRDefault="00000000">
            <w:pPr>
              <w:spacing w:before="60" w:after="60"/>
            </w:pPr>
            <w:r>
              <w:rPr>
                <w:b/>
                <w:bCs/>
                <w:color w:val="A07830"/>
                <w:sz w:val="22"/>
                <w:szCs w:val="22"/>
              </w:rPr>
              <w:t>WATCH</w:t>
            </w:r>
          </w:p>
        </w:tc>
        <w:tc>
          <w:tcPr>
            <w:tcW w:w="195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628C802" w14:textId="77777777" w:rsidR="00CE5D74" w:rsidRDefault="00000000">
            <w:pPr>
              <w:spacing w:before="60" w:after="60"/>
            </w:pPr>
            <w:r>
              <w:rPr>
                <w:b/>
                <w:bCs/>
                <w:color w:val="6B7785"/>
                <w:sz w:val="18"/>
                <w:szCs w:val="18"/>
              </w:rPr>
              <w:t>Price Target</w:t>
            </w:r>
            <w:r>
              <w:t xml:space="preserve"> </w:t>
            </w:r>
            <w:r>
              <w:rPr>
                <w:b/>
                <w:bCs/>
                <w:sz w:val="22"/>
                <w:szCs w:val="22"/>
              </w:rPr>
              <w:t>$89.00</w:t>
            </w:r>
          </w:p>
        </w:tc>
        <w:tc>
          <w:tcPr>
            <w:tcW w:w="195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558DCCEB" w14:textId="77777777" w:rsidR="00CE5D74" w:rsidRDefault="00000000">
            <w:pPr>
              <w:spacing w:before="60" w:after="60"/>
            </w:pPr>
            <w:r>
              <w:rPr>
                <w:b/>
                <w:bCs/>
                <w:color w:val="6B7785"/>
                <w:sz w:val="18"/>
                <w:szCs w:val="18"/>
              </w:rPr>
              <w:t>Current Price</w:t>
            </w:r>
            <w:r>
              <w:t xml:space="preserve"> </w:t>
            </w:r>
            <w:r>
              <w:rPr>
                <w:b/>
                <w:bCs/>
                <w:sz w:val="22"/>
                <w:szCs w:val="22"/>
              </w:rPr>
              <w:t>$69.34</w:t>
            </w:r>
          </w:p>
        </w:tc>
        <w:tc>
          <w:tcPr>
            <w:tcW w:w="1428"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BFB2532" w14:textId="77777777" w:rsidR="00CE5D74" w:rsidRDefault="00000000">
            <w:pPr>
              <w:spacing w:before="60" w:after="60"/>
            </w:pPr>
            <w:r>
              <w:rPr>
                <w:b/>
                <w:bCs/>
                <w:color w:val="6B7785"/>
                <w:sz w:val="18"/>
                <w:szCs w:val="18"/>
              </w:rPr>
              <w:t>Upside</w:t>
            </w:r>
            <w:r>
              <w:t xml:space="preserve"> </w:t>
            </w:r>
            <w:r>
              <w:rPr>
                <w:b/>
                <w:bCs/>
                <w:sz w:val="22"/>
                <w:szCs w:val="22"/>
              </w:rPr>
              <w:t>+28.4%</w:t>
            </w:r>
          </w:p>
        </w:tc>
        <w:tc>
          <w:tcPr>
            <w:tcW w:w="1428"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CCEB021" w14:textId="77777777" w:rsidR="00CE5D74" w:rsidRDefault="00000000">
            <w:pPr>
              <w:spacing w:before="60" w:after="60"/>
            </w:pPr>
            <w:r>
              <w:rPr>
                <w:b/>
                <w:bCs/>
                <w:color w:val="6B7785"/>
                <w:sz w:val="18"/>
                <w:szCs w:val="18"/>
              </w:rPr>
              <w:t>Conviction</w:t>
            </w:r>
            <w:r>
              <w:t xml:space="preserve"> </w:t>
            </w:r>
            <w:r>
              <w:rPr>
                <w:b/>
                <w:bCs/>
                <w:sz w:val="22"/>
                <w:szCs w:val="22"/>
              </w:rPr>
              <w:t>Medium</w:t>
            </w:r>
          </w:p>
        </w:tc>
      </w:tr>
    </w:tbl>
    <w:p w14:paraId="2803C7F6" w14:textId="77777777" w:rsidR="00CE5D74" w:rsidRDefault="00CE5D74">
      <w:pPr>
        <w:spacing w:before="40" w:after="40"/>
      </w:pPr>
    </w:p>
    <w:p w14:paraId="341AED4D" w14:textId="77777777" w:rsidR="00CE5D74" w:rsidRDefault="00000000">
      <w:pPr>
        <w:pBdr>
          <w:bottom w:val="single" w:sz="6" w:space="0" w:color="A07830"/>
        </w:pBdr>
        <w:spacing w:before="280" w:after="120"/>
      </w:pPr>
      <w:r>
        <w:rPr>
          <w:b/>
          <w:bCs/>
          <w:color w:val="0D1B2A"/>
          <w:sz w:val="22"/>
          <w:szCs w:val="22"/>
        </w:rPr>
        <w:t>01  ·  Technology Execution: Is the Tech Real and On Track?</w:t>
      </w:r>
    </w:p>
    <w:p w14:paraId="080E8103"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3AF22609"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F7801FE" w14:textId="77777777" w:rsidR="00CE5D74" w:rsidRDefault="00000000">
            <w:pPr>
              <w:spacing w:before="60" w:after="60"/>
            </w:pPr>
            <w:r>
              <w:rPr>
                <w:b/>
                <w:bCs/>
                <w:color w:val="A07830"/>
                <w:sz w:val="18"/>
                <w:szCs w:val="18"/>
              </w:rPr>
              <w:t>A</w:t>
            </w:r>
            <w:r>
              <w:rPr>
                <w:b/>
                <w:bCs/>
                <w:sz w:val="18"/>
                <w:szCs w:val="18"/>
              </w:rPr>
              <w:t xml:space="preserve">  Milestone delivery</w:t>
            </w:r>
          </w:p>
          <w:p w14:paraId="29F14611" w14:textId="77777777" w:rsidR="00CE5D74" w:rsidRDefault="00CE5D74">
            <w:pPr>
              <w:spacing w:before="40" w:after="40"/>
            </w:pPr>
          </w:p>
          <w:p w14:paraId="2819B705" w14:textId="77777777" w:rsidR="00CE5D74" w:rsidRDefault="00000000">
            <w:pPr>
              <w:spacing w:before="60" w:after="60"/>
            </w:pPr>
            <w:r>
              <w:rPr>
                <w:i/>
                <w:iCs/>
                <w:color w:val="3D4852"/>
              </w:rPr>
              <w:t>IonQ reported Q1 2026 revenue of $64.7M (755% YoY growth) in its May 7, 2026 10-Q. The $470M remaining performance obligation backlog (50% expected within 12 months) indicates contracted future revenue. AQ milestone specifics were not disclosed in the Q1 2026 10-Q; IonQ’s most recently published AQ target is AQ 64+ for enterprise-useful computation. AQ progress reporting has shifted toward revenue and contract metrics in recent filings.</w:t>
            </w:r>
          </w:p>
          <w:p w14:paraId="7D8F012C" w14:textId="77777777" w:rsidR="00CE5D74" w:rsidRDefault="00CE5D74">
            <w:pPr>
              <w:spacing w:before="40" w:after="40"/>
            </w:pPr>
          </w:p>
          <w:p w14:paraId="722CE453" w14:textId="77777777" w:rsidR="00CE5D74" w:rsidRDefault="00000000">
            <w:pPr>
              <w:spacing w:before="60" w:after="60"/>
            </w:pPr>
            <w:r>
              <w:rPr>
                <w:i/>
                <w:iCs/>
                <w:color w:val="3D4852"/>
              </w:rPr>
              <w:t>Revenue milestones have been consistently hit and exceeded: Q1 2026 revenue of $64.7M vs. $7.6M in Q1 2025. IonQ completed six acquisitions in 2025 (Oxford Ionics, Capella Space, Vector Atomic, Lightsynq, id Quantique, a market intelligence firm) totaling $2.66B, and two in early 2026 (Skyloom $190M, Seed Innovations $30M), with SkyWater ($1.8B) pending. Technology AQ milestones have become less prominent in communications as the company pivots to a platform narrative.</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F40415C" w14:textId="77777777" w:rsidR="00CE5D74" w:rsidRDefault="00000000">
            <w:pPr>
              <w:spacing w:before="60" w:after="60"/>
            </w:pPr>
            <w:r>
              <w:rPr>
                <w:b/>
                <w:bCs/>
                <w:color w:val="A07830"/>
                <w:sz w:val="18"/>
                <w:szCs w:val="18"/>
              </w:rPr>
              <w:t>B</w:t>
            </w:r>
            <w:r>
              <w:rPr>
                <w:b/>
                <w:bCs/>
                <w:sz w:val="18"/>
                <w:szCs w:val="18"/>
              </w:rPr>
              <w:t xml:space="preserve">  Independent validation</w:t>
            </w:r>
          </w:p>
          <w:p w14:paraId="1F182DFB" w14:textId="77777777" w:rsidR="00CE5D74" w:rsidRDefault="00CE5D74">
            <w:pPr>
              <w:spacing w:before="40" w:after="40"/>
            </w:pPr>
          </w:p>
          <w:p w14:paraId="7DA8BB90" w14:textId="77777777" w:rsidR="00CE5D74" w:rsidRDefault="00000000">
            <w:pPr>
              <w:spacing w:before="60" w:after="60"/>
            </w:pPr>
            <w:r>
              <w:rPr>
                <w:i/>
                <w:iCs/>
                <w:color w:val="3D4852"/>
              </w:rPr>
              <w:t>IonQ has published peer-reviewed research and holds academic partnerships with University of Chicago and University of Cambridge (both formalized in 2025–2026 with equity-based agreements). Paying enterprise customers exist; two customers accounted for 34% of Q1 2026 revenue, and QCaaS is available through AWS, Azure, and Google Cloud. However, the AQ metric is IonQ-proprietary and not independently benchmarked. The platform expansion (satellites, sensing, security) through acquisitions has limited peer-reviewed validation.</w:t>
            </w:r>
          </w:p>
          <w:p w14:paraId="4D308B28" w14:textId="77777777" w:rsidR="00CE5D74" w:rsidRDefault="00CE5D74">
            <w:pPr>
              <w:spacing w:before="40" w:after="40"/>
            </w:pPr>
          </w:p>
          <w:p w14:paraId="5A576382" w14:textId="77777777" w:rsidR="00CE5D74" w:rsidRDefault="00000000">
            <w:pPr>
              <w:spacing w:before="80" w:after="40"/>
            </w:pPr>
            <w:r>
              <w:rPr>
                <w:b/>
                <w:bCs/>
                <w:color w:val="A07830"/>
                <w:sz w:val="17"/>
                <w:szCs w:val="17"/>
              </w:rPr>
              <w:t>Technology verdict:</w:t>
            </w:r>
          </w:p>
          <w:p w14:paraId="6591543B" w14:textId="77777777" w:rsidR="00CE5D74" w:rsidRDefault="00000000">
            <w:pPr>
              <w:spacing w:before="80" w:after="80"/>
              <w:ind w:left="240"/>
            </w:pPr>
            <w:sdt>
              <w:sdtPr>
                <w:id w:val="-466200109"/>
                <w14:checkbox>
                  <w14:checked w14:val="1"/>
                  <w14:checkedState w14:val="2612" w14:font="MS Gothic"/>
                  <w14:uncheckedState w14:val="2610" w14:font="MS Gothic"/>
                </w14:checkbox>
              </w:sdtPr>
              <w:sdtContent>
                <w:r>
                  <w:sym w:font="MS Gothic" w:char="2612"/>
                </w:r>
              </w:sdtContent>
            </w:sdt>
            <w:r>
              <w:t xml:space="preserve">  On track</w:t>
            </w:r>
          </w:p>
          <w:p w14:paraId="13594BC1" w14:textId="77777777" w:rsidR="00CE5D74" w:rsidRDefault="00000000">
            <w:pPr>
              <w:spacing w:before="80" w:after="80"/>
              <w:ind w:left="240"/>
            </w:pPr>
            <w:sdt>
              <w:sdtPr>
                <w:id w:val="1455284947"/>
                <w14:checkbox>
                  <w14:checked w14:val="0"/>
                  <w14:checkedState w14:val="2612" w14:font="MS Gothic"/>
                  <w14:uncheckedState w14:val="2610" w14:font="MS Gothic"/>
                </w14:checkbox>
              </w:sdtPr>
              <w:sdtContent>
                <w:r>
                  <w:sym w:font="MS Gothic" w:char="2610"/>
                </w:r>
              </w:sdtContent>
            </w:sdt>
            <w:r>
              <w:t xml:space="preserve">  Caution</w:t>
            </w:r>
          </w:p>
          <w:p w14:paraId="63BBE94D" w14:textId="77777777" w:rsidR="00CE5D74" w:rsidRDefault="00000000">
            <w:pPr>
              <w:spacing w:before="80" w:after="80"/>
              <w:ind w:left="240"/>
            </w:pPr>
            <w:sdt>
              <w:sdtPr>
                <w:id w:val="612328884"/>
                <w14:checkbox>
                  <w14:checked w14:val="0"/>
                  <w14:checkedState w14:val="2612" w14:font="MS Gothic"/>
                  <w14:uncheckedState w14:val="2610" w14:font="MS Gothic"/>
                </w14:checkbox>
              </w:sdtPr>
              <w:sdtContent>
                <w:r>
                  <w:sym w:font="MS Gothic" w:char="2610"/>
                </w:r>
              </w:sdtContent>
            </w:sdt>
            <w:r>
              <w:t xml:space="preserve">  Red flag</w:t>
            </w:r>
          </w:p>
        </w:tc>
      </w:tr>
    </w:tbl>
    <w:p w14:paraId="76A9F2CB" w14:textId="77777777" w:rsidR="00CE5D74" w:rsidRDefault="00CE5D74">
      <w:pPr>
        <w:spacing w:before="40" w:after="40"/>
      </w:pPr>
    </w:p>
    <w:p w14:paraId="70D4598B"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3C842A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1D7C16D2" w14:textId="77777777" w:rsidR="00CE5D74" w:rsidRDefault="00000000">
            <w:pPr>
              <w:spacing w:before="60" w:after="60"/>
            </w:pPr>
            <w:r>
              <w:rPr>
                <w:b/>
                <w:bCs/>
                <w:color w:val="FFFFFF"/>
                <w:sz w:val="17"/>
                <w:szCs w:val="17"/>
              </w:rPr>
              <w:lastRenderedPageBreak/>
              <w:t>Nexus Research  ·  MOONSHOT ASSESSMENT</w:t>
            </w:r>
            <w:r>
              <w:rPr>
                <w:sz w:val="17"/>
                <w:szCs w:val="17"/>
              </w:rPr>
              <w:t xml:space="preserve">          </w:t>
            </w:r>
            <w:r>
              <w:rPr>
                <w:color w:val="C09848"/>
                <w:sz w:val="16"/>
                <w:szCs w:val="16"/>
              </w:rPr>
              <w:t>IonQ, Inc.   IONQ  ·  Quantum Computing  ·  NYSE</w:t>
            </w:r>
          </w:p>
        </w:tc>
      </w:tr>
    </w:tbl>
    <w:p w14:paraId="355A14D7" w14:textId="77777777" w:rsidR="00CE5D74" w:rsidRDefault="00CE5D74">
      <w:pPr>
        <w:spacing w:before="40" w:after="40"/>
      </w:pPr>
    </w:p>
    <w:p w14:paraId="5BDE5AE3" w14:textId="77777777" w:rsidR="00CE5D74" w:rsidRDefault="00000000">
      <w:pPr>
        <w:pBdr>
          <w:bottom w:val="single" w:sz="6" w:space="0" w:color="A07830"/>
        </w:pBdr>
        <w:spacing w:before="280" w:after="120"/>
      </w:pPr>
      <w:r>
        <w:rPr>
          <w:b/>
          <w:bCs/>
          <w:color w:val="0D1B2A"/>
          <w:sz w:val="22"/>
          <w:szCs w:val="22"/>
        </w:rPr>
        <w:t>02  ·  Survival Analysis: Can They Last Long Enough to Matter?</w:t>
      </w:r>
    </w:p>
    <w:p w14:paraId="7C51AE0C"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0CDE8330"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648EFEAA" w14:textId="77777777" w:rsidR="00CE5D74" w:rsidRDefault="00000000">
            <w:pPr>
              <w:spacing w:before="60" w:after="60"/>
            </w:pPr>
            <w:r>
              <w:rPr>
                <w:b/>
                <w:bCs/>
                <w:color w:val="A07830"/>
                <w:sz w:val="18"/>
                <w:szCs w:val="18"/>
              </w:rPr>
              <w:t>A</w:t>
            </w:r>
            <w:r>
              <w:rPr>
                <w:b/>
                <w:bCs/>
                <w:sz w:val="18"/>
                <w:szCs w:val="18"/>
              </w:rPr>
              <w:t xml:space="preserve">  Runway &amp; burn</w:t>
            </w:r>
          </w:p>
          <w:p w14:paraId="5CCCA6C8" w14:textId="77777777" w:rsidR="00CE5D74" w:rsidRDefault="00CE5D74">
            <w:pPr>
              <w:spacing w:before="40" w:after="40"/>
            </w:pPr>
          </w:p>
          <w:p w14:paraId="32273D7E" w14:textId="77777777" w:rsidR="00CE5D74" w:rsidRDefault="00000000">
            <w:pPr>
              <w:spacing w:before="60" w:after="60"/>
            </w:pPr>
            <w:r>
              <w:rPr>
                <w:i/>
                <w:iCs/>
                <w:color w:val="3D4852"/>
              </w:rPr>
              <w:t>Cash &amp; equivalents: $493.5M. Short-term investments: $1,539.9M. Long-term investments: $1,058.4M. Total liquid: $3,091.9M. Quarterly operating cash outflow: $151.0M (Q1 2026). Calculated runway: $3,091.9M / $151.0M = 20.5 quarters (approx.). Note: the planner shows 23.6 quarters using cash + marketable securities only ($3,569.9M / $151M). Burn is worsening: Q1 2025 burn was $33.0M vs. $151.0M in Q1 2026, a 4.6x increase in one year, driven by acquisition integration costs, headcount growth, and materials costs. The pending SkyWater acquisition will require an additional ~$1B in cash outflow.</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66EE7C3" w14:textId="77777777" w:rsidR="00CE5D74" w:rsidRDefault="00000000">
            <w:pPr>
              <w:spacing w:before="60" w:after="60"/>
            </w:pPr>
            <w:r>
              <w:rPr>
                <w:b/>
                <w:bCs/>
                <w:color w:val="A07830"/>
                <w:sz w:val="18"/>
                <w:szCs w:val="18"/>
              </w:rPr>
              <w:t>B</w:t>
            </w:r>
            <w:r>
              <w:rPr>
                <w:b/>
                <w:bCs/>
                <w:sz w:val="18"/>
                <w:szCs w:val="18"/>
              </w:rPr>
              <w:t xml:space="preserve">  Revenue trajectory &amp; dilution risk</w:t>
            </w:r>
          </w:p>
          <w:p w14:paraId="07BDE747" w14:textId="77777777" w:rsidR="00CE5D74" w:rsidRDefault="00CE5D74">
            <w:pPr>
              <w:spacing w:before="40" w:after="40"/>
            </w:pPr>
          </w:p>
          <w:p w14:paraId="1B5E548E" w14:textId="77777777" w:rsidR="00CE5D74" w:rsidRDefault="00000000">
            <w:pPr>
              <w:spacing w:before="60" w:after="60"/>
            </w:pPr>
            <w:r>
              <w:rPr>
                <w:i/>
                <w:iCs/>
                <w:color w:val="3D4852"/>
              </w:rPr>
              <w:t>Q1 2026 revenue: $64.7M (+755% YoY). LTM revenue: $187.1M. NTM consensus: $268.7M (+43.6% forward growth). Revenue is growing rapidly but is heavily acquisition-driven; organic growth is not separately disclosed. The burn-to-revenue gap is not meaningfully narrowing: Q1 2026 operating loss was $271.5M on $64.7M revenue (4.2x revenue). Dilution risk is HIGH. IonQ has issued equity for every major acquisition (stock consideration of $2.54B in 2025 acquisitions alone), and total shares outstanding grew from ~222M (Dec 2024) to 373M (Mar 2026), a 68% increase in 15 months. SkyWater will add further equity dilution.</w:t>
            </w:r>
          </w:p>
        </w:tc>
      </w:tr>
    </w:tbl>
    <w:p w14:paraId="4F5B735F"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E5D74" w14:paraId="4455A8F0" w14:textId="77777777">
        <w:tblPrEx>
          <w:tblCellMar>
            <w:top w:w="0" w:type="dxa"/>
            <w:bottom w:w="0" w:type="dxa"/>
          </w:tblCellMar>
        </w:tblPrEx>
        <w:tc>
          <w:tcPr>
            <w:tcW w:w="312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0265E06D" w14:textId="77777777" w:rsidR="00CE5D74" w:rsidRDefault="00000000">
            <w:pPr>
              <w:spacing w:before="60" w:after="60"/>
            </w:pPr>
            <w:r>
              <w:rPr>
                <w:b/>
                <w:bCs/>
              </w:rPr>
              <w:t>Cash ($M):</w:t>
            </w:r>
          </w:p>
          <w:p w14:paraId="195F7211" w14:textId="77777777" w:rsidR="00CE5D74" w:rsidRDefault="00CE5D74">
            <w:pPr>
              <w:spacing w:before="40" w:after="40"/>
            </w:pPr>
          </w:p>
          <w:p w14:paraId="7DA7C00E" w14:textId="77777777" w:rsidR="00CE5D74" w:rsidRDefault="00000000">
            <w:pPr>
              <w:spacing w:before="60" w:after="60"/>
            </w:pPr>
            <w:r>
              <w:rPr>
                <w:b/>
                <w:bCs/>
                <w:sz w:val="22"/>
                <w:szCs w:val="22"/>
              </w:rPr>
              <w:t>$3,570</w:t>
            </w:r>
          </w:p>
        </w:tc>
        <w:tc>
          <w:tcPr>
            <w:tcW w:w="312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277FCDAD" w14:textId="77777777" w:rsidR="00CE5D74" w:rsidRDefault="00000000">
            <w:pPr>
              <w:spacing w:before="60" w:after="60"/>
            </w:pPr>
            <w:r>
              <w:rPr>
                <w:b/>
                <w:bCs/>
              </w:rPr>
              <w:t>Quarterly burn ($M):</w:t>
            </w:r>
          </w:p>
          <w:p w14:paraId="6D023199" w14:textId="77777777" w:rsidR="00CE5D74" w:rsidRDefault="00CE5D74">
            <w:pPr>
              <w:spacing w:before="40" w:after="40"/>
            </w:pPr>
          </w:p>
          <w:p w14:paraId="0835ACED" w14:textId="77777777" w:rsidR="00CE5D74" w:rsidRDefault="00000000">
            <w:pPr>
              <w:spacing w:before="60" w:after="60"/>
            </w:pPr>
            <w:r>
              <w:rPr>
                <w:b/>
                <w:bCs/>
                <w:sz w:val="22"/>
                <w:szCs w:val="22"/>
              </w:rPr>
              <w:t>$151</w:t>
            </w:r>
          </w:p>
        </w:tc>
        <w:tc>
          <w:tcPr>
            <w:tcW w:w="312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0E37BAC5" w14:textId="77777777" w:rsidR="00CE5D74" w:rsidRDefault="00000000">
            <w:pPr>
              <w:spacing w:before="60" w:after="60"/>
            </w:pPr>
            <w:r>
              <w:rPr>
                <w:b/>
                <w:bCs/>
              </w:rPr>
              <w:t>Runway (qtrs):</w:t>
            </w:r>
          </w:p>
          <w:p w14:paraId="0B04D3AA" w14:textId="77777777" w:rsidR="00CE5D74" w:rsidRDefault="00CE5D74">
            <w:pPr>
              <w:spacing w:before="40" w:after="40"/>
            </w:pPr>
          </w:p>
          <w:p w14:paraId="5338C7CB" w14:textId="77777777" w:rsidR="00CE5D74" w:rsidRDefault="00000000">
            <w:pPr>
              <w:spacing w:before="60" w:after="60"/>
            </w:pPr>
            <w:r>
              <w:rPr>
                <w:b/>
                <w:bCs/>
                <w:sz w:val="22"/>
                <w:szCs w:val="22"/>
              </w:rPr>
              <w:t>23.6</w:t>
            </w:r>
          </w:p>
        </w:tc>
      </w:tr>
      <w:tr w:rsidR="00CE5D74" w14:paraId="6E519974" w14:textId="77777777">
        <w:tblPrEx>
          <w:tblCellMar>
            <w:top w:w="0" w:type="dxa"/>
            <w:bottom w:w="0" w:type="dxa"/>
          </w:tblCellMar>
        </w:tblPrEx>
        <w:tc>
          <w:tcPr>
            <w:tcW w:w="312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53ED223" w14:textId="77777777" w:rsidR="00CE5D74" w:rsidRDefault="00000000">
            <w:pPr>
              <w:spacing w:before="60" w:after="40"/>
            </w:pPr>
            <w:r>
              <w:rPr>
                <w:b/>
                <w:bCs/>
                <w:color w:val="A07830"/>
                <w:sz w:val="17"/>
                <w:szCs w:val="17"/>
              </w:rPr>
              <w:t>Survival verdict:</w:t>
            </w:r>
          </w:p>
          <w:p w14:paraId="76103F1C" w14:textId="77777777" w:rsidR="00CE5D74" w:rsidRDefault="00000000">
            <w:pPr>
              <w:spacing w:before="80" w:after="80"/>
              <w:ind w:left="240"/>
            </w:pPr>
            <w:sdt>
              <w:sdtPr>
                <w:id w:val="-137968369"/>
                <w14:checkbox>
                  <w14:checked w14:val="0"/>
                  <w14:checkedState w14:val="2612" w14:font="MS Gothic"/>
                  <w14:uncheckedState w14:val="2610" w14:font="MS Gothic"/>
                </w14:checkbox>
              </w:sdtPr>
              <w:sdtContent>
                <w:r>
                  <w:sym w:font="MS Gothic" w:char="2610"/>
                </w:r>
              </w:sdtContent>
            </w:sdt>
            <w:r>
              <w:t xml:space="preserve">  On track</w:t>
            </w:r>
          </w:p>
          <w:p w14:paraId="6852106D" w14:textId="77777777" w:rsidR="00CE5D74" w:rsidRDefault="00000000">
            <w:pPr>
              <w:spacing w:before="80" w:after="80"/>
              <w:ind w:left="240"/>
            </w:pPr>
            <w:sdt>
              <w:sdtPr>
                <w:id w:val="909662061"/>
                <w14:checkbox>
                  <w14:checked w14:val="1"/>
                  <w14:checkedState w14:val="2612" w14:font="MS Gothic"/>
                  <w14:uncheckedState w14:val="2610" w14:font="MS Gothic"/>
                </w14:checkbox>
              </w:sdtPr>
              <w:sdtContent>
                <w:r>
                  <w:sym w:font="MS Gothic" w:char="2612"/>
                </w:r>
              </w:sdtContent>
            </w:sdt>
            <w:r>
              <w:t xml:space="preserve">  Caution</w:t>
            </w:r>
          </w:p>
          <w:p w14:paraId="2F4D1E29" w14:textId="77777777" w:rsidR="00CE5D74" w:rsidRDefault="00000000">
            <w:pPr>
              <w:spacing w:before="80" w:after="80"/>
              <w:ind w:left="240"/>
            </w:pPr>
            <w:sdt>
              <w:sdtPr>
                <w:id w:val="978185697"/>
                <w14:checkbox>
                  <w14:checked w14:val="0"/>
                  <w14:checkedState w14:val="2612" w14:font="MS Gothic"/>
                  <w14:uncheckedState w14:val="2610" w14:font="MS Gothic"/>
                </w14:checkbox>
              </w:sdtPr>
              <w:sdtContent>
                <w:r>
                  <w:sym w:font="MS Gothic" w:char="2610"/>
                </w:r>
              </w:sdtContent>
            </w:sdt>
            <w:r>
              <w:t xml:space="preserve">  Red flag</w:t>
            </w:r>
          </w:p>
        </w:tc>
        <w:tc>
          <w:tcPr>
            <w:tcW w:w="312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C8AC856" w14:textId="77777777" w:rsidR="00CE5D74" w:rsidRDefault="00000000">
            <w:pPr>
              <w:spacing w:before="60" w:after="40"/>
            </w:pPr>
            <w:r>
              <w:rPr>
                <w:b/>
                <w:bCs/>
                <w:color w:val="A07830"/>
                <w:sz w:val="17"/>
                <w:szCs w:val="17"/>
              </w:rPr>
              <w:t>Dilution risk:</w:t>
            </w:r>
          </w:p>
          <w:p w14:paraId="333462FC" w14:textId="77777777" w:rsidR="00CE5D74" w:rsidRDefault="00000000">
            <w:pPr>
              <w:spacing w:before="80" w:after="80"/>
              <w:ind w:left="240"/>
            </w:pPr>
            <w:sdt>
              <w:sdtPr>
                <w:id w:val="1035162524"/>
                <w14:checkbox>
                  <w14:checked w14:val="0"/>
                  <w14:checkedState w14:val="2612" w14:font="MS Gothic"/>
                  <w14:uncheckedState w14:val="2610" w14:font="MS Gothic"/>
                </w14:checkbox>
              </w:sdtPr>
              <w:sdtContent>
                <w:r>
                  <w:sym w:font="MS Gothic" w:char="2610"/>
                </w:r>
              </w:sdtContent>
            </w:sdt>
            <w:r>
              <w:t xml:space="preserve">  Low</w:t>
            </w:r>
          </w:p>
          <w:p w14:paraId="7BC62BEB" w14:textId="77777777" w:rsidR="00CE5D74" w:rsidRDefault="00000000">
            <w:pPr>
              <w:spacing w:before="80" w:after="80"/>
              <w:ind w:left="240"/>
            </w:pPr>
            <w:sdt>
              <w:sdtPr>
                <w:id w:val="-569422807"/>
                <w14:checkbox>
                  <w14:checked w14:val="0"/>
                  <w14:checkedState w14:val="2612" w14:font="MS Gothic"/>
                  <w14:uncheckedState w14:val="2610" w14:font="MS Gothic"/>
                </w14:checkbox>
              </w:sdtPr>
              <w:sdtContent>
                <w:r>
                  <w:sym w:font="MS Gothic" w:char="2610"/>
                </w:r>
              </w:sdtContent>
            </w:sdt>
            <w:r>
              <w:t xml:space="preserve">  Medium (note in bear case)</w:t>
            </w:r>
          </w:p>
          <w:p w14:paraId="7C8FD66C" w14:textId="77777777" w:rsidR="00CE5D74" w:rsidRDefault="00000000">
            <w:pPr>
              <w:spacing w:before="80" w:after="80"/>
              <w:ind w:left="240"/>
            </w:pPr>
            <w:sdt>
              <w:sdtPr>
                <w:id w:val="452221006"/>
                <w14:checkbox>
                  <w14:checked w14:val="1"/>
                  <w14:checkedState w14:val="2612" w14:font="MS Gothic"/>
                  <w14:uncheckedState w14:val="2610" w14:font="MS Gothic"/>
                </w14:checkbox>
              </w:sdtPr>
              <w:sdtContent>
                <w:r>
                  <w:sym w:font="MS Gothic" w:char="2612"/>
                </w:r>
              </w:sdtContent>
            </w:sdt>
            <w:r>
              <w:t xml:space="preserve">  High (resets the math)</w:t>
            </w:r>
          </w:p>
        </w:tc>
        <w:tc>
          <w:tcPr>
            <w:tcW w:w="312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521D769" w14:textId="77777777" w:rsidR="00CE5D74" w:rsidRDefault="00000000">
            <w:pPr>
              <w:spacing w:before="60" w:after="60"/>
            </w:pPr>
            <w:r>
              <w:t xml:space="preserve"> </w:t>
            </w:r>
          </w:p>
        </w:tc>
      </w:tr>
    </w:tbl>
    <w:p w14:paraId="4B78EDD4"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7F37B7ED" w14:textId="77777777">
        <w:tblPrEx>
          <w:tblCellMar>
            <w:top w:w="0" w:type="dxa"/>
            <w:bottom w:w="0" w:type="dxa"/>
          </w:tblCellMar>
        </w:tblPrEx>
        <w:tc>
          <w:tcPr>
            <w:tcW w:w="9360" w:type="dxa"/>
            <w:tcBorders>
              <w:top w:val="single" w:sz="6" w:space="0" w:color="A07830"/>
              <w:left w:val="single" w:sz="6" w:space="0" w:color="A07830"/>
              <w:bottom w:val="single" w:sz="6" w:space="0" w:color="A07830"/>
              <w:right w:val="single" w:sz="6" w:space="0" w:color="A07830"/>
            </w:tcBorders>
            <w:shd w:val="clear" w:color="auto" w:fill="FAFAFA"/>
            <w:tcMar>
              <w:top w:w="80" w:type="dxa"/>
              <w:left w:w="80" w:type="dxa"/>
              <w:bottom w:w="80" w:type="dxa"/>
              <w:right w:w="80" w:type="dxa"/>
            </w:tcMar>
          </w:tcPr>
          <w:p w14:paraId="7948AD10" w14:textId="77777777" w:rsidR="00CE5D74" w:rsidRDefault="00000000">
            <w:pPr>
              <w:spacing w:before="80" w:after="80"/>
            </w:pPr>
            <w:r>
              <w:rPr>
                <w:b/>
                <w:bCs/>
                <w:color w:val="A07830"/>
                <w:sz w:val="16"/>
                <w:szCs w:val="16"/>
              </w:rPr>
              <w:t>OVERALL VERDICT</w:t>
            </w:r>
          </w:p>
          <w:p w14:paraId="742430DA" w14:textId="77777777" w:rsidR="00CE5D74" w:rsidRDefault="00000000">
            <w:pPr>
              <w:spacing w:before="80" w:after="80"/>
              <w:ind w:left="240"/>
            </w:pPr>
            <w:sdt>
              <w:sdtPr>
                <w:id w:val="-229233876"/>
                <w14:checkbox>
                  <w14:checked w14:val="0"/>
                  <w14:checkedState w14:val="2612" w14:font="MS Gothic"/>
                  <w14:uncheckedState w14:val="2610" w14:font="MS Gothic"/>
                </w14:checkbox>
              </w:sdtPr>
              <w:sdtContent>
                <w:r>
                  <w:sym w:font="MS Gothic" w:char="2610"/>
                </w:r>
              </w:sdtContent>
            </w:sdt>
            <w:r>
              <w:t xml:space="preserve">  BUY: Technology on track, survival on track</w:t>
            </w:r>
          </w:p>
          <w:p w14:paraId="2B7306B8" w14:textId="77777777" w:rsidR="00CE5D74" w:rsidRDefault="00000000">
            <w:pPr>
              <w:spacing w:before="80" w:after="80"/>
              <w:ind w:left="240"/>
            </w:pPr>
            <w:sdt>
              <w:sdtPr>
                <w:id w:val="1967694397"/>
                <w14:checkbox>
                  <w14:checked w14:val="1"/>
                  <w14:checkedState w14:val="2612" w14:font="MS Gothic"/>
                  <w14:uncheckedState w14:val="2610" w14:font="MS Gothic"/>
                </w14:checkbox>
              </w:sdtPr>
              <w:sdtContent>
                <w:r>
                  <w:sym w:font="MS Gothic" w:char="2612"/>
                </w:r>
              </w:sdtContent>
            </w:sdt>
            <w:r>
              <w:t xml:space="preserve">  WATCH LIST: Mixed; define the upgrade trigger below</w:t>
            </w:r>
          </w:p>
          <w:p w14:paraId="76D58D7E" w14:textId="77777777" w:rsidR="00CE5D74" w:rsidRDefault="00000000">
            <w:pPr>
              <w:spacing w:before="80" w:after="80"/>
              <w:ind w:left="240"/>
            </w:pPr>
            <w:sdt>
              <w:sdtPr>
                <w:id w:val="1908808286"/>
                <w14:checkbox>
                  <w14:checked w14:val="0"/>
                  <w14:checkedState w14:val="2612" w14:font="MS Gothic"/>
                  <w14:uncheckedState w14:val="2610" w14:font="MS Gothic"/>
                </w14:checkbox>
              </w:sdtPr>
              <w:sdtContent>
                <w:r>
                  <w:sym w:font="MS Gothic" w:char="2610"/>
                </w:r>
              </w:sdtContent>
            </w:sdt>
            <w:r>
              <w:t xml:space="preserve">  PASS: Red flag on one or both dimensions</w:t>
            </w:r>
          </w:p>
          <w:p w14:paraId="79A21401" w14:textId="77777777" w:rsidR="00CE5D74" w:rsidRDefault="00CE5D74">
            <w:pPr>
              <w:spacing w:before="40" w:after="40"/>
            </w:pPr>
          </w:p>
          <w:p w14:paraId="59E666AB" w14:textId="77777777" w:rsidR="00CE5D74" w:rsidRDefault="00000000">
            <w:pPr>
              <w:spacing w:before="80" w:after="20"/>
            </w:pPr>
            <w:r>
              <w:rPr>
                <w:color w:val="6B7785"/>
                <w:sz w:val="17"/>
                <w:szCs w:val="17"/>
              </w:rPr>
              <w:t>Thesis sentence:</w:t>
            </w:r>
          </w:p>
          <w:p w14:paraId="76FD9525" w14:textId="77777777" w:rsidR="00CE5D74" w:rsidRDefault="00000000">
            <w:pPr>
              <w:spacing w:after="40"/>
            </w:pPr>
            <w:r>
              <w:rPr>
                <w:color w:val="3D4852"/>
                <w:sz w:val="17"/>
                <w:szCs w:val="17"/>
              </w:rPr>
              <w:t>IonQ is making a vertically integrated quantum platform bet funded by $3B+ in cash and equity; the $470M government backlog and hyperscaler cloud partnerships support base-case survival, but 4.6x YoY burn acceleration means the bull case is conditional on SkyWater closing cleanly and a landmark defense contract validating the full platform.</w:t>
            </w:r>
          </w:p>
          <w:p w14:paraId="794FA346" w14:textId="77777777" w:rsidR="00CE5D74" w:rsidRDefault="00CE5D74">
            <w:pPr>
              <w:spacing w:after="40"/>
            </w:pPr>
          </w:p>
        </w:tc>
      </w:tr>
    </w:tbl>
    <w:p w14:paraId="1797F6E9" w14:textId="77777777" w:rsidR="00CE5D74" w:rsidRDefault="00CE5D74">
      <w:pPr>
        <w:spacing w:before="40" w:after="40"/>
      </w:pPr>
    </w:p>
    <w:p w14:paraId="3BE80D34"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10F3B3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504F6572" w14:textId="77777777" w:rsidR="00CE5D74" w:rsidRDefault="00000000">
            <w:pPr>
              <w:spacing w:before="60" w:after="60"/>
            </w:pPr>
            <w:r>
              <w:rPr>
                <w:b/>
                <w:bCs/>
                <w:color w:val="FFFFFF"/>
                <w:sz w:val="17"/>
                <w:szCs w:val="17"/>
              </w:rPr>
              <w:lastRenderedPageBreak/>
              <w:t>Nexus Research  ·  MOONSHOT ASSESSMENT</w:t>
            </w:r>
            <w:r>
              <w:rPr>
                <w:sz w:val="17"/>
                <w:szCs w:val="17"/>
              </w:rPr>
              <w:t xml:space="preserve">          </w:t>
            </w:r>
            <w:r>
              <w:rPr>
                <w:color w:val="C09848"/>
                <w:sz w:val="16"/>
                <w:szCs w:val="16"/>
              </w:rPr>
              <w:t>IonQ, Inc.   IONQ  ·  Quantum Computing  ·  NYSE</w:t>
            </w:r>
          </w:p>
        </w:tc>
      </w:tr>
    </w:tbl>
    <w:p w14:paraId="7031CE6F" w14:textId="77777777" w:rsidR="00CE5D74" w:rsidRDefault="00CE5D74">
      <w:pPr>
        <w:spacing w:before="40" w:after="40"/>
      </w:pPr>
    </w:p>
    <w:p w14:paraId="41C96D23" w14:textId="77777777" w:rsidR="00CE5D74" w:rsidRDefault="00000000">
      <w:pPr>
        <w:pBdr>
          <w:bottom w:val="single" w:sz="6" w:space="0" w:color="A07830"/>
        </w:pBdr>
        <w:spacing w:before="280" w:after="120"/>
      </w:pPr>
      <w:r>
        <w:rPr>
          <w:b/>
          <w:bCs/>
          <w:color w:val="0D1B2A"/>
          <w:sz w:val="22"/>
          <w:szCs w:val="22"/>
        </w:rPr>
        <w:t>03  ·  Thesis Verdict</w:t>
      </w:r>
    </w:p>
    <w:p w14:paraId="676CB872"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4D90FEBE"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50ECDA5C" w14:textId="77777777" w:rsidR="00CE5D74" w:rsidRDefault="00000000">
            <w:pPr>
              <w:spacing w:before="60" w:after="60"/>
            </w:pPr>
            <w:r>
              <w:rPr>
                <w:b/>
                <w:bCs/>
                <w:color w:val="A07830"/>
                <w:sz w:val="16"/>
                <w:szCs w:val="16"/>
              </w:rPr>
              <w:t>WHAT THE CURRENT PRICE IMPLIES</w:t>
            </w:r>
          </w:p>
          <w:p w14:paraId="2981D94F" w14:textId="77777777" w:rsidR="00CE5D74" w:rsidRDefault="00CE5D74">
            <w:pPr>
              <w:spacing w:before="40" w:after="40"/>
            </w:pPr>
          </w:p>
          <w:p w14:paraId="757A7606" w14:textId="77777777" w:rsidR="00CE5D74" w:rsidRDefault="00000000">
            <w:pPr>
              <w:spacing w:before="60" w:after="60"/>
            </w:pPr>
            <w:r>
              <w:rPr>
                <w:i/>
                <w:iCs/>
                <w:color w:val="3D4852"/>
              </w:rPr>
              <w:t>At $69.34 and 83x NTM EV/Revenue, the market is pricing roughly base-case execution: government backlog converts to revenue at the guided rate, QCaaS partnerships with hyperscalers continue, and the company survives long enough to either reach standalone profitability or attract an acquisition. The implied assumption is that the acquisition spree adds strategic value rather than accelerating cash destruction, and that the $470M backlog is sticky.</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760ECB92" w14:textId="77777777" w:rsidR="00CE5D74" w:rsidRDefault="00000000">
            <w:pPr>
              <w:spacing w:before="60" w:after="60"/>
            </w:pPr>
            <w:r>
              <w:rPr>
                <w:b/>
                <w:bCs/>
                <w:color w:val="A07830"/>
                <w:sz w:val="16"/>
                <w:szCs w:val="16"/>
              </w:rPr>
              <w:t>WHY THAT IMPLIED ASSUMPTION IS WRONG</w:t>
            </w:r>
          </w:p>
          <w:p w14:paraId="30A4A8EF" w14:textId="77777777" w:rsidR="00CE5D74" w:rsidRDefault="00CE5D74">
            <w:pPr>
              <w:spacing w:before="40" w:after="40"/>
            </w:pPr>
          </w:p>
          <w:p w14:paraId="37F1AD45" w14:textId="77777777" w:rsidR="00CE5D74" w:rsidRDefault="00000000">
            <w:pPr>
              <w:spacing w:before="60" w:after="60"/>
            </w:pPr>
            <w:r>
              <w:rPr>
                <w:i/>
                <w:iCs/>
                <w:color w:val="3D4852"/>
              </w:rPr>
              <w:t>The price implies a stable burn trajectory and clean acquisition integration, but Q1 2026 shows operating cash burn accelerating 4.6x YoY to $151M/quarter while the SkyWater deal adds $1B in near-term cash outflow. The $470M government backlog with 50% converting in 12 months ($235M) does not offset that burn at current rates. The bull case requires SkyWater to close cleanly and the platform thesis to be validated by a major defense contract; neither is certain.</w:t>
            </w:r>
          </w:p>
        </w:tc>
      </w:tr>
    </w:tbl>
    <w:p w14:paraId="4E898E39"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30138FBA" w14:textId="77777777">
        <w:tblPrEx>
          <w:tblCellMar>
            <w:top w:w="0" w:type="dxa"/>
            <w:bottom w:w="0" w:type="dxa"/>
          </w:tblCellMar>
        </w:tblPrEx>
        <w:tc>
          <w:tcPr>
            <w:tcW w:w="936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0E21FA53" w14:textId="77777777" w:rsidR="00CE5D74" w:rsidRDefault="00000000">
            <w:pPr>
              <w:spacing w:before="60" w:after="60"/>
            </w:pPr>
            <w:r>
              <w:rPr>
                <w:b/>
                <w:bCs/>
                <w:color w:val="A07830"/>
                <w:sz w:val="17"/>
                <w:szCs w:val="17"/>
              </w:rPr>
              <w:t>In one sentence:</w:t>
            </w:r>
          </w:p>
          <w:p w14:paraId="488CFEEB" w14:textId="77777777" w:rsidR="00CE5D74" w:rsidRDefault="00CE5D74">
            <w:pPr>
              <w:spacing w:before="40" w:after="40"/>
            </w:pPr>
          </w:p>
          <w:p w14:paraId="641C631F" w14:textId="77777777" w:rsidR="00CE5D74" w:rsidRDefault="00000000">
            <w:pPr>
              <w:spacing w:before="60" w:after="60"/>
            </w:pPr>
            <w:r>
              <w:rPr>
                <w:i/>
                <w:iCs/>
                <w:color w:val="3D4852"/>
              </w:rPr>
              <w:t>The stock is priced as if IonQ’s acquisition-driven platform bet will execute cleanly, but $151M quarterly burn accelerating 4.6x YoY while SkyWater adds $1B in near-term cash outflow means the survival math tightens faster than the revenue story can absorb, which becomes visible when SkyWater closes and Q2/Q3 2026 cash flow is reported.</w:t>
            </w:r>
          </w:p>
        </w:tc>
      </w:tr>
    </w:tbl>
    <w:p w14:paraId="797DA8E2" w14:textId="77777777" w:rsidR="00CE5D74" w:rsidRDefault="00CE5D74">
      <w:pPr>
        <w:spacing w:before="40" w:after="40"/>
      </w:pPr>
    </w:p>
    <w:p w14:paraId="64C4EFE5"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4FDEC7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7233FF87" w14:textId="77777777" w:rsidR="00CE5D74" w:rsidRDefault="00000000">
            <w:pPr>
              <w:spacing w:before="60" w:after="60"/>
            </w:pPr>
            <w:r>
              <w:rPr>
                <w:b/>
                <w:bCs/>
                <w:color w:val="FFFFFF"/>
                <w:sz w:val="17"/>
                <w:szCs w:val="17"/>
              </w:rPr>
              <w:lastRenderedPageBreak/>
              <w:t>Nexus Research  ·  MOONSHOT ASSESSMENT</w:t>
            </w:r>
            <w:r>
              <w:rPr>
                <w:sz w:val="17"/>
                <w:szCs w:val="17"/>
              </w:rPr>
              <w:t xml:space="preserve">          </w:t>
            </w:r>
            <w:r>
              <w:rPr>
                <w:color w:val="C09848"/>
                <w:sz w:val="16"/>
                <w:szCs w:val="16"/>
              </w:rPr>
              <w:t>IonQ, Inc.   IONQ  ·  Quantum Computing  ·  NYSE</w:t>
            </w:r>
          </w:p>
        </w:tc>
      </w:tr>
    </w:tbl>
    <w:p w14:paraId="30AB2F1F" w14:textId="77777777" w:rsidR="00CE5D74" w:rsidRDefault="00CE5D74">
      <w:pPr>
        <w:spacing w:before="40" w:after="40"/>
      </w:pPr>
    </w:p>
    <w:p w14:paraId="323B758E" w14:textId="77777777" w:rsidR="00CE5D74" w:rsidRDefault="00000000">
      <w:pPr>
        <w:pBdr>
          <w:bottom w:val="single" w:sz="6" w:space="0" w:color="A07830"/>
        </w:pBdr>
        <w:spacing w:before="280" w:after="120"/>
      </w:pPr>
      <w:r>
        <w:rPr>
          <w:b/>
          <w:bCs/>
          <w:color w:val="0D1B2A"/>
          <w:sz w:val="22"/>
          <w:szCs w:val="22"/>
        </w:rPr>
        <w:t>04  ·  Catalyst &amp; Timing</w:t>
      </w:r>
    </w:p>
    <w:p w14:paraId="2E199264"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2DBDDA5D"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611DCF2" w14:textId="77777777" w:rsidR="00CE5D74" w:rsidRDefault="00000000">
            <w:pPr>
              <w:spacing w:before="60" w:after="60"/>
            </w:pPr>
            <w:r>
              <w:rPr>
                <w:b/>
                <w:bCs/>
                <w:color w:val="A07830"/>
                <w:sz w:val="16"/>
                <w:szCs w:val="16"/>
              </w:rPr>
              <w:t>NEAR-TERM  (0–3 months)</w:t>
            </w:r>
          </w:p>
          <w:p w14:paraId="165608DB" w14:textId="77777777" w:rsidR="00CE5D74" w:rsidRDefault="00CE5D74">
            <w:pPr>
              <w:spacing w:before="40" w:after="40"/>
            </w:pPr>
          </w:p>
          <w:p w14:paraId="7D9E8455" w14:textId="77777777" w:rsidR="00CE5D74" w:rsidRDefault="00000000">
            <w:pPr>
              <w:spacing w:before="40" w:after="20"/>
            </w:pPr>
            <w:r>
              <w:rPr>
                <w:i/>
                <w:iCs/>
                <w:color w:val="3D4852"/>
              </w:rPr>
              <w:t>Q2 2026 earnings (expected August 2026): tests thesis by SkyWater close confirmation, post-acquisition cash burn rate, and whether backlog conversion is tracking to the 50%/12-month guidance</w:t>
            </w:r>
          </w:p>
          <w:p w14:paraId="4547BBB9" w14:textId="77777777" w:rsidR="00CE5D74" w:rsidRDefault="00000000">
            <w:pPr>
              <w:spacing w:before="20" w:after="20"/>
            </w:pPr>
            <w:r>
              <w:rPr>
                <w:i/>
                <w:iCs/>
                <w:color w:val="3D4852"/>
              </w:rPr>
              <w:t>256-qubit chip fabrication progress update or Oxford Ionics technology integration announcement: tests thesis by whether acquisitions are accelerating the hardware roadmap or just adding headcount</w:t>
            </w:r>
          </w:p>
          <w:p w14:paraId="6BF97202" w14:textId="77777777" w:rsidR="00CE5D74" w:rsidRDefault="00000000">
            <w:pPr>
              <w:spacing w:before="20" w:after="40"/>
            </w:pPr>
            <w:r>
              <w:rPr>
                <w:i/>
                <w:iCs/>
                <w:color w:val="3D4852"/>
              </w:rPr>
              <w:t>SkyWater shareholder vote and regulatory approval (expected Q2-Q3 2026): tests thesis by deal closes at stated terms vs. renegotiation or collapse</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5B97B3B5" w14:textId="77777777" w:rsidR="00CE5D74" w:rsidRDefault="00000000">
            <w:pPr>
              <w:spacing w:before="60" w:after="60"/>
            </w:pPr>
            <w:r>
              <w:rPr>
                <w:b/>
                <w:bCs/>
                <w:color w:val="A07830"/>
                <w:sz w:val="16"/>
                <w:szCs w:val="16"/>
              </w:rPr>
              <w:t>MEDIUM-TERM  (3–12 months)</w:t>
            </w:r>
          </w:p>
          <w:p w14:paraId="65D5FFB1" w14:textId="77777777" w:rsidR="00CE5D74" w:rsidRDefault="00CE5D74">
            <w:pPr>
              <w:spacing w:before="40" w:after="40"/>
            </w:pPr>
          </w:p>
          <w:p w14:paraId="5DBF1A71" w14:textId="77777777" w:rsidR="00CE5D74" w:rsidRDefault="00000000">
            <w:pPr>
              <w:spacing w:before="40" w:after="20"/>
            </w:pPr>
            <w:r>
              <w:rPr>
                <w:i/>
                <w:iCs/>
                <w:color w:val="3D4852"/>
              </w:rPr>
              <w:t>256-qubit system delivery to first customers (expected Q2 2027): tests thesis by whether IonQ hits its published hardware roadmap on schedule, validating the technology execution bet</w:t>
            </w:r>
          </w:p>
          <w:p w14:paraId="07664589" w14:textId="77777777" w:rsidR="00CE5D74" w:rsidRDefault="00000000">
            <w:pPr>
              <w:spacing w:before="20" w:after="20"/>
            </w:pPr>
            <w:r>
              <w:rPr>
                <w:i/>
                <w:iCs/>
                <w:color w:val="3D4852"/>
              </w:rPr>
              <w:t>SkyWater foundry integration timeline: tests thesis by does proprietary chip manufacturing accelerate fault-tolerant qubit development or prove to be a costly distraction</w:t>
            </w:r>
          </w:p>
          <w:p w14:paraId="79863C22" w14:textId="77777777" w:rsidR="00CE5D74" w:rsidRDefault="00000000">
            <w:pPr>
              <w:spacing w:before="20" w:after="40"/>
            </w:pPr>
            <w:r>
              <w:rPr>
                <w:i/>
                <w:iCs/>
                <w:color w:val="3D4852"/>
              </w:rPr>
              <w:t>Defense / intelligence contract announcement: tests thesis by does the full platform (compute + networking + sensing + security) win a landmark government deal that validates vertical integration</w:t>
            </w:r>
          </w:p>
        </w:tc>
      </w:tr>
    </w:tbl>
    <w:p w14:paraId="676EFEEB"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05EAEEA7" w14:textId="77777777">
        <w:tblPrEx>
          <w:tblCellMar>
            <w:top w:w="0" w:type="dxa"/>
            <w:bottom w:w="0" w:type="dxa"/>
          </w:tblCellMar>
        </w:tblPrEx>
        <w:tc>
          <w:tcPr>
            <w:tcW w:w="936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2836751C" w14:textId="77777777" w:rsidR="00CE5D74" w:rsidRDefault="00000000">
            <w:pPr>
              <w:spacing w:before="60" w:after="60"/>
            </w:pPr>
            <w:r>
              <w:rPr>
                <w:b/>
                <w:bCs/>
                <w:color w:val="A07830"/>
                <w:sz w:val="17"/>
                <w:szCs w:val="17"/>
              </w:rPr>
              <w:t>Thesis testing window:</w:t>
            </w:r>
          </w:p>
          <w:p w14:paraId="4C3770B0" w14:textId="77777777" w:rsidR="00CE5D74" w:rsidRDefault="00000000">
            <w:pPr>
              <w:spacing w:before="60" w:after="60"/>
            </w:pPr>
            <w:r>
              <w:rPr>
                <w:i/>
                <w:iCs/>
                <w:color w:val="3D4852"/>
              </w:rPr>
              <w:t>2 to 4 quarters. SkyWater close and Q2/Q3 2026 cash flow reports will force a re-evaluation of whether the platform bet is working or accelerating the bear case</w:t>
            </w:r>
          </w:p>
        </w:tc>
      </w:tr>
    </w:tbl>
    <w:p w14:paraId="20D22090" w14:textId="77777777" w:rsidR="00CE5D74" w:rsidRDefault="00CE5D74">
      <w:pPr>
        <w:spacing w:before="40" w:after="40"/>
      </w:pPr>
    </w:p>
    <w:p w14:paraId="3837E804" w14:textId="77777777" w:rsidR="00CE5D74" w:rsidRDefault="00000000">
      <w:pPr>
        <w:pBdr>
          <w:bottom w:val="single" w:sz="6" w:space="0" w:color="A07830"/>
        </w:pBdr>
        <w:spacing w:before="280" w:after="120"/>
      </w:pPr>
      <w:r>
        <w:rPr>
          <w:b/>
          <w:bCs/>
          <w:color w:val="0D1B2A"/>
          <w:sz w:val="22"/>
          <w:szCs w:val="22"/>
        </w:rPr>
        <w:t>05  ·  Scenario Analysis</w:t>
      </w:r>
    </w:p>
    <w:p w14:paraId="53CCA1AA"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1760"/>
        <w:gridCol w:w="1200"/>
        <w:gridCol w:w="1200"/>
      </w:tblGrid>
      <w:tr w:rsidR="00CE5D74" w14:paraId="4FB7833A" w14:textId="77777777">
        <w:tblPrEx>
          <w:tblCellMar>
            <w:top w:w="0" w:type="dxa"/>
            <w:bottom w:w="0" w:type="dxa"/>
          </w:tblCellMar>
        </w:tblPrEx>
        <w:tc>
          <w:tcPr>
            <w:tcW w:w="12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6C62EA25" w14:textId="77777777" w:rsidR="00CE5D74" w:rsidRDefault="00000000">
            <w:pPr>
              <w:spacing w:before="60" w:after="60"/>
            </w:pPr>
            <w:r>
              <w:rPr>
                <w:b/>
                <w:bCs/>
                <w:color w:val="FFFFFF"/>
              </w:rPr>
              <w:t>Scenario</w:t>
            </w:r>
          </w:p>
        </w:tc>
        <w:tc>
          <w:tcPr>
            <w:tcW w:w="20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29BD8328" w14:textId="77777777" w:rsidR="00CE5D74" w:rsidRDefault="00000000">
            <w:pPr>
              <w:spacing w:before="60" w:after="60"/>
            </w:pPr>
            <w:r>
              <w:rPr>
                <w:b/>
                <w:bCs/>
                <w:color w:val="FFFFFF"/>
              </w:rPr>
              <w:t>Technology assumption</w:t>
            </w:r>
          </w:p>
        </w:tc>
        <w:tc>
          <w:tcPr>
            <w:tcW w:w="20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665D56CB" w14:textId="77777777" w:rsidR="00CE5D74" w:rsidRDefault="00000000">
            <w:pPr>
              <w:spacing w:before="60" w:after="60"/>
            </w:pPr>
            <w:r>
              <w:rPr>
                <w:b/>
                <w:bCs/>
                <w:color w:val="FFFFFF"/>
              </w:rPr>
              <w:t>Survival assumption</w:t>
            </w:r>
          </w:p>
        </w:tc>
        <w:tc>
          <w:tcPr>
            <w:tcW w:w="176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25D78B9B" w14:textId="77777777" w:rsidR="00CE5D74" w:rsidRDefault="00000000">
            <w:pPr>
              <w:spacing w:before="60" w:after="60"/>
            </w:pPr>
            <w:r>
              <w:rPr>
                <w:b/>
                <w:bCs/>
                <w:color w:val="FFFFFF"/>
              </w:rPr>
              <w:t>Key driver</w:t>
            </w:r>
          </w:p>
        </w:tc>
        <w:tc>
          <w:tcPr>
            <w:tcW w:w="12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59137553" w14:textId="77777777" w:rsidR="00CE5D74" w:rsidRDefault="00000000">
            <w:pPr>
              <w:spacing w:before="60" w:after="60"/>
            </w:pPr>
            <w:r>
              <w:rPr>
                <w:b/>
                <w:bCs/>
                <w:color w:val="FFFFFF"/>
              </w:rPr>
              <w:t>Price target</w:t>
            </w:r>
          </w:p>
        </w:tc>
        <w:tc>
          <w:tcPr>
            <w:tcW w:w="12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5A88DDF2" w14:textId="77777777" w:rsidR="00CE5D74" w:rsidRDefault="00000000">
            <w:pPr>
              <w:spacing w:before="60" w:after="60"/>
            </w:pPr>
            <w:r>
              <w:rPr>
                <w:b/>
                <w:bCs/>
                <w:color w:val="FFFFFF"/>
              </w:rPr>
              <w:t>Weight</w:t>
            </w:r>
          </w:p>
        </w:tc>
      </w:tr>
      <w:tr w:rsidR="00CE5D74" w14:paraId="3175D905" w14:textId="77777777">
        <w:tblPrEx>
          <w:tblCellMar>
            <w:top w:w="0" w:type="dxa"/>
            <w:bottom w:w="0" w:type="dxa"/>
          </w:tblCellMar>
        </w:tblPrEx>
        <w:tc>
          <w:tcPr>
            <w:tcW w:w="1200" w:type="dxa"/>
            <w:tcBorders>
              <w:top w:val="single" w:sz="2" w:space="0" w:color="D0D4D9"/>
              <w:left w:val="single" w:sz="2" w:space="0" w:color="D0D4D9"/>
              <w:bottom w:val="single" w:sz="2" w:space="0" w:color="D0D4D9"/>
              <w:right w:val="single" w:sz="2" w:space="0" w:color="D0D4D9"/>
            </w:tcBorders>
            <w:shd w:val="clear" w:color="auto" w:fill="FDF0F0"/>
            <w:tcMar>
              <w:top w:w="80" w:type="dxa"/>
              <w:left w:w="80" w:type="dxa"/>
              <w:bottom w:w="80" w:type="dxa"/>
              <w:right w:w="80" w:type="dxa"/>
            </w:tcMar>
          </w:tcPr>
          <w:p w14:paraId="4E321AA4" w14:textId="77777777" w:rsidR="00CE5D74" w:rsidRDefault="00000000">
            <w:pPr>
              <w:spacing w:before="60" w:after="60"/>
            </w:pPr>
            <w:r>
              <w:rPr>
                <w:b/>
                <w:bCs/>
              </w:rPr>
              <w:t>Bear</w:t>
            </w:r>
          </w:p>
        </w:tc>
        <w:tc>
          <w:tcPr>
            <w:tcW w:w="2000" w:type="dxa"/>
            <w:tcBorders>
              <w:top w:val="single" w:sz="2" w:space="0" w:color="D0D4D9"/>
              <w:left w:val="single" w:sz="2" w:space="0" w:color="D0D4D9"/>
              <w:bottom w:val="single" w:sz="2" w:space="0" w:color="D0D4D9"/>
              <w:right w:val="single" w:sz="2" w:space="0" w:color="D0D4D9"/>
            </w:tcBorders>
            <w:shd w:val="clear" w:color="auto" w:fill="FDF0F0"/>
            <w:tcMar>
              <w:top w:w="80" w:type="dxa"/>
              <w:left w:w="80" w:type="dxa"/>
              <w:bottom w:w="80" w:type="dxa"/>
              <w:right w:w="80" w:type="dxa"/>
            </w:tcMar>
          </w:tcPr>
          <w:p w14:paraId="7334E5DC" w14:textId="77777777" w:rsidR="00CE5D74" w:rsidRDefault="00000000">
            <w:pPr>
              <w:spacing w:before="60" w:after="60"/>
            </w:pPr>
            <w:r>
              <w:rPr>
                <w:i/>
                <w:iCs/>
                <w:color w:val="3D4852"/>
              </w:rPr>
              <w:t>Error correction out of reach; SkyWater foundry adds costs without accelerating the quantum roadmap</w:t>
            </w:r>
          </w:p>
        </w:tc>
        <w:tc>
          <w:tcPr>
            <w:tcW w:w="2000" w:type="dxa"/>
            <w:tcBorders>
              <w:top w:val="single" w:sz="2" w:space="0" w:color="D0D4D9"/>
              <w:left w:val="single" w:sz="2" w:space="0" w:color="D0D4D9"/>
              <w:bottom w:val="single" w:sz="2" w:space="0" w:color="D0D4D9"/>
              <w:right w:val="single" w:sz="2" w:space="0" w:color="D0D4D9"/>
            </w:tcBorders>
            <w:shd w:val="clear" w:color="auto" w:fill="FDF0F0"/>
            <w:tcMar>
              <w:top w:w="80" w:type="dxa"/>
              <w:left w:w="80" w:type="dxa"/>
              <w:bottom w:w="80" w:type="dxa"/>
              <w:right w:w="80" w:type="dxa"/>
            </w:tcMar>
          </w:tcPr>
          <w:p w14:paraId="4F63126C" w14:textId="77777777" w:rsidR="00CE5D74" w:rsidRDefault="00000000">
            <w:pPr>
              <w:spacing w:before="60" w:after="60"/>
            </w:pPr>
            <w:r>
              <w:rPr>
                <w:i/>
                <w:iCs/>
                <w:color w:val="3D4852"/>
              </w:rPr>
              <w:t>$151M quarterly burn accelerates with SkyWater integration; ~$3B cash pile depletes faster than expected; dilutive raises destroy shareholder value</w:t>
            </w:r>
          </w:p>
        </w:tc>
        <w:tc>
          <w:tcPr>
            <w:tcW w:w="1760" w:type="dxa"/>
            <w:tcBorders>
              <w:top w:val="single" w:sz="2" w:space="0" w:color="D0D4D9"/>
              <w:left w:val="single" w:sz="2" w:space="0" w:color="D0D4D9"/>
              <w:bottom w:val="single" w:sz="2" w:space="0" w:color="D0D4D9"/>
              <w:right w:val="single" w:sz="2" w:space="0" w:color="D0D4D9"/>
            </w:tcBorders>
            <w:shd w:val="clear" w:color="auto" w:fill="FDF0F0"/>
            <w:tcMar>
              <w:top w:w="80" w:type="dxa"/>
              <w:left w:w="80" w:type="dxa"/>
              <w:bottom w:w="80" w:type="dxa"/>
              <w:right w:w="80" w:type="dxa"/>
            </w:tcMar>
          </w:tcPr>
          <w:p w14:paraId="26C6897C" w14:textId="77777777" w:rsidR="00CE5D74" w:rsidRDefault="00000000">
            <w:pPr>
              <w:spacing w:before="60" w:after="60"/>
            </w:pPr>
            <w:r>
              <w:rPr>
                <w:i/>
                <w:iCs/>
                <w:color w:val="3D4852"/>
              </w:rPr>
              <w:t>Acquisition spree (Skyloom, Oxford Ionics, Capella Space, SkyWater) proves to be distraction and overspend rather than a platform moat</w:t>
            </w:r>
          </w:p>
        </w:tc>
        <w:tc>
          <w:tcPr>
            <w:tcW w:w="1200" w:type="dxa"/>
            <w:tcBorders>
              <w:top w:val="single" w:sz="2" w:space="0" w:color="D0D4D9"/>
              <w:left w:val="single" w:sz="2" w:space="0" w:color="D0D4D9"/>
              <w:bottom w:val="single" w:sz="2" w:space="0" w:color="D0D4D9"/>
              <w:right w:val="single" w:sz="2" w:space="0" w:color="D0D4D9"/>
            </w:tcBorders>
            <w:shd w:val="clear" w:color="auto" w:fill="FDF0F0"/>
            <w:tcMar>
              <w:top w:w="80" w:type="dxa"/>
              <w:left w:w="80" w:type="dxa"/>
              <w:bottom w:w="80" w:type="dxa"/>
              <w:right w:w="80" w:type="dxa"/>
            </w:tcMar>
          </w:tcPr>
          <w:p w14:paraId="29952221" w14:textId="77777777" w:rsidR="00CE5D74" w:rsidRDefault="00000000">
            <w:pPr>
              <w:spacing w:before="60" w:after="60"/>
            </w:pPr>
            <w:r>
              <w:t>$ 25</w:t>
            </w:r>
          </w:p>
        </w:tc>
        <w:tc>
          <w:tcPr>
            <w:tcW w:w="1200" w:type="dxa"/>
            <w:tcBorders>
              <w:top w:val="single" w:sz="2" w:space="0" w:color="D0D4D9"/>
              <w:left w:val="single" w:sz="2" w:space="0" w:color="D0D4D9"/>
              <w:bottom w:val="single" w:sz="2" w:space="0" w:color="D0D4D9"/>
              <w:right w:val="single" w:sz="2" w:space="0" w:color="D0D4D9"/>
            </w:tcBorders>
            <w:shd w:val="clear" w:color="auto" w:fill="FDF0F0"/>
            <w:tcMar>
              <w:top w:w="80" w:type="dxa"/>
              <w:left w:w="80" w:type="dxa"/>
              <w:bottom w:w="80" w:type="dxa"/>
              <w:right w:w="80" w:type="dxa"/>
            </w:tcMar>
          </w:tcPr>
          <w:p w14:paraId="594B1BC9" w14:textId="77777777" w:rsidR="00CE5D74" w:rsidRDefault="00000000">
            <w:pPr>
              <w:spacing w:before="60" w:after="60"/>
            </w:pPr>
            <w:r>
              <w:t>30%</w:t>
            </w:r>
          </w:p>
        </w:tc>
      </w:tr>
      <w:tr w:rsidR="00CE5D74" w14:paraId="104C25D9" w14:textId="77777777">
        <w:tblPrEx>
          <w:tblCellMar>
            <w:top w:w="0" w:type="dxa"/>
            <w:bottom w:w="0" w:type="dxa"/>
          </w:tblCellMar>
        </w:tblPrEx>
        <w:tc>
          <w:tcPr>
            <w:tcW w:w="1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111356FB" w14:textId="77777777" w:rsidR="00CE5D74" w:rsidRDefault="00000000">
            <w:pPr>
              <w:spacing w:before="60" w:after="60"/>
            </w:pPr>
            <w:r>
              <w:rPr>
                <w:b/>
                <w:bCs/>
              </w:rPr>
              <w:t>Base</w:t>
            </w:r>
          </w:p>
        </w:tc>
        <w:tc>
          <w:tcPr>
            <w:tcW w:w="20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DFC9D92" w14:textId="77777777" w:rsidR="00CE5D74" w:rsidRDefault="00000000">
            <w:pPr>
              <w:spacing w:before="60" w:after="60"/>
            </w:pPr>
            <w:r>
              <w:rPr>
                <w:i/>
                <w:iCs/>
                <w:color w:val="3D4852"/>
              </w:rPr>
              <w:t>Limited quantum advantage in specific domains (chemistry, simulation); hardware + satellite + sensing platform creates real but niche value</w:t>
            </w:r>
          </w:p>
        </w:tc>
        <w:tc>
          <w:tcPr>
            <w:tcW w:w="20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4F35C154" w14:textId="77777777" w:rsidR="00CE5D74" w:rsidRDefault="00000000">
            <w:pPr>
              <w:spacing w:before="60" w:after="60"/>
            </w:pPr>
            <w:r>
              <w:rPr>
                <w:i/>
                <w:iCs/>
                <w:color w:val="3D4852"/>
              </w:rPr>
              <w:t>$470M government backlog converts to revenue; a hyperscaler (Microsoft, Google, or AWS, all cloud partners,) acquires IonQ at a premium before standalone profitability</w:t>
            </w:r>
          </w:p>
        </w:tc>
        <w:tc>
          <w:tcPr>
            <w:tcW w:w="176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5C46A4CE" w14:textId="77777777" w:rsidR="00CE5D74" w:rsidRDefault="00000000">
            <w:pPr>
              <w:spacing w:before="60" w:after="60"/>
            </w:pPr>
            <w:r>
              <w:rPr>
                <w:i/>
                <w:iCs/>
                <w:color w:val="3D4852"/>
              </w:rPr>
              <w:t>Government contracts sustain revenue growth while the acquisition thesis plays out; hyperscaler acquisition closes the value gap</w:t>
            </w:r>
          </w:p>
        </w:tc>
        <w:tc>
          <w:tcPr>
            <w:tcW w:w="1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1D2D6541" w14:textId="77777777" w:rsidR="00CE5D74" w:rsidRDefault="00000000">
            <w:pPr>
              <w:spacing w:before="60" w:after="60"/>
            </w:pPr>
            <w:r>
              <w:t>$ 75</w:t>
            </w:r>
          </w:p>
        </w:tc>
        <w:tc>
          <w:tcPr>
            <w:tcW w:w="1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71923019" w14:textId="77777777" w:rsidR="00CE5D74" w:rsidRDefault="00000000">
            <w:pPr>
              <w:spacing w:before="60" w:after="60"/>
            </w:pPr>
            <w:r>
              <w:t>50%</w:t>
            </w:r>
          </w:p>
        </w:tc>
      </w:tr>
      <w:tr w:rsidR="00CE5D74" w14:paraId="11A5393E" w14:textId="77777777">
        <w:tblPrEx>
          <w:tblCellMar>
            <w:top w:w="0" w:type="dxa"/>
            <w:bottom w:w="0" w:type="dxa"/>
          </w:tblCellMar>
        </w:tblPrEx>
        <w:tc>
          <w:tcPr>
            <w:tcW w:w="1200" w:type="dxa"/>
            <w:tcBorders>
              <w:top w:val="single" w:sz="2" w:space="0" w:color="D0D4D9"/>
              <w:left w:val="single" w:sz="2" w:space="0" w:color="D0D4D9"/>
              <w:bottom w:val="single" w:sz="2" w:space="0" w:color="D0D4D9"/>
              <w:right w:val="single" w:sz="2" w:space="0" w:color="D0D4D9"/>
            </w:tcBorders>
            <w:shd w:val="clear" w:color="auto" w:fill="E8F5EE"/>
            <w:tcMar>
              <w:top w:w="80" w:type="dxa"/>
              <w:left w:w="80" w:type="dxa"/>
              <w:bottom w:w="80" w:type="dxa"/>
              <w:right w:w="80" w:type="dxa"/>
            </w:tcMar>
          </w:tcPr>
          <w:p w14:paraId="5454A58F" w14:textId="77777777" w:rsidR="00CE5D74" w:rsidRDefault="00000000">
            <w:pPr>
              <w:spacing w:before="60" w:after="60"/>
            </w:pPr>
            <w:r>
              <w:rPr>
                <w:b/>
                <w:bCs/>
              </w:rPr>
              <w:t>Bull</w:t>
            </w:r>
          </w:p>
        </w:tc>
        <w:tc>
          <w:tcPr>
            <w:tcW w:w="2000" w:type="dxa"/>
            <w:tcBorders>
              <w:top w:val="single" w:sz="2" w:space="0" w:color="D0D4D9"/>
              <w:left w:val="single" w:sz="2" w:space="0" w:color="D0D4D9"/>
              <w:bottom w:val="single" w:sz="2" w:space="0" w:color="D0D4D9"/>
              <w:right w:val="single" w:sz="2" w:space="0" w:color="D0D4D9"/>
            </w:tcBorders>
            <w:shd w:val="clear" w:color="auto" w:fill="E8F5EE"/>
            <w:tcMar>
              <w:top w:w="80" w:type="dxa"/>
              <w:left w:w="80" w:type="dxa"/>
              <w:bottom w:w="80" w:type="dxa"/>
              <w:right w:w="80" w:type="dxa"/>
            </w:tcMar>
          </w:tcPr>
          <w:p w14:paraId="4E6053D6" w14:textId="77777777" w:rsidR="00CE5D74" w:rsidRDefault="00000000">
            <w:pPr>
              <w:spacing w:before="60" w:after="60"/>
            </w:pPr>
            <w:r>
              <w:rPr>
                <w:i/>
                <w:iCs/>
                <w:color w:val="3D4852"/>
              </w:rPr>
              <w:t xml:space="preserve">SkyWater foundry + Oxford Ionics IP + </w:t>
              <w:lastRenderedPageBreak/>
              <w:t>Skyloom optical comms creates vertically integrated quantum platform no competitor can replicate</w:t>
            </w:r>
          </w:p>
        </w:tc>
        <w:tc>
          <w:tcPr>
            <w:tcW w:w="2000" w:type="dxa"/>
            <w:tcBorders>
              <w:top w:val="single" w:sz="2" w:space="0" w:color="D0D4D9"/>
              <w:left w:val="single" w:sz="2" w:space="0" w:color="D0D4D9"/>
              <w:bottom w:val="single" w:sz="2" w:space="0" w:color="D0D4D9"/>
              <w:right w:val="single" w:sz="2" w:space="0" w:color="D0D4D9"/>
            </w:tcBorders>
            <w:shd w:val="clear" w:color="auto" w:fill="E8F5EE"/>
            <w:tcMar>
              <w:top w:w="80" w:type="dxa"/>
              <w:left w:w="80" w:type="dxa"/>
              <w:bottom w:w="80" w:type="dxa"/>
              <w:right w:w="80" w:type="dxa"/>
            </w:tcMar>
          </w:tcPr>
          <w:p w14:paraId="607D205E" w14:textId="77777777" w:rsidR="00CE5D74" w:rsidRDefault="00000000">
            <w:pPr>
              <w:spacing w:before="60" w:after="60"/>
            </w:pPr>
            <w:r>
              <w:rPr>
                <w:i/>
                <w:iCs/>
                <w:color w:val="3D4852"/>
              </w:rPr>
              <w:lastRenderedPageBreak/>
              <w:t xml:space="preserve">Revenue 8x YoY already; continued </w:t>
              <w:lastRenderedPageBreak/>
              <w:t>trajectory makes cash burn manageable; SkyWater closes cleanly and platform reaches profitability before needing more dilution</w:t>
            </w:r>
          </w:p>
        </w:tc>
        <w:tc>
          <w:tcPr>
            <w:tcW w:w="1760" w:type="dxa"/>
            <w:tcBorders>
              <w:top w:val="single" w:sz="2" w:space="0" w:color="D0D4D9"/>
              <w:left w:val="single" w:sz="2" w:space="0" w:color="D0D4D9"/>
              <w:bottom w:val="single" w:sz="2" w:space="0" w:color="D0D4D9"/>
              <w:right w:val="single" w:sz="2" w:space="0" w:color="D0D4D9"/>
            </w:tcBorders>
            <w:shd w:val="clear" w:color="auto" w:fill="E8F5EE"/>
            <w:tcMar>
              <w:top w:w="80" w:type="dxa"/>
              <w:left w:w="80" w:type="dxa"/>
              <w:bottom w:w="80" w:type="dxa"/>
              <w:right w:w="80" w:type="dxa"/>
            </w:tcMar>
          </w:tcPr>
          <w:p w14:paraId="3B4F9801" w14:textId="77777777" w:rsidR="00CE5D74" w:rsidRDefault="00000000">
            <w:pPr>
              <w:spacing w:before="60" w:after="60"/>
            </w:pPr>
            <w:r>
              <w:rPr>
                <w:i/>
                <w:iCs/>
                <w:color w:val="3D4852"/>
              </w:rPr>
              <w:lastRenderedPageBreak/>
              <w:t xml:space="preserve">Landmark defense or intelligence </w:t>
              <w:lastRenderedPageBreak/>
              <w:t>contract validates the full platform (compute, networking, sensing, and security together), not just QCaaS</w:t>
            </w:r>
          </w:p>
        </w:tc>
        <w:tc>
          <w:tcPr>
            <w:tcW w:w="1200" w:type="dxa"/>
            <w:tcBorders>
              <w:top w:val="single" w:sz="2" w:space="0" w:color="D0D4D9"/>
              <w:left w:val="single" w:sz="2" w:space="0" w:color="D0D4D9"/>
              <w:bottom w:val="single" w:sz="2" w:space="0" w:color="D0D4D9"/>
              <w:right w:val="single" w:sz="2" w:space="0" w:color="D0D4D9"/>
            </w:tcBorders>
            <w:shd w:val="clear" w:color="auto" w:fill="E8F5EE"/>
            <w:tcMar>
              <w:top w:w="80" w:type="dxa"/>
              <w:left w:w="80" w:type="dxa"/>
              <w:bottom w:w="80" w:type="dxa"/>
              <w:right w:w="80" w:type="dxa"/>
            </w:tcMar>
          </w:tcPr>
          <w:p w14:paraId="778740BE" w14:textId="77777777" w:rsidR="00CE5D74" w:rsidRDefault="00000000">
            <w:pPr>
              <w:spacing w:before="60" w:after="60"/>
            </w:pPr>
            <w:r>
              <w:lastRenderedPageBreak/>
              <w:t>$ 220</w:t>
            </w:r>
          </w:p>
        </w:tc>
        <w:tc>
          <w:tcPr>
            <w:tcW w:w="1200" w:type="dxa"/>
            <w:tcBorders>
              <w:top w:val="single" w:sz="2" w:space="0" w:color="D0D4D9"/>
              <w:left w:val="single" w:sz="2" w:space="0" w:color="D0D4D9"/>
              <w:bottom w:val="single" w:sz="2" w:space="0" w:color="D0D4D9"/>
              <w:right w:val="single" w:sz="2" w:space="0" w:color="D0D4D9"/>
            </w:tcBorders>
            <w:shd w:val="clear" w:color="auto" w:fill="E8F5EE"/>
            <w:tcMar>
              <w:top w:w="80" w:type="dxa"/>
              <w:left w:w="80" w:type="dxa"/>
              <w:bottom w:w="80" w:type="dxa"/>
              <w:right w:w="80" w:type="dxa"/>
            </w:tcMar>
          </w:tcPr>
          <w:p w14:paraId="1ACBA5D2" w14:textId="77777777" w:rsidR="00CE5D74" w:rsidRDefault="00000000">
            <w:pPr>
              <w:spacing w:before="60" w:after="60"/>
            </w:pPr>
            <w:r>
              <w:t>20%</w:t>
            </w:r>
          </w:p>
        </w:tc>
      </w:tr>
    </w:tbl>
    <w:p w14:paraId="0A91ABBC" w14:textId="77777777" w:rsidR="00CE5D74" w:rsidRDefault="00CE5D74">
      <w:pPr>
        <w:spacing w:before="40" w:after="40"/>
      </w:pPr>
    </w:p>
    <w:p w14:paraId="11760538"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27F356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77B2F87A" w14:textId="77777777" w:rsidR="00CE5D74" w:rsidRDefault="00000000">
            <w:pPr>
              <w:spacing w:before="60" w:after="60"/>
            </w:pPr>
            <w:r>
              <w:rPr>
                <w:b/>
                <w:bCs/>
                <w:color w:val="FFFFFF"/>
                <w:sz w:val="17"/>
                <w:szCs w:val="17"/>
              </w:rPr>
              <w:lastRenderedPageBreak/>
              <w:t>Nexus Research  ·  MOONSHOT ASSESSMENT</w:t>
            </w:r>
            <w:r>
              <w:rPr>
                <w:sz w:val="17"/>
                <w:szCs w:val="17"/>
              </w:rPr>
              <w:t xml:space="preserve">          </w:t>
            </w:r>
            <w:r>
              <w:rPr>
                <w:color w:val="C09848"/>
                <w:sz w:val="16"/>
                <w:szCs w:val="16"/>
              </w:rPr>
              <w:t>IonQ, Inc.   IONQ  ·  Quantum Computing  ·  NYSE</w:t>
            </w:r>
          </w:p>
        </w:tc>
      </w:tr>
    </w:tbl>
    <w:p w14:paraId="3D5AD6FB" w14:textId="77777777" w:rsidR="00CE5D74" w:rsidRDefault="00CE5D74">
      <w:pPr>
        <w:spacing w:before="40" w:after="40"/>
      </w:pPr>
    </w:p>
    <w:p w14:paraId="60F631F3" w14:textId="77777777" w:rsidR="00CE5D74" w:rsidRDefault="00000000">
      <w:pPr>
        <w:pBdr>
          <w:bottom w:val="single" w:sz="6" w:space="0" w:color="A07830"/>
        </w:pBdr>
        <w:spacing w:before="280" w:after="120"/>
      </w:pPr>
      <w:r>
        <w:rPr>
          <w:b/>
          <w:bCs/>
          <w:color w:val="0D1B2A"/>
          <w:sz w:val="22"/>
          <w:szCs w:val="22"/>
        </w:rPr>
        <w:t>06  ·  Risks &amp; Falsification</w:t>
      </w:r>
    </w:p>
    <w:p w14:paraId="5FE71E27"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10C58C1F"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407CA711" w14:textId="77777777" w:rsidR="00CE5D74" w:rsidRDefault="00000000">
            <w:pPr>
              <w:spacing w:before="60" w:after="60"/>
            </w:pPr>
            <w:r>
              <w:rPr>
                <w:b/>
                <w:bCs/>
                <w:color w:val="A07830"/>
                <w:sz w:val="16"/>
                <w:szCs w:val="16"/>
              </w:rPr>
              <w:t>RISKS TO THESIS</w:t>
            </w:r>
          </w:p>
          <w:p w14:paraId="09221C68" w14:textId="77777777" w:rsidR="00CE5D74" w:rsidRDefault="00CE5D74">
            <w:pPr>
              <w:spacing w:before="40" w:after="40"/>
            </w:pPr>
          </w:p>
          <w:p w14:paraId="7CA88477" w14:textId="77777777" w:rsidR="00CE5D74" w:rsidRDefault="00000000">
            <w:pPr>
              <w:spacing w:before="60" w:after="40"/>
            </w:pPr>
            <w:r>
              <w:rPr>
                <w:b/>
                <w:bCs/>
              </w:rPr>
              <w:t xml:space="preserve">R1  </w:t>
            </w:r>
            <w:r>
              <w:rPr>
                <w:i/>
                <w:iCs/>
                <w:color w:val="3D4852"/>
              </w:rPr>
              <w:t>Acquisition integration fails: Skyloom, Oxford Ionics, Capella Space, and SkyWater operate in different technical domains; failed integration raises burn without delivering platform synergies, flowing through to the bear case cash bonfire scenario</w:t>
            </w:r>
          </w:p>
          <w:p w14:paraId="67EEBC65" w14:textId="77777777" w:rsidR="00CE5D74" w:rsidRDefault="00000000">
            <w:pPr>
              <w:spacing w:before="40" w:after="40"/>
            </w:pPr>
            <w:r>
              <w:rPr>
                <w:b/>
                <w:bCs/>
              </w:rPr>
              <w:t xml:space="preserve">R2  </w:t>
            </w:r>
            <w:r>
              <w:rPr>
                <w:i/>
                <w:iCs/>
                <w:color w:val="3D4852"/>
              </w:rPr>
              <w:t>Classical compute and AI acceleration closes the quantum advantage window. If AlphaFold-style breakthroughs continue solving drug discovery, optimization, and simulation problems, the commercial case for quantum narrows dramatically before IonQ reaches fault tolerance</w:t>
            </w:r>
          </w:p>
          <w:p w14:paraId="4CBE4F93" w14:textId="77777777" w:rsidR="00CE5D74" w:rsidRDefault="00000000">
            <w:pPr>
              <w:spacing w:before="40" w:after="80"/>
            </w:pPr>
            <w:r>
              <w:rPr>
                <w:b/>
                <w:bCs/>
              </w:rPr>
              <w:t xml:space="preserve">R3  </w:t>
            </w:r>
            <w:r>
              <w:rPr>
                <w:i/>
                <w:iCs/>
                <w:color w:val="3D4852"/>
              </w:rPr>
              <w:t>Equity dilution outpaces value creation: shares outstanding grew 68% in 15 months; SkyWater adds further dilution; if the platform thesis takes longer than expected, repeated equity raises at lower prices compound the per-share destruction before commercial revenue justifies the market cap</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BFF8EEC" w14:textId="77777777" w:rsidR="00CE5D74" w:rsidRDefault="00000000">
            <w:pPr>
              <w:spacing w:before="60" w:after="60"/>
            </w:pPr>
            <w:r>
              <w:rPr>
                <w:b/>
                <w:bCs/>
                <w:color w:val="A07830"/>
                <w:sz w:val="16"/>
                <w:szCs w:val="16"/>
              </w:rPr>
              <w:t>THESIS FALSIFICATION</w:t>
            </w:r>
          </w:p>
          <w:p w14:paraId="561AC960" w14:textId="77777777" w:rsidR="00CE5D74" w:rsidRDefault="00CE5D74">
            <w:pPr>
              <w:spacing w:before="40" w:after="40"/>
            </w:pPr>
          </w:p>
          <w:p w14:paraId="5CAC5951" w14:textId="77777777" w:rsidR="00CE5D74" w:rsidRDefault="00000000">
            <w:pPr>
              <w:spacing w:before="60" w:after="80"/>
            </w:pPr>
            <w:r>
              <w:rPr>
                <w:b/>
                <w:bCs/>
                <w:color w:val="3A7C22"/>
                <w:sz w:val="16"/>
                <w:szCs w:val="16"/>
              </w:rPr>
              <w:t xml:space="preserve">THESIS IS VALID IF:  </w:t>
            </w:r>
            <w:r>
              <w:rPr>
                <w:i/>
                <w:iCs/>
                <w:color w:val="3D4852"/>
              </w:rPr>
              <w:t>SkyWater closes, Q2–2026 cash burn stabilizes below $180M/quarter, and government backlog conversion tracks to $235M+ in next 12 months</w:t>
            </w:r>
          </w:p>
          <w:p w14:paraId="5AEB526A" w14:textId="77777777" w:rsidR="00CE5D74" w:rsidRDefault="00000000">
            <w:pPr>
              <w:spacing w:before="60" w:after="80"/>
            </w:pPr>
            <w:r>
              <w:rPr>
                <w:b/>
                <w:bCs/>
                <w:color w:val="8B1A1A"/>
                <w:sz w:val="16"/>
                <w:szCs w:val="16"/>
              </w:rPr>
              <w:t xml:space="preserve">THESIS IS INVALID IF:  </w:t>
            </w:r>
            <w:r>
              <w:rPr>
                <w:i/>
                <w:iCs/>
                <w:color w:val="3D4852"/>
              </w:rPr>
              <w:t>SkyWater acquisition derails (collapses, major renegotiation, or closes but integration fails), Q2/Q3 2026 cash burn exceeds $200M/quarter, or government backlog conversion falls below 30% in the next 12 months</w:t>
            </w:r>
          </w:p>
        </w:tc>
      </w:tr>
    </w:tbl>
    <w:p w14:paraId="059D2C0D" w14:textId="77777777" w:rsidR="00CE5D74" w:rsidRDefault="00CE5D74">
      <w:pPr>
        <w:spacing w:before="40" w:after="40"/>
      </w:pPr>
    </w:p>
    <w:p w14:paraId="79AF9755" w14:textId="77777777" w:rsidR="00CE5D74" w:rsidRDefault="00000000">
      <w:pPr>
        <w:pBdr>
          <w:bottom w:val="single" w:sz="6" w:space="0" w:color="A07830"/>
        </w:pBdr>
        <w:spacing w:before="280" w:after="120"/>
      </w:pPr>
      <w:r>
        <w:rPr>
          <w:b/>
          <w:bCs/>
          <w:color w:val="0D1B2A"/>
          <w:sz w:val="22"/>
          <w:szCs w:val="22"/>
        </w:rPr>
        <w:t>07  ·  Valuation Reference</w:t>
      </w:r>
    </w:p>
    <w:p w14:paraId="604D82F3"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2325B111" w14:textId="77777777">
        <w:tblPrEx>
          <w:tblCellMar>
            <w:top w:w="0" w:type="dxa"/>
            <w:bottom w:w="0" w:type="dxa"/>
          </w:tblCellMar>
        </w:tblPrEx>
        <w:tc>
          <w:tcPr>
            <w:tcW w:w="9360" w:type="dxa"/>
            <w:tcBorders>
              <w:top w:val="single" w:sz="2" w:space="0" w:color="D0D4D9"/>
              <w:left w:val="single" w:sz="2" w:space="0" w:color="D0D4D9"/>
              <w:bottom w:val="single" w:sz="2" w:space="0" w:color="D0D4D9"/>
              <w:right w:val="single" w:sz="2" w:space="0" w:color="D0D4D9"/>
            </w:tcBorders>
            <w:shd w:val="clear" w:color="auto" w:fill="F6F7F8"/>
            <w:tcMar>
              <w:top w:w="80" w:type="dxa"/>
              <w:left w:w="80" w:type="dxa"/>
              <w:bottom w:w="80" w:type="dxa"/>
              <w:right w:w="80" w:type="dxa"/>
            </w:tcMar>
          </w:tcPr>
          <w:p w14:paraId="18A593D9" w14:textId="77777777" w:rsidR="00CE5D74" w:rsidRDefault="00000000">
            <w:pPr>
              <w:spacing w:before="80" w:after="80"/>
            </w:pPr>
            <w:r>
              <w:rPr>
                <w:color w:val="3D4852"/>
              </w:rPr>
              <w:t xml:space="preserve">Quantum computing companies are pre-commercial; they have no meaningful earnings or EBITDA, so standard P/E and EV/EBITDA multiples do not apply. This section uses two methods instead. </w:t>
            </w:r>
            <w:r>
              <w:rPr>
                <w:b/>
                <w:bCs/>
              </w:rPr>
              <w:t>EV/Revenue vs. peers</w:t>
            </w:r>
            <w:r>
              <w:rPr>
                <w:color w:val="3D4852"/>
              </w:rPr>
              <w:t xml:space="preserve"> answers what multiple the market is applying relative to comparable quantum names, and whether that premium or discount is justified by the milestone record and runway. </w:t>
            </w:r>
            <w:r>
              <w:rPr>
                <w:b/>
                <w:bCs/>
              </w:rPr>
              <w:t>Scenario probability weighting</w:t>
            </w:r>
            <w:r>
              <w:rPr>
                <w:color w:val="3D4852"/>
              </w:rPr>
              <w:t xml:space="preserve"> multiplies each scenario price target (from Section 05) by its probability, sums the three, and produces a probability-weighted intrinsic value estimate.</w:t>
            </w:r>
          </w:p>
        </w:tc>
      </w:tr>
    </w:tbl>
    <w:p w14:paraId="7806ACB8"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D74" w14:paraId="6F5971F2" w14:textId="77777777">
        <w:tblPrEx>
          <w:tblCellMar>
            <w:top w:w="0" w:type="dxa"/>
            <w:bottom w:w="0" w:type="dxa"/>
          </w:tblCellMar>
        </w:tblPrEx>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31CFCFD" w14:textId="77777777" w:rsidR="00CE5D74" w:rsidRDefault="00000000">
            <w:pPr>
              <w:spacing w:before="60" w:after="60"/>
            </w:pPr>
            <w:r>
              <w:rPr>
                <w:b/>
                <w:bCs/>
                <w:color w:val="A07830"/>
                <w:sz w:val="16"/>
                <w:szCs w:val="16"/>
              </w:rPr>
              <w:t>CURRENT MARKET PRICING</w:t>
            </w:r>
          </w:p>
          <w:p w14:paraId="7A225058" w14:textId="77777777" w:rsidR="00CE5D74" w:rsidRDefault="00CE5D74">
            <w:pPr>
              <w:spacing w:before="40" w:after="40"/>
            </w:pPr>
          </w:p>
          <w:p w14:paraId="11714964" w14:textId="77777777" w:rsidR="00CE5D74" w:rsidRDefault="00000000">
            <w:pPr>
              <w:spacing w:before="40" w:after="40"/>
            </w:pPr>
            <w:r>
              <w:rPr>
                <w:b/>
                <w:bCs/>
              </w:rPr>
              <w:t xml:space="preserve">EV / Revenue (NTM)  </w:t>
            </w:r>
            <w:r>
              <w:rPr>
                <w:color w:val="6B7785"/>
                <w:sz w:val="17"/>
                <w:szCs w:val="17"/>
              </w:rPr>
              <w:t>83x  vs. peer avg 166x</w:t>
            </w:r>
          </w:p>
          <w:p w14:paraId="421939E6" w14:textId="77777777" w:rsidR="00CE5D74" w:rsidRDefault="00000000">
            <w:pPr>
              <w:spacing w:before="40" w:after="40"/>
            </w:pPr>
            <w:r>
              <w:rPr>
                <w:b/>
                <w:bCs/>
              </w:rPr>
              <w:t>Cash runway         23.6 qtrs</w:t>
            </w:r>
          </w:p>
          <w:p w14:paraId="5CCF0BB6" w14:textId="77777777" w:rsidR="00CE5D74" w:rsidRDefault="00000000">
            <w:pPr>
              <w:spacing w:before="40" w:after="40"/>
            </w:pPr>
            <w:r>
              <w:rPr>
                <w:b/>
                <w:bCs/>
              </w:rPr>
              <w:t>Revenue growth (YoY)  43.6%</w:t>
            </w:r>
          </w:p>
          <w:p w14:paraId="0E01392F" w14:textId="77777777" w:rsidR="00CE5D74" w:rsidRDefault="00000000">
            <w:pPr>
              <w:spacing w:before="40" w:after="40"/>
            </w:pPr>
            <w:r>
              <w:rPr>
                <w:b/>
                <w:bCs/>
              </w:rPr>
              <w:t xml:space="preserve">52-Wk Range         </w:t>
            </w:r>
            <w:r>
              <w:rPr>
                <w:color w:val="6B7785"/>
                <w:sz w:val="17"/>
                <w:szCs w:val="17"/>
              </w:rPr>
              <w:t>$25.89 – $84.64</w:t>
            </w:r>
          </w:p>
        </w:tc>
        <w:tc>
          <w:tcPr>
            <w:tcW w:w="46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5FFB8169" w14:textId="77777777" w:rsidR="00CE5D74" w:rsidRDefault="00000000">
            <w:pPr>
              <w:spacing w:before="60" w:after="60"/>
            </w:pPr>
            <w:r>
              <w:rPr>
                <w:b/>
                <w:bCs/>
                <w:color w:val="A07830"/>
                <w:sz w:val="16"/>
                <w:szCs w:val="16"/>
              </w:rPr>
              <w:t>YOUR INTRINSIC VALUE VIEW</w:t>
            </w:r>
          </w:p>
          <w:p w14:paraId="4EA081F8" w14:textId="77777777" w:rsidR="00CE5D74" w:rsidRDefault="00CE5D74">
            <w:pPr>
              <w:spacing w:before="40" w:after="40"/>
            </w:pPr>
          </w:p>
          <w:p w14:paraId="7EA6E55A" w14:textId="77777777" w:rsidR="00CE5D74" w:rsidRDefault="00000000">
            <w:pPr>
              <w:spacing w:before="40" w:after="40"/>
            </w:pPr>
            <w:r>
              <w:rPr>
                <w:b/>
                <w:bCs/>
              </w:rPr>
              <w:t xml:space="preserve">Methodology  </w:t>
            </w:r>
            <w:r>
              <w:rPr>
                <w:color w:val="6B7785"/>
                <w:sz w:val="17"/>
                <w:szCs w:val="17"/>
              </w:rPr>
              <w:t>EV/Revenue + scenario probability weighting</w:t>
            </w:r>
          </w:p>
          <w:p w14:paraId="63B99ADD" w14:textId="77777777" w:rsidR="00CE5D74" w:rsidRDefault="00000000">
            <w:pPr>
              <w:spacing w:before="40" w:after="40"/>
            </w:pPr>
            <w:r>
              <w:rPr>
                <w:b/>
                <w:bCs/>
              </w:rPr>
              <w:t xml:space="preserve">Key multiple  </w:t>
            </w:r>
            <w:r>
              <w:rPr>
                <w:color w:val="6B7785"/>
                <w:sz w:val="17"/>
                <w:szCs w:val="17"/>
              </w:rPr>
              <w:t>83x NTM Revenue ($268.7M)</w:t>
            </w:r>
          </w:p>
          <w:p w14:paraId="62770326" w14:textId="77777777" w:rsidR="00CE5D74" w:rsidRDefault="00000000">
            <w:pPr>
              <w:spacing w:before="40" w:after="40"/>
            </w:pPr>
            <w:r>
              <w:rPr>
                <w:b/>
                <w:bCs/>
              </w:rPr>
              <w:t xml:space="preserve">Blended PT    </w:t>
            </w:r>
            <w:r>
              <w:rPr>
                <w:color w:val="6B7785"/>
                <w:sz w:val="17"/>
                <w:szCs w:val="17"/>
              </w:rPr>
              <w:t>$89.00</w:t>
            </w:r>
          </w:p>
          <w:p w14:paraId="0AC0B41B" w14:textId="77777777" w:rsidR="00CE5D74" w:rsidRDefault="00CE5D74">
            <w:pPr>
              <w:spacing w:before="40" w:after="40"/>
            </w:pPr>
          </w:p>
          <w:p w14:paraId="1DCA277C" w14:textId="77777777" w:rsidR="00CE5D74" w:rsidRDefault="00000000">
            <w:pPr>
              <w:spacing w:before="60" w:after="60"/>
            </w:pPr>
            <w:r>
              <w:rPr>
                <w:i/>
                <w:iCs/>
                <w:color w:val="3D4852"/>
              </w:rPr>
              <w:t>At 83x NTM, the market is embedding a base-case acquisition survival scenario but giving no credit for the platform bull thesis. Given the $470M government backlog and hyperscaler cloud partnerships, this appears slightly too pessimistic, though the 4.6x YoY burn acceleration is a legitimate discount factor.</w:t>
            </w:r>
          </w:p>
        </w:tc>
      </w:tr>
    </w:tbl>
    <w:p w14:paraId="55755011" w14:textId="77777777" w:rsidR="00CE5D74" w:rsidRDefault="00CE5D74">
      <w:pPr>
        <w:spacing w:before="40" w:after="40"/>
      </w:pPr>
    </w:p>
    <w:p w14:paraId="108D7F76"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2CAB48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1F5F78D5" w14:textId="77777777" w:rsidR="00CE5D74" w:rsidRDefault="00000000">
            <w:pPr>
              <w:spacing w:before="60" w:after="60"/>
            </w:pPr>
            <w:r>
              <w:rPr>
                <w:b/>
                <w:bCs/>
                <w:color w:val="FFFFFF"/>
                <w:sz w:val="17"/>
                <w:szCs w:val="17"/>
              </w:rPr>
              <w:lastRenderedPageBreak/>
              <w:t>Nexus Research  ·  MOONSHOT ASSESSMENT</w:t>
            </w:r>
            <w:r>
              <w:rPr>
                <w:sz w:val="17"/>
                <w:szCs w:val="17"/>
              </w:rPr>
              <w:t xml:space="preserve">          </w:t>
            </w:r>
            <w:r>
              <w:rPr>
                <w:color w:val="C09848"/>
                <w:sz w:val="16"/>
                <w:szCs w:val="16"/>
              </w:rPr>
              <w:t>IonQ, Inc.   IONQ  ·  Quantum Computing  ·  NYSE</w:t>
            </w:r>
          </w:p>
        </w:tc>
      </w:tr>
    </w:tbl>
    <w:p w14:paraId="41FF233A" w14:textId="77777777" w:rsidR="00CE5D74" w:rsidRDefault="00CE5D74">
      <w:pPr>
        <w:spacing w:before="40" w:after="40"/>
      </w:pPr>
    </w:p>
    <w:p w14:paraId="73F74474" w14:textId="77777777" w:rsidR="00CE5D74" w:rsidRDefault="00000000">
      <w:pPr>
        <w:pBdr>
          <w:bottom w:val="single" w:sz="3" w:space="0" w:color="A07830"/>
        </w:pBdr>
        <w:spacing w:before="80" w:after="60"/>
      </w:pPr>
      <w:r>
        <w:rPr>
          <w:b/>
          <w:bCs/>
          <w:sz w:val="17"/>
          <w:szCs w:val="17"/>
        </w:rPr>
        <w:t>PEER COMPARABLE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32"/>
        <w:gridCol w:w="1632"/>
        <w:gridCol w:w="1632"/>
        <w:gridCol w:w="2264"/>
      </w:tblGrid>
      <w:tr w:rsidR="00CE5D74" w14:paraId="2AA65D32"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700A14EB" w14:textId="77777777" w:rsidR="00CE5D74" w:rsidRDefault="00000000">
            <w:pPr>
              <w:spacing w:before="60" w:after="60"/>
            </w:pPr>
            <w:r>
              <w:rPr>
                <w:b/>
                <w:bCs/>
                <w:color w:val="FFFFFF"/>
              </w:rPr>
              <w:t>Company</w:t>
            </w:r>
          </w:p>
        </w:tc>
        <w:tc>
          <w:tcPr>
            <w:tcW w:w="1632"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4DD16219" w14:textId="77777777" w:rsidR="00CE5D74" w:rsidRDefault="00000000">
            <w:pPr>
              <w:spacing w:before="60" w:after="60"/>
            </w:pPr>
            <w:r>
              <w:rPr>
                <w:b/>
                <w:bCs/>
                <w:color w:val="FFFFFF"/>
              </w:rPr>
              <w:t>EV/Revenue</w:t>
            </w:r>
          </w:p>
        </w:tc>
        <w:tc>
          <w:tcPr>
            <w:tcW w:w="1632"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74AD341E" w14:textId="77777777" w:rsidR="00CE5D74" w:rsidRDefault="00000000">
            <w:pPr>
              <w:spacing w:before="60" w:after="60"/>
            </w:pPr>
            <w:r>
              <w:rPr>
                <w:b/>
                <w:bCs/>
                <w:color w:val="FFFFFF"/>
              </w:rPr>
              <w:t>Govt backlog ($M)</w:t>
            </w:r>
          </w:p>
        </w:tc>
        <w:tc>
          <w:tcPr>
            <w:tcW w:w="1632"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33B55757" w14:textId="77777777" w:rsidR="00CE5D74" w:rsidRDefault="00000000">
            <w:pPr>
              <w:spacing w:before="60" w:after="60"/>
            </w:pPr>
            <w:r>
              <w:rPr>
                <w:b/>
                <w:bCs/>
                <w:color w:val="FFFFFF"/>
              </w:rPr>
              <w:t>Rev growth</w:t>
            </w:r>
          </w:p>
        </w:tc>
        <w:tc>
          <w:tcPr>
            <w:tcW w:w="2264"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4EE46292" w14:textId="77777777" w:rsidR="00CE5D74" w:rsidRDefault="00000000">
            <w:pPr>
              <w:spacing w:before="60" w:after="60"/>
            </w:pPr>
            <w:r>
              <w:rPr>
                <w:b/>
                <w:bCs/>
                <w:color w:val="FFFFFF"/>
              </w:rPr>
              <w:t>Cash runway (qtrs)</w:t>
            </w:r>
          </w:p>
        </w:tc>
      </w:tr>
      <w:tr w:rsidR="00CE5D74" w14:paraId="3DEC735D"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4B521F0E" w14:textId="77777777" w:rsidR="00CE5D74" w:rsidRDefault="00000000">
            <w:pPr>
              <w:spacing w:before="60" w:after="60"/>
            </w:pPr>
            <w:r>
              <w:t>IonQ, Inc.</w:t>
            </w:r>
          </w:p>
        </w:tc>
        <w:tc>
          <w:tcPr>
            <w:tcW w:w="1632"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287E3866" w14:textId="77777777" w:rsidR="00CE5D74" w:rsidRDefault="00000000">
            <w:pPr>
              <w:spacing w:before="60" w:after="60"/>
            </w:pPr>
            <w:r>
              <w:t>83.2x</w:t>
            </w:r>
          </w:p>
        </w:tc>
        <w:tc>
          <w:tcPr>
            <w:tcW w:w="1632"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0D467281" w14:textId="77777777" w:rsidR="00CE5D74" w:rsidRDefault="00000000">
            <w:pPr>
              <w:spacing w:before="60" w:after="60"/>
            </w:pPr>
            <w:r>
              <w:t>$470</w:t>
            </w:r>
          </w:p>
        </w:tc>
        <w:tc>
          <w:tcPr>
            <w:tcW w:w="1632"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62A38359" w14:textId="77777777" w:rsidR="00CE5D74" w:rsidRDefault="00000000">
            <w:pPr>
              <w:spacing w:before="60" w:after="60"/>
            </w:pPr>
            <w:r>
              <w:t>43.6%</w:t>
            </w:r>
          </w:p>
        </w:tc>
        <w:tc>
          <w:tcPr>
            <w:tcW w:w="2264"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35F2C7EC" w14:textId="77777777" w:rsidR="00CE5D74" w:rsidRDefault="00000000">
            <w:pPr>
              <w:spacing w:before="60" w:after="60"/>
            </w:pPr>
            <w:r>
              <w:t>23.6</w:t>
            </w:r>
          </w:p>
        </w:tc>
      </w:tr>
      <w:tr w:rsidR="00CE5D74" w14:paraId="42EDD952"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3128D54" w14:textId="77777777" w:rsidR="00CE5D74" w:rsidRDefault="00000000">
            <w:pPr>
              <w:spacing w:before="60" w:after="60"/>
            </w:pPr>
            <w:r>
              <w:t>D-Wave Quantum (QBTS)</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69C4A17C" w14:textId="77777777" w:rsidR="00CE5D74" w:rsidRDefault="00000000">
            <w:pPr>
              <w:spacing w:before="60" w:after="60"/>
            </w:pPr>
            <w:r>
              <w:t>243.6x</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774074F" w14:textId="77777777" w:rsidR="00CE5D74" w:rsidRDefault="00000000">
            <w:pPr>
              <w:spacing w:before="60" w:after="60"/>
            </w:pPr>
            <w:r>
              <w:t>$42.4</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794945CD" w14:textId="77777777" w:rsidR="00CE5D74" w:rsidRDefault="00000000">
            <w:pPr>
              <w:spacing w:before="60" w:after="60"/>
            </w:pPr>
            <w:r>
              <w:t>242.1%</w:t>
            </w:r>
          </w:p>
        </w:tc>
        <w:tc>
          <w:tcPr>
            <w:tcW w:w="2264"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0B07BD17" w14:textId="77777777" w:rsidR="00CE5D74" w:rsidRDefault="00000000">
            <w:pPr>
              <w:spacing w:before="60" w:after="60"/>
            </w:pPr>
            <w:r>
              <w:t>6.0</w:t>
            </w:r>
          </w:p>
        </w:tc>
      </w:tr>
      <w:tr w:rsidR="00CE5D74" w14:paraId="6D1B60AB"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9B700F2" w14:textId="77777777" w:rsidR="00CE5D74" w:rsidRDefault="00000000">
            <w:pPr>
              <w:spacing w:before="60" w:after="60"/>
            </w:pPr>
            <w:r>
              <w:t>Rigetti Computing (RGTI)</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CAC1BCE" w14:textId="77777777" w:rsidR="00CE5D74" w:rsidRDefault="00000000">
            <w:pPr>
              <w:spacing w:before="60" w:after="60"/>
            </w:pPr>
            <w:r>
              <w:t>338.4x</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1B38A26" w14:textId="77777777" w:rsidR="00CE5D74" w:rsidRDefault="00000000">
            <w:pPr>
              <w:spacing w:before="60" w:after="60"/>
            </w:pPr>
            <w:r>
              <w:t>$2.8</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4FC7A540" w14:textId="77777777" w:rsidR="00CE5D74" w:rsidRDefault="00000000">
            <w:pPr>
              <w:spacing w:before="60" w:after="60"/>
            </w:pPr>
            <w:r>
              <w:t>136.4%</w:t>
            </w:r>
          </w:p>
        </w:tc>
        <w:tc>
          <w:tcPr>
            <w:tcW w:w="2264"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91B7319" w14:textId="77777777" w:rsidR="00CE5D74" w:rsidRDefault="00000000">
            <w:pPr>
              <w:spacing w:before="60" w:after="60"/>
            </w:pPr>
            <w:r>
              <w:t>12.9</w:t>
            </w:r>
          </w:p>
        </w:tc>
      </w:tr>
      <w:tr w:rsidR="00CE5D74" w14:paraId="45DAA7D6"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4E58711D" w14:textId="77777777" w:rsidR="00CE5D74" w:rsidRDefault="00000000">
            <w:pPr>
              <w:spacing w:before="60" w:after="60"/>
            </w:pPr>
            <w:r>
              <w:t>Amax Holding (6933)</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1F83C14" w14:textId="77777777" w:rsidR="00CE5D74" w:rsidRDefault="00000000">
            <w:pPr>
              <w:spacing w:before="60" w:after="60"/>
            </w:pPr>
            <w:r>
              <w:t>N/A</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1B259D3D" w14:textId="77777777" w:rsidR="00CE5D74" w:rsidRDefault="00000000">
            <w:pPr>
              <w:spacing w:before="60" w:after="60"/>
            </w:pPr>
            <w:r>
              <w:t>N/A</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0D0DFC10" w14:textId="77777777" w:rsidR="00CE5D74" w:rsidRDefault="00000000">
            <w:pPr>
              <w:spacing w:before="60" w:after="60"/>
            </w:pPr>
            <w:r>
              <w:t>N/A</w:t>
            </w:r>
          </w:p>
        </w:tc>
        <w:tc>
          <w:tcPr>
            <w:tcW w:w="2264"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6C8BAF8D" w14:textId="77777777" w:rsidR="00CE5D74" w:rsidRDefault="00000000">
            <w:pPr>
              <w:spacing w:before="60" w:after="60"/>
            </w:pPr>
            <w:r>
              <w:t>2.2</w:t>
            </w:r>
          </w:p>
        </w:tc>
      </w:tr>
      <w:tr w:rsidR="00CE5D74" w14:paraId="52C90041"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7065A112" w14:textId="77777777" w:rsidR="00CE5D74" w:rsidRDefault="00000000">
            <w:pPr>
              <w:spacing w:before="60" w:after="60"/>
            </w:pPr>
            <w:r>
              <w:t>Peer group avg</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05E111B3" w14:textId="77777777" w:rsidR="00CE5D74" w:rsidRDefault="00000000">
            <w:pPr>
              <w:spacing w:before="60" w:after="60"/>
            </w:pPr>
            <w:r>
              <w:t>166.5x</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670B1B5" w14:textId="77777777" w:rsidR="00CE5D74" w:rsidRDefault="00000000">
            <w:pPr>
              <w:spacing w:before="60" w:after="60"/>
            </w:pPr>
            <w:r>
              <w:t>$171.7</w:t>
            </w:r>
          </w:p>
        </w:tc>
        <w:tc>
          <w:tcPr>
            <w:tcW w:w="1632"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4C5E30A3" w14:textId="77777777" w:rsidR="00CE5D74" w:rsidRDefault="00000000">
            <w:pPr>
              <w:spacing w:before="60" w:after="60"/>
            </w:pPr>
            <w:r>
              <w:t>109.3%</w:t>
            </w:r>
          </w:p>
        </w:tc>
        <w:tc>
          <w:tcPr>
            <w:tcW w:w="2264"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547CCCC8" w14:textId="77777777" w:rsidR="00CE5D74" w:rsidRDefault="00000000">
            <w:pPr>
              <w:spacing w:before="60" w:after="60"/>
            </w:pPr>
            <w:r>
              <w:t>11.2</w:t>
            </w:r>
          </w:p>
        </w:tc>
      </w:tr>
    </w:tbl>
    <w:p w14:paraId="041B912A" w14:textId="77777777" w:rsidR="00CE5D74" w:rsidRDefault="00CE5D74">
      <w:pPr>
        <w:spacing w:before="40" w:after="40"/>
      </w:pPr>
    </w:p>
    <w:p w14:paraId="309C99AD" w14:textId="77777777" w:rsidR="00CE5D74" w:rsidRDefault="00000000">
      <w:pPr>
        <w:pBdr>
          <w:bottom w:val="single" w:sz="3" w:space="0" w:color="A07830"/>
        </w:pBdr>
        <w:spacing w:before="80" w:after="60"/>
      </w:pPr>
      <w:r>
        <w:rPr>
          <w:b/>
          <w:bCs/>
          <w:sz w:val="17"/>
          <w:szCs w:val="17"/>
        </w:rPr>
        <w:t>PRICE TARGET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1380"/>
        <w:gridCol w:w="1380"/>
      </w:tblGrid>
      <w:tr w:rsidR="00CE5D74" w14:paraId="1F3F84B0"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02C05C24" w14:textId="77777777" w:rsidR="00CE5D74" w:rsidRDefault="00000000">
            <w:pPr>
              <w:spacing w:before="60" w:after="60"/>
            </w:pPr>
            <w:r>
              <w:rPr>
                <w:b/>
                <w:bCs/>
                <w:color w:val="FFFFFF"/>
              </w:rPr>
              <w:t>Methodology</w:t>
            </w:r>
          </w:p>
        </w:tc>
        <w:tc>
          <w:tcPr>
            <w:tcW w:w="22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289B7FD6" w14:textId="77777777" w:rsidR="00CE5D74" w:rsidRDefault="00000000">
            <w:pPr>
              <w:spacing w:before="60" w:after="60"/>
            </w:pPr>
            <w:r>
              <w:rPr>
                <w:b/>
                <w:bCs/>
                <w:color w:val="FFFFFF"/>
              </w:rPr>
              <w:t>Multiple applied</w:t>
            </w:r>
          </w:p>
        </w:tc>
        <w:tc>
          <w:tcPr>
            <w:tcW w:w="220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7083F568" w14:textId="77777777" w:rsidR="00CE5D74" w:rsidRDefault="00000000">
            <w:pPr>
              <w:spacing w:before="60" w:after="60"/>
            </w:pPr>
            <w:r>
              <w:rPr>
                <w:b/>
                <w:bCs/>
                <w:color w:val="FFFFFF"/>
              </w:rPr>
              <w:t>Metric</w:t>
            </w:r>
          </w:p>
        </w:tc>
        <w:tc>
          <w:tcPr>
            <w:tcW w:w="138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116A7E43" w14:textId="77777777" w:rsidR="00CE5D74" w:rsidRDefault="00000000">
            <w:pPr>
              <w:spacing w:before="60" w:after="60"/>
            </w:pPr>
            <w:r>
              <w:rPr>
                <w:b/>
                <w:bCs/>
                <w:color w:val="FFFFFF"/>
              </w:rPr>
              <w:t>Implied PT</w:t>
            </w:r>
          </w:p>
        </w:tc>
        <w:tc>
          <w:tcPr>
            <w:tcW w:w="1380" w:type="dxa"/>
            <w:tcBorders>
              <w:top w:val="single" w:sz="2" w:space="0" w:color="D0D4D9"/>
              <w:left w:val="single" w:sz="2" w:space="0" w:color="D0D4D9"/>
              <w:bottom w:val="single" w:sz="2" w:space="0" w:color="D0D4D9"/>
              <w:right w:val="single" w:sz="2" w:space="0" w:color="D0D4D9"/>
            </w:tcBorders>
            <w:shd w:val="clear" w:color="auto" w:fill="0D1B2A"/>
            <w:tcMar>
              <w:top w:w="80" w:type="dxa"/>
              <w:left w:w="80" w:type="dxa"/>
              <w:bottom w:w="80" w:type="dxa"/>
              <w:right w:w="80" w:type="dxa"/>
            </w:tcMar>
          </w:tcPr>
          <w:p w14:paraId="3D7A7DF9" w14:textId="77777777" w:rsidR="00CE5D74" w:rsidRDefault="00000000">
            <w:pPr>
              <w:spacing w:before="60" w:after="60"/>
            </w:pPr>
            <w:r>
              <w:rPr>
                <w:b/>
                <w:bCs/>
                <w:color w:val="FFFFFF"/>
              </w:rPr>
              <w:t>Weight</w:t>
            </w:r>
          </w:p>
        </w:tc>
      </w:tr>
      <w:tr w:rsidR="00CE5D74" w14:paraId="3663CC8D"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62D2157F" w14:textId="77777777" w:rsidR="00CE5D74" w:rsidRDefault="00000000">
            <w:pPr>
              <w:spacing w:before="60" w:after="60"/>
            </w:pPr>
            <w:r>
              <w:t>EV / Revenue</w:t>
            </w:r>
          </w:p>
        </w:tc>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08FA6DE" w14:textId="77777777" w:rsidR="00CE5D74" w:rsidRDefault="00000000">
            <w:pPr>
              <w:spacing w:before="60" w:after="60"/>
            </w:pPr>
            <w:r>
              <w:rPr>
                <w:color w:val="3D4852"/>
              </w:rPr>
              <w:t>83x</w:t>
            </w:r>
          </w:p>
        </w:tc>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1201648C" w14:textId="77777777" w:rsidR="00CE5D74" w:rsidRDefault="00000000">
            <w:pPr>
              <w:spacing w:before="60" w:after="60"/>
            </w:pPr>
            <w:r>
              <w:rPr>
                <w:color w:val="6B7785"/>
                <w:sz w:val="17"/>
                <w:szCs w:val="17"/>
              </w:rPr>
              <w:t>NTM Revenue ($268.7M)</w:t>
            </w:r>
          </w:p>
        </w:tc>
        <w:tc>
          <w:tcPr>
            <w:tcW w:w="13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5A7B16CA" w14:textId="77777777" w:rsidR="00CE5D74" w:rsidRDefault="00000000">
            <w:pPr>
              <w:spacing w:before="60" w:after="60"/>
            </w:pPr>
            <w:r>
              <w:rPr>
                <w:color w:val="3D4852"/>
              </w:rPr>
              <w:t>$69</w:t>
            </w:r>
          </w:p>
        </w:tc>
        <w:tc>
          <w:tcPr>
            <w:tcW w:w="13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F262B9C" w14:textId="77777777" w:rsidR="00CE5D74" w:rsidRDefault="00000000">
            <w:pPr>
              <w:spacing w:before="60" w:after="60"/>
            </w:pPr>
            <w:r>
              <w:rPr>
                <w:color w:val="3D4852"/>
              </w:rPr>
              <w:t>N/A</w:t>
            </w:r>
          </w:p>
        </w:tc>
      </w:tr>
      <w:tr w:rsidR="00CE5D74" w14:paraId="5456DB64"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2DAAFEA3" w14:textId="77777777" w:rsidR="00CE5D74" w:rsidRDefault="00000000">
            <w:pPr>
              <w:spacing w:before="60" w:after="60"/>
            </w:pPr>
            <w:r>
              <w:t>Scenario probability</w:t>
            </w:r>
          </w:p>
        </w:tc>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13F77CA6" w14:textId="77777777" w:rsidR="00CE5D74" w:rsidRDefault="00000000">
            <w:pPr>
              <w:spacing w:before="60" w:after="60"/>
            </w:pPr>
            <w:r>
              <w:rPr>
                <w:color w:val="3D4852"/>
              </w:rPr>
              <w:t>N/A</w:t>
            </w:r>
          </w:p>
        </w:tc>
        <w:tc>
          <w:tcPr>
            <w:tcW w:w="220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1875A015" w14:textId="77777777" w:rsidR="00CE5D74" w:rsidRDefault="00000000">
            <w:pPr>
              <w:spacing w:before="60" w:after="60"/>
            </w:pPr>
            <w:r>
              <w:rPr>
                <w:color w:val="6B7785"/>
                <w:sz w:val="17"/>
                <w:szCs w:val="17"/>
              </w:rPr>
              <w:t>0.20×$220 + 0.50×$75 + 0.30×$25</w:t>
            </w:r>
          </w:p>
        </w:tc>
        <w:tc>
          <w:tcPr>
            <w:tcW w:w="13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738B0CCF" w14:textId="77777777" w:rsidR="00CE5D74" w:rsidRDefault="00000000">
            <w:pPr>
              <w:spacing w:before="60" w:after="60"/>
            </w:pPr>
            <w:r>
              <w:rPr>
                <w:color w:val="3D4852"/>
              </w:rPr>
              <w:t>$89</w:t>
            </w:r>
          </w:p>
        </w:tc>
        <w:tc>
          <w:tcPr>
            <w:tcW w:w="1380" w:type="dxa"/>
            <w:tcBorders>
              <w:top w:val="single" w:sz="2" w:space="0" w:color="D0D4D9"/>
              <w:left w:val="single" w:sz="2" w:space="0" w:color="D0D4D9"/>
              <w:bottom w:val="single" w:sz="2" w:space="0" w:color="D0D4D9"/>
              <w:right w:val="single" w:sz="2" w:space="0" w:color="D0D4D9"/>
            </w:tcBorders>
            <w:shd w:val="clear" w:color="auto" w:fill="FFFFFF"/>
            <w:tcMar>
              <w:top w:w="80" w:type="dxa"/>
              <w:left w:w="80" w:type="dxa"/>
              <w:bottom w:w="80" w:type="dxa"/>
              <w:right w:w="80" w:type="dxa"/>
            </w:tcMar>
          </w:tcPr>
          <w:p w14:paraId="38775078" w14:textId="77777777" w:rsidR="00CE5D74" w:rsidRDefault="00000000">
            <w:pPr>
              <w:spacing w:before="60" w:after="60"/>
            </w:pPr>
            <w:r>
              <w:rPr>
                <w:color w:val="3D4852"/>
              </w:rPr>
              <w:t>N/A</w:t>
            </w:r>
          </w:p>
        </w:tc>
      </w:tr>
      <w:tr w:rsidR="00CE5D74" w14:paraId="3C8AEB42" w14:textId="77777777">
        <w:tblPrEx>
          <w:tblCellMar>
            <w:top w:w="0" w:type="dxa"/>
            <w:bottom w:w="0" w:type="dxa"/>
          </w:tblCellMar>
        </w:tblPrEx>
        <w:tc>
          <w:tcPr>
            <w:tcW w:w="2200"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232B7654" w14:textId="77777777" w:rsidR="00CE5D74" w:rsidRDefault="00000000">
            <w:pPr>
              <w:spacing w:before="60" w:after="60"/>
            </w:pPr>
            <w:r>
              <w:rPr>
                <w:b/>
                <w:bCs/>
              </w:rPr>
              <w:t>BLENDED TARGET</w:t>
            </w:r>
          </w:p>
        </w:tc>
        <w:tc>
          <w:tcPr>
            <w:tcW w:w="2200"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556736AD" w14:textId="77777777" w:rsidR="00CE5D74" w:rsidRDefault="00000000">
            <w:pPr>
              <w:spacing w:before="60" w:after="60"/>
            </w:pPr>
            <w:r>
              <w:rPr>
                <w:color w:val="3D4852"/>
              </w:rPr>
              <w:t>N/A</w:t>
            </w:r>
          </w:p>
        </w:tc>
        <w:tc>
          <w:tcPr>
            <w:tcW w:w="2200"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73A97398" w14:textId="77777777" w:rsidR="00CE5D74" w:rsidRDefault="00000000">
            <w:pPr>
              <w:spacing w:before="60" w:after="60"/>
            </w:pPr>
            <w:r>
              <w:rPr>
                <w:color w:val="6B7785"/>
                <w:sz w:val="17"/>
                <w:szCs w:val="17"/>
              </w:rPr>
              <w:t>Probability-weighted</w:t>
            </w:r>
          </w:p>
        </w:tc>
        <w:tc>
          <w:tcPr>
            <w:tcW w:w="1380"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46C48BE0" w14:textId="77777777" w:rsidR="00CE5D74" w:rsidRDefault="00000000">
            <w:pPr>
              <w:spacing w:before="60" w:after="60"/>
            </w:pPr>
            <w:r>
              <w:rPr>
                <w:color w:val="3D4852"/>
              </w:rPr>
              <w:t>$89</w:t>
            </w:r>
          </w:p>
        </w:tc>
        <w:tc>
          <w:tcPr>
            <w:tcW w:w="1380" w:type="dxa"/>
            <w:tcBorders>
              <w:top w:val="single" w:sz="2" w:space="0" w:color="D0D4D9"/>
              <w:left w:val="single" w:sz="2" w:space="0" w:color="D0D4D9"/>
              <w:bottom w:val="single" w:sz="2" w:space="0" w:color="D0D4D9"/>
              <w:right w:val="single" w:sz="2" w:space="0" w:color="D0D4D9"/>
            </w:tcBorders>
            <w:shd w:val="clear" w:color="auto" w:fill="FAFAFA"/>
            <w:tcMar>
              <w:top w:w="80" w:type="dxa"/>
              <w:left w:w="80" w:type="dxa"/>
              <w:bottom w:w="80" w:type="dxa"/>
              <w:right w:w="80" w:type="dxa"/>
            </w:tcMar>
          </w:tcPr>
          <w:p w14:paraId="7D36DB60" w14:textId="77777777" w:rsidR="00CE5D74" w:rsidRDefault="00000000">
            <w:pPr>
              <w:spacing w:before="60" w:after="60"/>
            </w:pPr>
            <w:r>
              <w:rPr>
                <w:color w:val="3D4852"/>
              </w:rPr>
              <w:t>N/A</w:t>
            </w:r>
          </w:p>
        </w:tc>
      </w:tr>
    </w:tbl>
    <w:p w14:paraId="387026B5" w14:textId="77777777" w:rsidR="00CE5D74" w:rsidRDefault="00CE5D74">
      <w:pPr>
        <w:spacing w:before="40" w:after="40"/>
      </w:pPr>
    </w:p>
    <w:p w14:paraId="4189BE87" w14:textId="77777777" w:rsidR="00CE5D7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467D6E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80" w:type="dxa"/>
            </w:tcMar>
          </w:tcPr>
          <w:p w14:paraId="5C5F138A" w14:textId="77777777" w:rsidR="00CE5D74" w:rsidRDefault="00000000">
            <w:pPr>
              <w:spacing w:before="80" w:after="80"/>
            </w:pPr>
            <w:r>
              <w:rPr>
                <w:b/>
                <w:bCs/>
                <w:color w:val="FFFFFF"/>
                <w:sz w:val="20"/>
                <w:szCs w:val="20"/>
              </w:rPr>
              <w:lastRenderedPageBreak/>
              <w:t>Nexus Research: Disclaimer &amp; Legal Notice</w:t>
            </w:r>
          </w:p>
        </w:tc>
      </w:tr>
    </w:tbl>
    <w:p w14:paraId="5502F908" w14:textId="77777777" w:rsidR="00CE5D74" w:rsidRDefault="00CE5D7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74" w14:paraId="65836A04" w14:textId="77777777">
        <w:tblPrEx>
          <w:tblCellMar>
            <w:top w:w="0" w:type="dxa"/>
            <w:bottom w:w="0" w:type="dxa"/>
          </w:tblCellMar>
        </w:tblPrEx>
        <w:tc>
          <w:tcPr>
            <w:tcW w:w="9360" w:type="dxa"/>
            <w:tcBorders>
              <w:top w:val="single" w:sz="2" w:space="0" w:color="D0D4D9"/>
              <w:left w:val="single" w:sz="2" w:space="0" w:color="D0D4D9"/>
              <w:bottom w:val="single" w:sz="2" w:space="0" w:color="D0D4D9"/>
              <w:right w:val="single" w:sz="2" w:space="0" w:color="D0D4D9"/>
            </w:tcBorders>
            <w:shd w:val="clear" w:color="auto" w:fill="FFFFFF"/>
            <w:tcMar>
              <w:top w:w="120" w:type="dxa"/>
              <w:left w:w="160" w:type="dxa"/>
              <w:bottom w:w="120" w:type="dxa"/>
              <w:right w:w="160" w:type="dxa"/>
            </w:tcMar>
          </w:tcPr>
          <w:p w14:paraId="6E189E24" w14:textId="77777777" w:rsidR="00CE5D74" w:rsidRDefault="00000000">
            <w:pPr>
              <w:spacing w:before="80" w:after="40"/>
            </w:pPr>
            <w:r>
              <w:rPr>
                <w:b/>
                <w:bCs/>
                <w:color w:val="A07830"/>
                <w:sz w:val="17"/>
                <w:szCs w:val="17"/>
              </w:rPr>
              <w:t>Who I Am</w:t>
            </w:r>
          </w:p>
          <w:p w14:paraId="4177BD0B" w14:textId="77777777" w:rsidR="00CE5D74" w:rsidRDefault="00000000">
            <w:pPr>
              <w:spacing w:after="80"/>
            </w:pPr>
            <w:r>
              <w:rPr>
                <w:sz w:val="17"/>
                <w:szCs w:val="17"/>
              </w:rPr>
              <w:t>My name is Mary Scott. I am an independent researcher producing equity and technology analysis under the name Nexus Research. I am not a licensed financial advisor, broker-dealer, registered investment adviser, or any other regulated financial professional. I do not manage money on behalf of others, and nothing in this document should be construed as professional financial advice of any kind.</w:t>
            </w:r>
          </w:p>
          <w:p w14:paraId="299C337A" w14:textId="77777777" w:rsidR="00CE5D74" w:rsidRDefault="00000000">
            <w:pPr>
              <w:spacing w:before="80" w:after="40"/>
            </w:pPr>
            <w:r>
              <w:rPr>
                <w:b/>
                <w:bCs/>
                <w:color w:val="A07830"/>
                <w:sz w:val="17"/>
                <w:szCs w:val="17"/>
              </w:rPr>
              <w:t>What Nexus Research Is</w:t>
            </w:r>
          </w:p>
          <w:p w14:paraId="686F990C" w14:textId="77777777" w:rsidR="00CE5D74" w:rsidRDefault="00000000">
            <w:pPr>
              <w:spacing w:after="80"/>
            </w:pPr>
            <w:r>
              <w:rPr>
                <w:sz w:val="17"/>
                <w:szCs w:val="17"/>
              </w:rPr>
              <w:t>Nexus Research is a self-directed body of equity and technology research that applies a systematic, driver-based framework to publicly traded companies. Notes are produced across multiple formats, including Directional Thesis, Moonshot Assessment, Thematic Note, Deep Dive, Ecosystem Map, Catalyst Tracker, and Post-Mortem, depending on the type of analysis the subject requires. Each note states a thesis or analytical conclusion, maps the key drivers, defines a falsification test, and tracks outcomes. The goal is to develop and test a repeatable process for identifying where price and reality diverge.</w:t>
            </w:r>
          </w:p>
          <w:p w14:paraId="1C4F5760" w14:textId="77777777" w:rsidR="00CE5D74" w:rsidRDefault="00000000">
            <w:pPr>
              <w:spacing w:before="80" w:after="40"/>
            </w:pPr>
            <w:r>
              <w:rPr>
                <w:b/>
                <w:bCs/>
                <w:color w:val="A07830"/>
                <w:sz w:val="17"/>
                <w:szCs w:val="17"/>
              </w:rPr>
              <w:t>About This Note: Moonshot Assessment</w:t>
            </w:r>
          </w:p>
          <w:p w14:paraId="2AD7B493" w14:textId="77777777" w:rsidR="00CE5D74" w:rsidRDefault="00000000">
            <w:pPr>
              <w:spacing w:after="80"/>
            </w:pPr>
            <w:r>
              <w:rPr>
                <w:sz w:val="17"/>
                <w:szCs w:val="17"/>
              </w:rPr>
              <w:t>This document is a Moonshot Assessment. This format applies to highly speculative, early-stage, or pre-revenue companies where standard valuation multiples (P/E, EV/EBITDA) are not meaningful. The analysis focuses on technology proof-of-concept viability, cash runway and survival probability, probability-weighted terminal value scenarios, and key execution milestones. A Moonshot Assessment does not produce a conventional price target in the same way as a Directional Thesis; it produces a structured assessment of whether the risk/reward is favorable given the survival and milestone assumptions stated.</w:t>
            </w:r>
          </w:p>
          <w:p w14:paraId="303735CF" w14:textId="77777777" w:rsidR="00CE5D74" w:rsidRDefault="00000000">
            <w:pPr>
              <w:spacing w:before="80" w:after="40"/>
            </w:pPr>
            <w:r>
              <w:rPr>
                <w:b/>
                <w:bCs/>
                <w:color w:val="A07830"/>
                <w:sz w:val="17"/>
                <w:szCs w:val="17"/>
              </w:rPr>
              <w:t>What This Research Is Not</w:t>
            </w:r>
          </w:p>
          <w:p w14:paraId="511807D6" w14:textId="77777777" w:rsidR="00CE5D74" w:rsidRDefault="00000000">
            <w:pPr>
              <w:spacing w:after="80"/>
            </w:pPr>
            <w:r>
              <w:rPr>
                <w:sz w:val="17"/>
                <w:szCs w:val="17"/>
              </w:rPr>
              <w:t>Nothing published under Nexus Research constitutes investment advice, a solicitation to buy or sell any security, or a recommendation of any kind. These notes represent personal analytical views at the time of writing. They are not audited, not independently verified, and not guaranteed to be accurate or complete. Speculative-stage companies carry risks, including total loss of capital, that are materially greater than those applicable to established public companies. Views may change as new information becomes available.</w:t>
            </w:r>
          </w:p>
          <w:p w14:paraId="21F17B14" w14:textId="77777777" w:rsidR="00CE5D74" w:rsidRDefault="00000000">
            <w:pPr>
              <w:spacing w:before="80" w:after="40"/>
            </w:pPr>
            <w:r>
              <w:rPr>
                <w:b/>
                <w:bCs/>
                <w:color w:val="A07830"/>
                <w:sz w:val="17"/>
                <w:szCs w:val="17"/>
              </w:rPr>
              <w:t>Outcome Tracking</w:t>
            </w:r>
          </w:p>
          <w:p w14:paraId="480B7C0B" w14:textId="77777777" w:rsidR="00CE5D74" w:rsidRDefault="00000000">
            <w:pPr>
              <w:spacing w:after="80"/>
            </w:pPr>
            <w:r>
              <w:rPr>
                <w:sz w:val="17"/>
                <w:szCs w:val="17"/>
              </w:rPr>
              <w:t>Each Nexus Research note includes a defined falsification test: specific conditions under which the thesis is confirmed or invalidated. Where prior notes exist on a subject, a Thesis Check-In note documents what actually happened: whether the thesis played out, where the analysis was wrong, and what the data ultimately showed. This public record of outcomes is intentional. The only way to know whether the analytical process works is to check.</w:t>
            </w:r>
          </w:p>
          <w:p w14:paraId="7BA27A4C" w14:textId="77777777" w:rsidR="00CE5D74" w:rsidRDefault="00000000">
            <w:pPr>
              <w:spacing w:before="80" w:after="40"/>
            </w:pPr>
            <w:r>
              <w:rPr>
                <w:b/>
                <w:bCs/>
                <w:color w:val="A07830"/>
                <w:sz w:val="17"/>
                <w:szCs w:val="17"/>
              </w:rPr>
              <w:t>No Reliance</w:t>
            </w:r>
          </w:p>
          <w:p w14:paraId="233AC0AE" w14:textId="77777777" w:rsidR="00CE5D74" w:rsidRDefault="00000000">
            <w:pPr>
              <w:spacing w:after="80"/>
            </w:pPr>
            <w:r>
              <w:rPr>
                <w:sz w:val="17"/>
                <w:szCs w:val="17"/>
              </w:rPr>
              <w:t>You should not make any investment decision based on anything written in these notes. Always conduct your own independent research and consult a qualified financial professional before making any investment decision. Past analytical accuracy, where it exists, is not indicative of future results. The companies covered in Moonshot Assessments are speculative; they may fail to achieve commercial viability, run out of capital, or be superseded by competing technologies.</w:t>
            </w:r>
          </w:p>
          <w:p w14:paraId="1FFE8B7C" w14:textId="77777777" w:rsidR="00CE5D74" w:rsidRDefault="00000000">
            <w:pPr>
              <w:spacing w:before="80" w:after="40"/>
            </w:pPr>
            <w:r>
              <w:rPr>
                <w:b/>
                <w:bCs/>
                <w:color w:val="A07830"/>
                <w:sz w:val="17"/>
                <w:szCs w:val="17"/>
              </w:rPr>
              <w:t>Data Sources</w:t>
            </w:r>
          </w:p>
          <w:p w14:paraId="0339D756" w14:textId="77777777" w:rsidR="00CE5D74" w:rsidRDefault="00000000">
            <w:pPr>
              <w:spacing w:after="80"/>
            </w:pPr>
            <w:r>
              <w:rPr>
                <w:sz w:val="17"/>
                <w:szCs w:val="17"/>
              </w:rPr>
              <w:t>Financial data, estimates, and market information referenced in Nexus Research notes are sourced from one or more of the following: SEC EDGAR filings (10-K, 10-Q, 8-K), company investor relations materials and earnings call transcripts, company-published technical roadmaps and investor presentations, peer-reviewed publications sourced via Google Scholar and arXiv, fiscal.ai, Yahoo Finance, Koyfin, Seeking Alpha, and FactSet or S&amp;P Global data accessed through third-party platforms. Technical claims sourced exclusively from company press releases or investor day presentations, without independent peer-reviewed verification, are flagged as such in the body of the note. Nexus Research does not independently verify third-party data and makes no representation as to its accuracy or completeness.</w:t>
            </w:r>
          </w:p>
          <w:p w14:paraId="5D06B610" w14:textId="77777777" w:rsidR="00CE5D74" w:rsidRDefault="00000000">
            <w:pPr>
              <w:spacing w:before="40" w:after="80"/>
            </w:pPr>
            <w:r>
              <w:rPr>
                <w:i/>
                <w:iCs/>
                <w:color w:val="6B7785"/>
                <w:sz w:val="16"/>
                <w:szCs w:val="16"/>
              </w:rPr>
              <w:t>© Mary Scott  ·  Nexus Research  ·  All notes are for educational and informational purposes only</w:t>
            </w:r>
          </w:p>
        </w:tc>
      </w:tr>
    </w:tbl>
    <w:p w14:paraId="7D870300" w14:textId="77777777" w:rsidR="00432F8A" w:rsidRDefault="00432F8A"/>
    <w:sectPr w:rsidR="00432F8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35CA6" w14:textId="77777777" w:rsidR="00432F8A" w:rsidRDefault="00432F8A">
      <w:r>
        <w:separator/>
      </w:r>
    </w:p>
  </w:endnote>
  <w:endnote w:type="continuationSeparator" w:id="0">
    <w:p w14:paraId="637A07E1" w14:textId="77777777" w:rsidR="00432F8A" w:rsidRDefault="00432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E186" w14:textId="77777777" w:rsidR="00CE5D74" w:rsidRDefault="00000000">
    <w:pPr>
      <w:pBdr>
        <w:top w:val="single" w:sz="2" w:space="4" w:color="D0D4D9"/>
      </w:pBdr>
      <w:tabs>
        <w:tab w:val="right" w:pos="9360"/>
      </w:tabs>
      <w:spacing w:after="160"/>
    </w:pPr>
    <w:r>
      <w:rPr>
        <w:color w:val="6B7785"/>
        <w:sz w:val="16"/>
        <w:szCs w:val="16"/>
      </w:rPr>
      <w:t xml:space="preserve">Nexus </w:t>
    </w:r>
    <w:proofErr w:type="gramStart"/>
    <w:r>
      <w:rPr>
        <w:color w:val="6B7785"/>
        <w:sz w:val="16"/>
        <w:szCs w:val="16"/>
      </w:rPr>
      <w:t>Research  ·</w:t>
    </w:r>
    <w:proofErr w:type="gramEnd"/>
    <w:r>
      <w:rPr>
        <w:color w:val="6B7785"/>
        <w:sz w:val="16"/>
        <w:szCs w:val="16"/>
      </w:rPr>
      <w:t xml:space="preserve">  Independent Equity Analysis by Mary Scott</w:t>
    </w:r>
    <w:r>
      <w:rPr>
        <w:sz w:val="16"/>
        <w:szCs w:val="16"/>
      </w:rPr>
      <w:tab/>
    </w:r>
    <w:r>
      <w:rPr>
        <w:b/>
        <w:bCs/>
        <w:color w:val="3D4852"/>
        <w:sz w:val="16"/>
        <w:szCs w:val="16"/>
      </w:rPr>
      <w:t xml:space="preserve">Nexus </w:t>
    </w:r>
    <w:proofErr w:type="gramStart"/>
    <w:r>
      <w:rPr>
        <w:b/>
        <w:bCs/>
        <w:color w:val="3D4852"/>
        <w:sz w:val="16"/>
        <w:szCs w:val="16"/>
      </w:rPr>
      <w:t>Research  ·</w:t>
    </w:r>
    <w:proofErr w:type="gramEnd"/>
    <w:r>
      <w:rPr>
        <w:b/>
        <w:bCs/>
        <w:color w:val="3D4852"/>
        <w:sz w:val="16"/>
        <w:szCs w:val="16"/>
      </w:rPr>
      <w:t xml:space="preserve">  Moonshot Assessment</w:t>
    </w:r>
    <w:r>
      <w:rPr>
        <w:sz w:val="16"/>
        <w:szCs w:val="16"/>
      </w:rPr>
      <w:t xml:space="preserve">     </w:t>
    </w:r>
    <w:r>
      <w:rPr>
        <w:color w:val="6B7785"/>
        <w:sz w:val="16"/>
        <w:szCs w:val="16"/>
      </w:rPr>
      <w:t>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EEAD1" w14:textId="77777777" w:rsidR="00432F8A" w:rsidRDefault="00432F8A">
      <w:r>
        <w:separator/>
      </w:r>
    </w:p>
  </w:footnote>
  <w:footnote w:type="continuationSeparator" w:id="0">
    <w:p w14:paraId="3E0633B8" w14:textId="77777777" w:rsidR="00432F8A" w:rsidRDefault="00432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9D85" w14:textId="77777777" w:rsidR="00CE5D74" w:rsidRDefault="00000000">
    <w:pPr>
      <w:pBdr>
        <w:bottom w:val="single" w:sz="6" w:space="0" w:color="A07830"/>
      </w:pBdr>
      <w:spacing w:after="80"/>
    </w:pPr>
    <w:r>
      <w:rPr>
        <w:b/>
        <w:bCs/>
        <w:color w:val="0D1B2A"/>
        <w:sz w:val="18"/>
        <w:szCs w:val="18"/>
      </w:rPr>
      <w:t xml:space="preserve">Nexus </w:t>
    </w:r>
    <w:proofErr w:type="gramStart"/>
    <w:r>
      <w:rPr>
        <w:b/>
        <w:bCs/>
        <w:color w:val="0D1B2A"/>
        <w:sz w:val="18"/>
        <w:szCs w:val="18"/>
      </w:rPr>
      <w:t>Research  ·</w:t>
    </w:r>
    <w:proofErr w:type="gramEnd"/>
    <w:r>
      <w:rPr>
        <w:b/>
        <w:bCs/>
        <w:color w:val="0D1B2A"/>
        <w:sz w:val="18"/>
        <w:szCs w:val="18"/>
      </w:rPr>
      <w:t xml:space="preserve">  MOONSHOT ASSESSMENT</w:t>
    </w:r>
    <w:r>
      <w:rPr>
        <w:sz w:val="18"/>
        <w:szCs w:val="18"/>
      </w:rPr>
      <w:t xml:space="preserve">          </w:t>
    </w:r>
    <w:proofErr w:type="spellStart"/>
    <w:r>
      <w:rPr>
        <w:color w:val="6B7785"/>
        <w:sz w:val="16"/>
        <w:szCs w:val="16"/>
      </w:rPr>
      <w:t>IonQ</w:t>
    </w:r>
    <w:proofErr w:type="spellEnd"/>
    <w:r>
      <w:rPr>
        <w:color w:val="6B7785"/>
        <w:sz w:val="16"/>
        <w:szCs w:val="16"/>
      </w:rPr>
      <w:t xml:space="preserve">, Inc.   </w:t>
    </w:r>
    <w:proofErr w:type="gramStart"/>
    <w:r>
      <w:rPr>
        <w:color w:val="6B7785"/>
        <w:sz w:val="16"/>
        <w:szCs w:val="16"/>
      </w:rPr>
      <w:t>IONQ  ·</w:t>
    </w:r>
    <w:proofErr w:type="gramEnd"/>
    <w:r>
      <w:rPr>
        <w:color w:val="6B7785"/>
        <w:sz w:val="16"/>
        <w:szCs w:val="16"/>
      </w:rPr>
      <w:t xml:space="preserve">  Quantum </w:t>
    </w:r>
    <w:proofErr w:type="gramStart"/>
    <w:r>
      <w:rPr>
        <w:color w:val="6B7785"/>
        <w:sz w:val="16"/>
        <w:szCs w:val="16"/>
      </w:rPr>
      <w:t>Computing  ·</w:t>
    </w:r>
    <w:proofErr w:type="gramEnd"/>
    <w:r>
      <w:rPr>
        <w:color w:val="6B7785"/>
        <w:sz w:val="16"/>
        <w:szCs w:val="16"/>
      </w:rPr>
      <w:t xml:space="preserve">  NYSE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50D91"/>
    <w:multiLevelType w:val="hybridMultilevel"/>
    <w:tmpl w:val="505AEF08"/>
    <w:lvl w:ilvl="0" w:tplc="CC7AE93C">
      <w:start w:val="1"/>
      <w:numFmt w:val="bullet"/>
      <w:lvlText w:val="●"/>
      <w:lvlJc w:val="left"/>
      <w:pPr>
        <w:ind w:left="720" w:hanging="360"/>
      </w:pPr>
    </w:lvl>
    <w:lvl w:ilvl="1" w:tplc="545E1C8C">
      <w:start w:val="1"/>
      <w:numFmt w:val="bullet"/>
      <w:lvlText w:val="○"/>
      <w:lvlJc w:val="left"/>
      <w:pPr>
        <w:ind w:left="1440" w:hanging="360"/>
      </w:pPr>
    </w:lvl>
    <w:lvl w:ilvl="2" w:tplc="A16422C0">
      <w:start w:val="1"/>
      <w:numFmt w:val="bullet"/>
      <w:lvlText w:val="■"/>
      <w:lvlJc w:val="left"/>
      <w:pPr>
        <w:ind w:left="2160" w:hanging="360"/>
      </w:pPr>
    </w:lvl>
    <w:lvl w:ilvl="3" w:tplc="616863DE">
      <w:start w:val="1"/>
      <w:numFmt w:val="bullet"/>
      <w:lvlText w:val="●"/>
      <w:lvlJc w:val="left"/>
      <w:pPr>
        <w:ind w:left="2880" w:hanging="360"/>
      </w:pPr>
    </w:lvl>
    <w:lvl w:ilvl="4" w:tplc="A6FCB8B6">
      <w:start w:val="1"/>
      <w:numFmt w:val="bullet"/>
      <w:lvlText w:val="○"/>
      <w:lvlJc w:val="left"/>
      <w:pPr>
        <w:ind w:left="3600" w:hanging="360"/>
      </w:pPr>
    </w:lvl>
    <w:lvl w:ilvl="5" w:tplc="8EB2E778">
      <w:start w:val="1"/>
      <w:numFmt w:val="bullet"/>
      <w:lvlText w:val="■"/>
      <w:lvlJc w:val="left"/>
      <w:pPr>
        <w:ind w:left="4320" w:hanging="360"/>
      </w:pPr>
    </w:lvl>
    <w:lvl w:ilvl="6" w:tplc="89D2D772">
      <w:start w:val="1"/>
      <w:numFmt w:val="bullet"/>
      <w:lvlText w:val="●"/>
      <w:lvlJc w:val="left"/>
      <w:pPr>
        <w:ind w:left="5040" w:hanging="360"/>
      </w:pPr>
    </w:lvl>
    <w:lvl w:ilvl="7" w:tplc="EF72A1BC">
      <w:start w:val="1"/>
      <w:numFmt w:val="bullet"/>
      <w:lvlText w:val="●"/>
      <w:lvlJc w:val="left"/>
      <w:pPr>
        <w:ind w:left="5760" w:hanging="360"/>
      </w:pPr>
    </w:lvl>
    <w:lvl w:ilvl="8" w:tplc="1A360A58">
      <w:start w:val="1"/>
      <w:numFmt w:val="bullet"/>
      <w:lvlText w:val="●"/>
      <w:lvlJc w:val="left"/>
      <w:pPr>
        <w:ind w:left="6480" w:hanging="360"/>
      </w:pPr>
    </w:lvl>
  </w:abstractNum>
  <w:num w:numId="1" w16cid:durableId="1231034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D74"/>
    <w:rsid w:val="00432F8A"/>
    <w:rsid w:val="006D0974"/>
    <w:rsid w:val="00CB26BF"/>
    <w:rsid w:val="00CE5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E518"/>
  <w15:docId w15:val="{1824CCCA-0B16-4670-99F8-7AD0BB52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41414"/>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3388</Words>
  <Characters>19314</Characters>
  <Application>Microsoft Office Word</Application>
  <DocSecurity>0</DocSecurity>
  <Lines>160</Lines>
  <Paragraphs>45</Paragraphs>
  <ScaleCrop>false</ScaleCrop>
  <Company/>
  <LinksUpToDate>false</LinksUpToDate>
  <CharactersWithSpaces>22657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 Grace Scott</cp:lastModifiedBy>
  <cp:revision>2</cp:revision>
  <dcterms:created xsi:type="dcterms:W3CDTF">2026-05-25T00:48:00Z</dcterms:created>
  <dcterms:modified xsi:type="dcterms:W3CDTF">2026-05-28T20:38:00Z</dcterms:modified>
</cp:coreProperties>
</file>