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206" w14:paraId="0E5C548B"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260" w:type="dxa"/>
              <w:left w:w="280" w:type="dxa"/>
              <w:bottom w:w="260" w:type="dxa"/>
              <w:right w:w="280" w:type="dxa"/>
            </w:tcMar>
          </w:tcPr>
          <w:p w14:paraId="542BC289" w14:textId="77777777" w:rsidR="003B2206" w:rsidRDefault="00ED19CA">
            <w:r>
              <w:rPr>
                <w:b/>
                <w:bCs/>
                <w:color w:val="FFFFFF"/>
                <w:sz w:val="52"/>
                <w:szCs w:val="52"/>
              </w:rPr>
              <w:t>NEXUS</w:t>
            </w:r>
            <w:r>
              <w:rPr>
                <w:b/>
                <w:bCs/>
                <w:color w:val="C09848"/>
                <w:sz w:val="52"/>
                <w:szCs w:val="52"/>
              </w:rPr>
              <w:t xml:space="preserve">  RESEARCH</w:t>
            </w:r>
          </w:p>
          <w:p w14:paraId="2DD2E307" w14:textId="77777777" w:rsidR="003B2206" w:rsidRDefault="00ED19CA">
            <w:pPr>
              <w:spacing w:before="40"/>
            </w:pPr>
            <w:r>
              <w:rPr>
                <w:color w:val="D4B870"/>
                <w:sz w:val="18"/>
                <w:szCs w:val="18"/>
              </w:rPr>
              <w:t>Independent Equity Analysis by Mary Scott</w:t>
            </w:r>
            <w:r>
              <w:rPr>
                <w:color w:val="6B7785"/>
                <w:sz w:val="18"/>
                <w:szCs w:val="18"/>
              </w:rPr>
              <w:t xml:space="preserve">     ·     DIRECTIONAL THESIS</w:t>
            </w:r>
          </w:p>
        </w:tc>
      </w:tr>
    </w:tbl>
    <w:p w14:paraId="0724198A" w14:textId="77777777" w:rsidR="003B2206" w:rsidRDefault="003B2206">
      <w:pPr>
        <w:spacing w:before="480"/>
      </w:pPr>
    </w:p>
    <w:p w14:paraId="0EF469B9" w14:textId="4ACAB0D9" w:rsidR="003B2206" w:rsidRDefault="00522C67">
      <w:r>
        <w:rPr>
          <w:b/>
          <w:bCs/>
          <w:color w:val="0D1B2A"/>
          <w:sz w:val="72"/>
          <w:szCs w:val="72"/>
        </w:rPr>
        <w:t>Kenvue Inc.</w:t>
      </w:r>
    </w:p>
    <w:p w14:paraId="5188A696" w14:textId="7CD027CB" w:rsidR="003B2206" w:rsidRDefault="00522C67">
      <w:pPr>
        <w:spacing w:before="80"/>
      </w:pPr>
      <w:r>
        <w:rPr>
          <w:b/>
          <w:bCs/>
          <w:color w:val="A07830"/>
          <w:sz w:val="24"/>
          <w:szCs w:val="24"/>
        </w:rPr>
        <w:t>KVUE</w:t>
      </w:r>
      <w:r>
        <w:rPr>
          <w:color w:val="3D4852"/>
          <w:sz w:val="20"/>
          <w:szCs w:val="20"/>
        </w:rPr>
        <w:t xml:space="preserve">  ·  Consumer Defensive  ·  NYSE</w:t>
      </w:r>
    </w:p>
    <w:p w14:paraId="3A7C878D" w14:textId="77777777" w:rsidR="00ED19CA" w:rsidRDefault="00ED19CA">
      <w:pPr>
        <w:spacing w:before="120"/>
      </w:pPr>
      <w:r>
        <w:rPr>
          <w:b/>
          <w:bCs/>
          <w:caps/>
          <w:color w:val="A07830"/>
          <w:sz w:val="28"/>
          <w:szCs w:val="28"/>
        </w:rPr>
        <w:t>DIRECTIONAL THESIS</w:t>
      </w:r>
    </w:p>
    <w:p w14:paraId="026BB42B" w14:textId="77777777" w:rsidR="003B2206" w:rsidRDefault="003B2206">
      <w:pPr>
        <w:spacing w:before="80"/>
      </w:pPr>
    </w:p>
    <w:p w14:paraId="78EB89C5" w14:textId="77777777" w:rsidR="003B2206" w:rsidRDefault="003B2206">
      <w:pPr>
        <w:pBdr>
          <w:bottom w:val="single" w:sz="6" w:space="1" w:color="A07830"/>
        </w:pBdr>
      </w:pPr>
    </w:p>
    <w:p w14:paraId="7F113497" w14:textId="77777777" w:rsidR="003B2206" w:rsidRDefault="003B220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
        <w:gridCol w:w="3000"/>
        <w:gridCol w:w="240"/>
        <w:gridCol w:w="4080"/>
      </w:tblGrid>
      <w:tr w:rsidR="003B2206" w14:paraId="2A873CD1" w14:textId="77777777" w:rsidTr="00FA5DB9">
        <w:trPr>
          <w:trHeight w:val="1135"/>
        </w:trPr>
        <w:tc>
          <w:tcPr>
            <w:tcW w:w="1800" w:type="dxa"/>
            <w:tcBorders>
              <w:top w:val="single" w:sz="12" w:space="0" w:color="A07830"/>
              <w:left w:val="single" w:sz="4" w:space="0" w:color="A07830"/>
              <w:bottom w:val="single" w:sz="12" w:space="0" w:color="A07830"/>
              <w:right w:val="single" w:sz="4" w:space="0" w:color="A07830"/>
            </w:tcBorders>
            <w:shd w:val="clear" w:color="auto" w:fill="3A7C22" w:themeFill="accent6" w:themeFillShade="BF"/>
            <w:tcMar>
              <w:top w:w="140" w:type="dxa"/>
              <w:left w:w="180" w:type="dxa"/>
              <w:bottom w:w="140" w:type="dxa"/>
              <w:right w:w="180" w:type="dxa"/>
            </w:tcMar>
          </w:tcPr>
          <w:p w14:paraId="724062F0" w14:textId="08057948" w:rsidR="00F13D16" w:rsidRPr="00F13D16" w:rsidRDefault="00ED19CA" w:rsidP="00F13D16">
            <w:pPr>
              <w:spacing w:after="24"/>
              <w:rPr>
                <w:b/>
                <w:bCs/>
                <w:caps/>
                <w:color w:val="C09848"/>
                <w:sz w:val="15"/>
                <w:szCs w:val="15"/>
              </w:rPr>
            </w:pPr>
            <w:r>
              <w:rPr>
                <w:b/>
                <w:bCs/>
                <w:caps/>
                <w:color w:val="C09848"/>
                <w:sz w:val="15"/>
                <w:szCs w:val="15"/>
              </w:rPr>
              <w:t>RATING</w:t>
            </w:r>
          </w:p>
          <w:p w14:paraId="029EBB4A" w14:textId="0D553D18" w:rsidR="003B2206" w:rsidRDefault="00ED19CA" w:rsidP="00F13D16">
            <w:pPr>
              <w:spacing w:after="24"/>
            </w:pPr>
            <w:r>
              <w:rPr>
                <w:b/>
                <w:bCs/>
                <w:color w:val="FFFFFF"/>
                <w:sz w:val="56"/>
                <w:szCs w:val="56"/>
              </w:rPr>
              <w:t>BUY</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E83B9BC" w14:textId="77777777" w:rsidR="003B2206" w:rsidRDefault="003B2206"/>
        </w:tc>
        <w:tc>
          <w:tcPr>
            <w:tcW w:w="3000" w:type="dxa"/>
            <w:tcBorders>
              <w:top w:val="none" w:sz="0" w:space="0" w:color="FFFFFF"/>
              <w:left w:val="none" w:sz="0" w:space="0" w:color="FFFFFF"/>
              <w:bottom w:val="none" w:sz="0" w:space="0" w:color="FFFFFF"/>
              <w:right w:val="none" w:sz="0" w:space="0" w:color="FFFFFF"/>
            </w:tcBorders>
            <w:shd w:val="clear" w:color="auto" w:fill="FFFFFF"/>
            <w:tcMar>
              <w:top w:w="120" w:type="dxa"/>
              <w:left w:w="0" w:type="dxa"/>
              <w:bottom w:w="120" w:type="dxa"/>
              <w:right w:w="0" w:type="dxa"/>
            </w:tcMar>
          </w:tcPr>
          <w:p w14:paraId="3E792F73" w14:textId="0D934F87" w:rsidR="003B2206" w:rsidRDefault="00ED19CA">
            <w:pPr>
              <w:spacing w:after="44"/>
            </w:pPr>
            <w:r>
              <w:rPr>
                <w:b/>
                <w:bCs/>
                <w:color w:val="6B7785"/>
                <w:sz w:val="17"/>
                <w:szCs w:val="17"/>
              </w:rPr>
              <w:t xml:space="preserve">Price Target  </w:t>
            </w:r>
            <w:r>
              <w:rPr>
                <w:b/>
                <w:bCs/>
                <w:sz w:val="24"/>
                <w:szCs w:val="24"/>
              </w:rPr>
              <w:t>$22.29</w:t>
            </w:r>
          </w:p>
          <w:p w14:paraId="4A1E2A90" w14:textId="77777777" w:rsidR="003B2206" w:rsidRDefault="00ED19CA">
            <w:pPr>
              <w:spacing w:after="44"/>
            </w:pPr>
            <w:r>
              <w:rPr>
                <w:b/>
                <w:bCs/>
                <w:color w:val="6B7785"/>
                <w:sz w:val="17"/>
                <w:szCs w:val="17"/>
              </w:rPr>
              <w:t xml:space="preserve">Upside  </w:t>
            </w:r>
            <w:r>
              <w:rPr>
                <w:sz w:val="20"/>
                <w:szCs w:val="20"/>
              </w:rPr>
              <w:t>+30%</w:t>
            </w:r>
          </w:p>
          <w:p w14:paraId="0253C3B6" w14:textId="77777777" w:rsidR="003B2206" w:rsidRDefault="00ED19CA">
            <w:pPr>
              <w:spacing w:after="44"/>
            </w:pPr>
            <w:r>
              <w:rPr>
                <w:b/>
                <w:bCs/>
                <w:color w:val="6B7785"/>
                <w:sz w:val="17"/>
                <w:szCs w:val="17"/>
              </w:rPr>
              <w:t xml:space="preserve">Current Price  </w:t>
            </w:r>
            <w:r>
              <w:rPr>
                <w:sz w:val="20"/>
                <w:szCs w:val="20"/>
              </w:rPr>
              <w:t>$17.17</w:t>
            </w:r>
          </w:p>
          <w:p w14:paraId="6287D815" w14:textId="77777777" w:rsidR="003B2206" w:rsidRDefault="00ED19CA">
            <w:r>
              <w:rPr>
                <w:b/>
                <w:bCs/>
                <w:color w:val="6B7785"/>
                <w:sz w:val="17"/>
                <w:szCs w:val="17"/>
              </w:rPr>
              <w:t xml:space="preserve">Time Horizon  </w:t>
            </w:r>
            <w:r>
              <w:rPr>
                <w:sz w:val="20"/>
                <w:szCs w:val="20"/>
              </w:rPr>
              <w:t>1–3 quarters</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0799BF7" w14:textId="77777777" w:rsidR="003B2206" w:rsidRDefault="003B2206"/>
        </w:tc>
        <w:tc>
          <w:tcPr>
            <w:tcW w:w="4080" w:type="dxa"/>
            <w:tcBorders>
              <w:top w:val="none" w:sz="0" w:space="0" w:color="FFFFFF"/>
              <w:left w:val="single" w:sz="8" w:space="0" w:color="A07830"/>
              <w:bottom w:val="none" w:sz="0" w:space="0" w:color="FFFFFF"/>
              <w:right w:val="none" w:sz="0" w:space="0" w:color="FFFFFF"/>
            </w:tcBorders>
            <w:shd w:val="clear" w:color="auto" w:fill="FFFFFF"/>
            <w:tcMar>
              <w:top w:w="100" w:type="dxa"/>
              <w:left w:w="200" w:type="dxa"/>
              <w:bottom w:w="100" w:type="dxa"/>
              <w:right w:w="0" w:type="dxa"/>
            </w:tcMar>
          </w:tcPr>
          <w:p w14:paraId="2461004A" w14:textId="77777777" w:rsidR="003B2206" w:rsidRDefault="00ED19CA">
            <w:pPr>
              <w:spacing w:after="30"/>
            </w:pPr>
            <w:r>
              <w:rPr>
                <w:b/>
                <w:bCs/>
                <w:caps/>
                <w:color w:val="A07830"/>
                <w:sz w:val="14"/>
                <w:szCs w:val="14"/>
              </w:rPr>
              <w:t>THESIS SUMMARY</w:t>
            </w:r>
          </w:p>
          <w:p w14:paraId="3854DB25" w14:textId="77777777" w:rsidR="003B2206" w:rsidRDefault="00ED19CA">
            <w:r>
              <w:rPr>
                <w:i/>
                <w:iCs/>
                <w:color w:val="6B7785"/>
                <w:sz w:val="17"/>
                <w:szCs w:val="17"/>
              </w:rPr>
              <w:t>The market believes KVUE is dead money until the KMB deal closes — weighed down by chronic volume declines and litigation overhang — because five consecutive quarters of negative volume signal permanent deterioration, not a cyclical blip. KVUE's margin driver is being misread: supply chain automation (60% of capex) and portfolio rationalization are expanding margins from 16.2% (2023) toward 20%+ by 2030.</w:t>
            </w:r>
          </w:p>
          <w:p w14:paraId="2A67E020" w14:textId="77777777" w:rsidR="003B2206" w:rsidRDefault="003B2206">
            <w:pPr>
              <w:spacing w:before="60"/>
            </w:pPr>
          </w:p>
          <w:p w14:paraId="6E0E029D" w14:textId="77777777" w:rsidR="003B2206" w:rsidRDefault="00ED19CA">
            <w:r>
              <w:rPr>
                <w:b/>
                <w:bCs/>
                <w:color w:val="0D1B2A"/>
                <w:sz w:val="17"/>
                <w:szCs w:val="17"/>
              </w:rPr>
              <w:t xml:space="preserve">→  </w:t>
            </w:r>
            <w:r>
              <w:rPr>
                <w:i/>
                <w:iCs/>
                <w:color w:val="6B7785"/>
                <w:sz w:val="17"/>
                <w:szCs w:val="17"/>
              </w:rPr>
              <w:t>Q1 2026 already showed the inflection: 80bps sequential volume improvement, best Skin Health &amp; Beauty quarter since spinoff, and 33% adjusted EPS growth on 4.5% revenue. At ~11x EV/EBITDA vs. 15.3x peer average, the stock offers ~30% upside to a blended $22.29 target, anchored by the KMB acquisition deal at $23.00.</w:t>
            </w:r>
          </w:p>
        </w:tc>
      </w:tr>
    </w:tbl>
    <w:p w14:paraId="2134FA77" w14:textId="77777777" w:rsidR="003B2206" w:rsidRDefault="003B2206">
      <w:pPr>
        <w:spacing w:before="160"/>
      </w:pPr>
    </w:p>
    <w:p w14:paraId="08796739" w14:textId="77777777" w:rsidR="003B2206" w:rsidRDefault="003B2206">
      <w:pPr>
        <w:pBdr>
          <w:bottom w:val="single" w:sz="2" w:space="1" w:color="D0D4D9"/>
        </w:pBdr>
      </w:pPr>
    </w:p>
    <w:p w14:paraId="3479ADD4" w14:textId="77777777" w:rsidR="003B2206" w:rsidRDefault="003B220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206" w14:paraId="2B0D7FF3" w14:textId="77777777">
        <w:tc>
          <w:tcPr>
            <w:tcW w:w="9360" w:type="dxa"/>
            <w:tcBorders>
              <w:top w:val="single" w:sz="2" w:space="0" w:color="D0D4D9"/>
              <w:left w:val="single" w:sz="2" w:space="0" w:color="D0D4D9"/>
              <w:bottom w:val="single" w:sz="2" w:space="0" w:color="D0D4D9"/>
              <w:right w:val="single" w:sz="2" w:space="0" w:color="D0D4D9"/>
            </w:tcBorders>
            <w:shd w:val="clear" w:color="auto" w:fill="F5F6F7"/>
            <w:tcMar>
              <w:top w:w="160" w:type="dxa"/>
              <w:left w:w="220" w:type="dxa"/>
              <w:bottom w:w="160" w:type="dxa"/>
              <w:right w:w="220" w:type="dxa"/>
            </w:tcMar>
          </w:tcPr>
          <w:p w14:paraId="3B0E79BA" w14:textId="77777777" w:rsidR="003B2206" w:rsidRDefault="00ED19CA">
            <w:pPr>
              <w:tabs>
                <w:tab w:val="right" w:pos="8480"/>
              </w:tabs>
              <w:spacing w:after="60"/>
            </w:pPr>
            <w:r>
              <w:rPr>
                <w:b/>
                <w:bCs/>
                <w:caps/>
                <w:color w:val="A07830"/>
                <w:sz w:val="15"/>
                <w:szCs w:val="15"/>
              </w:rPr>
              <w:t>ANALYST</w:t>
            </w:r>
            <w:r>
              <w:tab/>
            </w:r>
            <w:r>
              <w:rPr>
                <w:b/>
                <w:bCs/>
                <w:caps/>
                <w:color w:val="A07830"/>
                <w:sz w:val="15"/>
                <w:szCs w:val="15"/>
              </w:rPr>
              <w:t>REPORT DATE</w:t>
            </w:r>
          </w:p>
          <w:p w14:paraId="3560BB00" w14:textId="403F78CA" w:rsidR="003B2206" w:rsidRDefault="00ED19CA">
            <w:pPr>
              <w:tabs>
                <w:tab w:val="right" w:pos="8480"/>
              </w:tabs>
              <w:spacing w:after="20"/>
            </w:pPr>
            <w:r>
              <w:rPr>
                <w:b/>
                <w:bCs/>
                <w:color w:val="0D1B2A"/>
                <w:sz w:val="20"/>
                <w:szCs w:val="20"/>
              </w:rPr>
              <w:t>Mary Scott  ·  Nexus Research</w:t>
            </w:r>
            <w:r>
              <w:tab/>
            </w:r>
            <w:r>
              <w:rPr>
                <w:color w:val="3D4852"/>
                <w:sz w:val="20"/>
                <w:szCs w:val="20"/>
              </w:rPr>
              <w:t>May 11, 2026</w:t>
            </w:r>
          </w:p>
          <w:p w14:paraId="5AF2AE17" w14:textId="77777777" w:rsidR="003B2206" w:rsidRDefault="00ED19CA">
            <w:r>
              <w:rPr>
                <w:color w:val="6B7785"/>
                <w:sz w:val="16"/>
                <w:szCs w:val="16"/>
              </w:rPr>
              <w:t>marygzscott8600@gmail.com  ·  raptor8600.github.io/Portfolio-Site  ·  linkedin.com/in/mary-g-scott/</w:t>
            </w:r>
          </w:p>
        </w:tc>
      </w:tr>
    </w:tbl>
    <w:p w14:paraId="3FF24DB7" w14:textId="77777777" w:rsidR="003B2206" w:rsidRDefault="003B2206">
      <w:pPr>
        <w:spacing w:before="280"/>
      </w:pPr>
    </w:p>
    <w:p w14:paraId="7E63361E" w14:textId="77777777" w:rsidR="00ED19CA" w:rsidRDefault="00ED19CA">
      <w:pPr>
        <w:pBdr>
          <w:top w:val="single" w:sz="2" w:space="8" w:color="D0D4D9"/>
        </w:pBdr>
        <w:spacing w:before="600"/>
        <w:jc w:val="center"/>
      </w:pPr>
      <w:r>
        <w:rPr>
          <w:i/>
          <w:iCs/>
          <w:color w:val="6B7785"/>
          <w:sz w:val="15"/>
          <w:szCs w:val="15"/>
        </w:rPr>
        <w:t>Nexus Research produces independent equity analysis applying a systematic, driver-based framework to identify variant views and mispriced risk.</w:t>
      </w:r>
    </w:p>
    <w:p w14:paraId="4D9C4769" w14:textId="77777777" w:rsidR="003B2206" w:rsidRDefault="00ED19CA">
      <w:r>
        <w:rPr>
          <w:i/>
          <w:iCs/>
          <w:color w:val="6B7785"/>
          <w:sz w:val="15"/>
          <w:szCs w:val="15"/>
        </w:rPr>
        <w:t>All views are personal and for educational purposes only. Mary Scott is not a financial advisor. Nothing in this document constitutes investment advice.  ·  Report date: May 11, 2026</w:t>
      </w:r>
    </w:p>
    <w:p w14:paraId="7F6C707D" w14:textId="77777777" w:rsidR="003B2206" w:rsidRDefault="00ED19CA">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996442" w14:paraId="60CA9A5B"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47BF4898" w14:textId="77777777" w:rsidR="00ED19CA" w:rsidRDefault="00ED19CA">
            <w:r>
              <w:rPr>
                <w:b/>
                <w:bCs/>
                <w:color w:val="C09848"/>
                <w:sz w:val="18"/>
                <w:szCs w:val="18"/>
              </w:rPr>
              <w:lastRenderedPageBreak/>
              <w:t>Nexus Research</w:t>
            </w:r>
            <w:r>
              <w:rPr>
                <w:b/>
                <w:bCs/>
                <w:caps/>
                <w:color w:val="FFFFFF"/>
                <w:sz w:val="18"/>
                <w:szCs w:val="18"/>
              </w:rPr>
              <w:t xml:space="preserve">  ·  DIRECTIONAL THESIS</w:t>
            </w:r>
          </w:p>
          <w:p w14:paraId="505CDFD0" w14:textId="4BA593CF" w:rsidR="00ED19CA" w:rsidRDefault="00AD79FD">
            <w:pPr>
              <w:spacing w:before="30"/>
            </w:pPr>
            <w:r>
              <w:rPr>
                <w:b/>
                <w:bCs/>
                <w:color w:val="FFFFFF"/>
                <w:sz w:val="22"/>
                <w:szCs w:val="22"/>
              </w:rPr>
              <w:t>Kenvue Inc.</w:t>
            </w:r>
            <w:r>
              <w:rPr>
                <w:color w:val="6B7785"/>
                <w:sz w:val="16"/>
                <w:szCs w:val="16"/>
              </w:rPr>
              <w:t xml:space="preserve">   KVUE  ·  Consumer Defensive  ·  NYSE</w:t>
            </w:r>
          </w:p>
        </w:tc>
      </w:tr>
    </w:tbl>
    <w:p w14:paraId="4D47567B" w14:textId="77777777" w:rsidR="00ED19CA" w:rsidRDefault="00ED19CA">
      <w:pPr>
        <w:spacing w:before="320"/>
      </w:pPr>
    </w:p>
    <w:p w14:paraId="2A781607" w14:textId="77777777" w:rsidR="00ED19CA" w:rsidRDefault="00ED19CA">
      <w:pPr>
        <w:pBdr>
          <w:bottom w:val="single" w:sz="12" w:space="6" w:color="A07830"/>
        </w:pBdr>
        <w:spacing w:after="80"/>
      </w:pPr>
      <w:r>
        <w:rPr>
          <w:b/>
          <w:bCs/>
          <w:caps/>
          <w:color w:val="0D1B2A"/>
          <w:sz w:val="20"/>
          <w:szCs w:val="20"/>
        </w:rPr>
        <w:t>CONTENTS</w:t>
      </w:r>
    </w:p>
    <w:p w14:paraId="2A9A1C46" w14:textId="77777777" w:rsidR="00ED19CA" w:rsidRDefault="00ED19CA">
      <w:pPr>
        <w:spacing w:before="80"/>
      </w:pPr>
    </w:p>
    <w:p w14:paraId="725D821E" w14:textId="77777777" w:rsidR="00ED19CA" w:rsidRDefault="00ED19CA">
      <w:pPr>
        <w:tabs>
          <w:tab w:val="right" w:pos="9360"/>
        </w:tabs>
        <w:spacing w:before="40" w:after="40"/>
      </w:pPr>
      <w:r>
        <w:rPr>
          <w:b/>
          <w:bCs/>
          <w:color w:val="A07830"/>
          <w:sz w:val="17"/>
          <w:szCs w:val="17"/>
        </w:rPr>
        <w:t xml:space="preserve">01  </w:t>
      </w:r>
      <w:r>
        <w:rPr>
          <w:color w:val="3D4852"/>
          <w:sz w:val="17"/>
          <w:szCs w:val="17"/>
        </w:rPr>
        <w:t>Investment Thesis</w:t>
      </w:r>
      <w:r>
        <w:tab/>
      </w:r>
      <w:r>
        <w:rPr>
          <w:color w:val="6B7785"/>
          <w:sz w:val="17"/>
          <w:szCs w:val="17"/>
        </w:rPr>
        <w:t>2</w:t>
      </w:r>
    </w:p>
    <w:p w14:paraId="786B8469" w14:textId="77777777" w:rsidR="00ED19CA" w:rsidRDefault="00ED19CA">
      <w:pPr>
        <w:tabs>
          <w:tab w:val="right" w:pos="9360"/>
        </w:tabs>
        <w:spacing w:before="40" w:after="40"/>
      </w:pPr>
      <w:r>
        <w:rPr>
          <w:b/>
          <w:bCs/>
          <w:color w:val="A07830"/>
          <w:sz w:val="17"/>
          <w:szCs w:val="17"/>
        </w:rPr>
        <w:t xml:space="preserve">02  </w:t>
      </w:r>
      <w:r>
        <w:rPr>
          <w:color w:val="3D4852"/>
          <w:sz w:val="17"/>
          <w:szCs w:val="17"/>
        </w:rPr>
        <w:t>Key Investment Drivers</w:t>
      </w:r>
      <w:r>
        <w:tab/>
      </w:r>
      <w:r>
        <w:rPr>
          <w:color w:val="6B7785"/>
          <w:sz w:val="17"/>
          <w:szCs w:val="17"/>
        </w:rPr>
        <w:t>2</w:t>
      </w:r>
    </w:p>
    <w:p w14:paraId="54B0F834" w14:textId="77777777" w:rsidR="00ED19CA" w:rsidRDefault="00ED19CA">
      <w:pPr>
        <w:tabs>
          <w:tab w:val="right" w:pos="9360"/>
        </w:tabs>
        <w:spacing w:before="40" w:after="40"/>
      </w:pPr>
      <w:r>
        <w:rPr>
          <w:b/>
          <w:bCs/>
          <w:color w:val="A07830"/>
          <w:sz w:val="17"/>
          <w:szCs w:val="17"/>
        </w:rPr>
        <w:t xml:space="preserve">03  </w:t>
      </w:r>
      <w:r>
        <w:rPr>
          <w:color w:val="3D4852"/>
          <w:sz w:val="17"/>
          <w:szCs w:val="17"/>
        </w:rPr>
        <w:t>Variant View — The Edge</w:t>
      </w:r>
      <w:r>
        <w:tab/>
      </w:r>
      <w:r>
        <w:rPr>
          <w:color w:val="6B7785"/>
          <w:sz w:val="17"/>
          <w:szCs w:val="17"/>
        </w:rPr>
        <w:t>3</w:t>
      </w:r>
    </w:p>
    <w:p w14:paraId="2BB64BC8" w14:textId="77777777" w:rsidR="00ED19CA" w:rsidRDefault="00ED19CA">
      <w:pPr>
        <w:tabs>
          <w:tab w:val="right" w:pos="9360"/>
        </w:tabs>
        <w:spacing w:before="40" w:after="40"/>
      </w:pPr>
      <w:r>
        <w:rPr>
          <w:b/>
          <w:bCs/>
          <w:color w:val="A07830"/>
          <w:sz w:val="17"/>
          <w:szCs w:val="17"/>
        </w:rPr>
        <w:t xml:space="preserve">04  </w:t>
      </w:r>
      <w:r>
        <w:rPr>
          <w:color w:val="3D4852"/>
          <w:sz w:val="17"/>
          <w:szCs w:val="17"/>
        </w:rPr>
        <w:t>Catalyst &amp; Timing</w:t>
      </w:r>
      <w:r>
        <w:tab/>
      </w:r>
      <w:r>
        <w:rPr>
          <w:color w:val="6B7785"/>
          <w:sz w:val="17"/>
          <w:szCs w:val="17"/>
        </w:rPr>
        <w:t>3</w:t>
      </w:r>
    </w:p>
    <w:p w14:paraId="55E3D601" w14:textId="77777777" w:rsidR="00ED19CA" w:rsidRDefault="00ED19CA">
      <w:pPr>
        <w:tabs>
          <w:tab w:val="right" w:pos="9360"/>
        </w:tabs>
        <w:spacing w:before="40" w:after="40"/>
      </w:pPr>
      <w:r>
        <w:rPr>
          <w:b/>
          <w:bCs/>
          <w:color w:val="A07830"/>
          <w:sz w:val="17"/>
          <w:szCs w:val="17"/>
        </w:rPr>
        <w:t xml:space="preserve">05  </w:t>
      </w:r>
      <w:r>
        <w:rPr>
          <w:color w:val="3D4852"/>
          <w:sz w:val="17"/>
          <w:szCs w:val="17"/>
        </w:rPr>
        <w:t>Scenario Analysis</w:t>
      </w:r>
      <w:r>
        <w:tab/>
      </w:r>
      <w:r>
        <w:rPr>
          <w:color w:val="6B7785"/>
          <w:sz w:val="17"/>
          <w:szCs w:val="17"/>
        </w:rPr>
        <w:t>3</w:t>
      </w:r>
    </w:p>
    <w:p w14:paraId="77EEB304" w14:textId="77777777" w:rsidR="00ED19CA" w:rsidRDefault="00ED19CA">
      <w:pPr>
        <w:tabs>
          <w:tab w:val="right" w:pos="9360"/>
        </w:tabs>
        <w:spacing w:before="40" w:after="40"/>
      </w:pPr>
      <w:r>
        <w:rPr>
          <w:b/>
          <w:bCs/>
          <w:color w:val="A07830"/>
          <w:sz w:val="17"/>
          <w:szCs w:val="17"/>
        </w:rPr>
        <w:t xml:space="preserve">06  </w:t>
      </w:r>
      <w:r>
        <w:rPr>
          <w:color w:val="3D4852"/>
          <w:sz w:val="17"/>
          <w:szCs w:val="17"/>
        </w:rPr>
        <w:t>Risks &amp; Falsification</w:t>
      </w:r>
      <w:r>
        <w:tab/>
      </w:r>
      <w:r>
        <w:rPr>
          <w:color w:val="6B7785"/>
          <w:sz w:val="17"/>
          <w:szCs w:val="17"/>
        </w:rPr>
        <w:t>4</w:t>
      </w:r>
    </w:p>
    <w:p w14:paraId="457230A8" w14:textId="77777777" w:rsidR="00ED19CA" w:rsidRDefault="00ED19CA">
      <w:pPr>
        <w:tabs>
          <w:tab w:val="right" w:pos="9360"/>
        </w:tabs>
        <w:spacing w:before="40" w:after="40"/>
      </w:pPr>
      <w:r>
        <w:rPr>
          <w:b/>
          <w:bCs/>
          <w:color w:val="A07830"/>
          <w:sz w:val="17"/>
          <w:szCs w:val="17"/>
        </w:rPr>
        <w:t xml:space="preserve">07  </w:t>
      </w:r>
      <w:r>
        <w:rPr>
          <w:color w:val="3D4852"/>
          <w:sz w:val="17"/>
          <w:szCs w:val="17"/>
        </w:rPr>
        <w:t>Valuation Reference</w:t>
      </w:r>
      <w:r>
        <w:tab/>
      </w:r>
      <w:r>
        <w:rPr>
          <w:color w:val="6B7785"/>
          <w:sz w:val="17"/>
          <w:szCs w:val="17"/>
        </w:rPr>
        <w:t>4</w:t>
      </w:r>
    </w:p>
    <w:p w14:paraId="62DE2798" w14:textId="77777777" w:rsidR="00ED19CA" w:rsidRDefault="00ED19CA">
      <w:pPr>
        <w:spacing w:before="320"/>
      </w:pPr>
    </w:p>
    <w:p w14:paraId="442D46ED" w14:textId="77777777" w:rsidR="00ED19CA" w:rsidRDefault="00ED19CA">
      <w:pPr>
        <w:pBdr>
          <w:bottom w:val="single" w:sz="2" w:space="1" w:color="D0D4D9"/>
        </w:pBdr>
      </w:pPr>
    </w:p>
    <w:p w14:paraId="1E5B9C56" w14:textId="77777777" w:rsidR="00ED19CA" w:rsidRDefault="00ED19CA">
      <w:pPr>
        <w:spacing w:before="200" w:after="80"/>
      </w:pPr>
      <w:r>
        <w:rPr>
          <w:b/>
          <w:bCs/>
          <w:caps/>
          <w:color w:val="6B7785"/>
          <w:sz w:val="17"/>
          <w:szCs w:val="17"/>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996442" w14:paraId="44067380" w14:textId="77777777">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2D8A61C5" w14:textId="77777777" w:rsidR="00ED19CA" w:rsidRDefault="00ED19CA">
            <w:pPr>
              <w:jc w:val="center"/>
            </w:pPr>
            <w:r>
              <w:rPr>
                <w:b/>
                <w:bCs/>
                <w:color w:val="FFFFFF"/>
                <w:sz w:val="15"/>
                <w:szCs w:val="15"/>
              </w:rPr>
              <w:t>Rating</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4C512827" w14:textId="77777777" w:rsidR="00ED19CA" w:rsidRDefault="00ED19CA">
            <w:pPr>
              <w:jc w:val="center"/>
            </w:pPr>
            <w:r>
              <w:rPr>
                <w:b/>
                <w:bCs/>
                <w:color w:val="FFFFFF"/>
                <w:sz w:val="15"/>
                <w:szCs w:val="15"/>
              </w:rPr>
              <w:t>Current Price</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7B387FA3" w14:textId="77777777" w:rsidR="00ED19CA" w:rsidRDefault="00ED19CA">
            <w:pPr>
              <w:jc w:val="center"/>
            </w:pPr>
            <w:r>
              <w:rPr>
                <w:b/>
                <w:bCs/>
                <w:color w:val="FFFFFF"/>
                <w:sz w:val="15"/>
                <w:szCs w:val="15"/>
              </w:rPr>
              <w:t>Price Target</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50C1334C" w14:textId="77777777" w:rsidR="00ED19CA" w:rsidRDefault="00ED19CA">
            <w:pPr>
              <w:jc w:val="center"/>
            </w:pPr>
            <w:r>
              <w:rPr>
                <w:b/>
                <w:bCs/>
                <w:color w:val="FFFFFF"/>
                <w:sz w:val="15"/>
                <w:szCs w:val="15"/>
              </w:rPr>
              <w:t>Upside</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15CDD595" w14:textId="77777777" w:rsidR="00ED19CA" w:rsidRDefault="00ED19CA">
            <w:pPr>
              <w:jc w:val="center"/>
            </w:pPr>
            <w:r>
              <w:rPr>
                <w:b/>
                <w:bCs/>
                <w:color w:val="FFFFFF"/>
                <w:sz w:val="15"/>
                <w:szCs w:val="15"/>
              </w:rPr>
              <w:t>EV/EBITDA (NTM)</w:t>
            </w:r>
          </w:p>
        </w:tc>
        <w:tc>
          <w:tcPr>
            <w:tcW w:w="1560" w:type="dxa"/>
            <w:tcBorders>
              <w:top w:val="single" w:sz="6" w:space="0" w:color="A07830"/>
              <w:left w:val="single" w:sz="2" w:space="0" w:color="444444"/>
              <w:bottom w:val="single" w:sz="2" w:space="0" w:color="A07830"/>
              <w:right w:val="single" w:sz="2" w:space="0" w:color="444444"/>
            </w:tcBorders>
            <w:shd w:val="clear" w:color="auto" w:fill="0D1B2A"/>
            <w:tcMar>
              <w:top w:w="100" w:type="dxa"/>
              <w:left w:w="80" w:type="dxa"/>
              <w:bottom w:w="100" w:type="dxa"/>
              <w:right w:w="80" w:type="dxa"/>
            </w:tcMar>
          </w:tcPr>
          <w:p w14:paraId="241CE58E" w14:textId="77777777" w:rsidR="00ED19CA" w:rsidRDefault="00ED19CA">
            <w:pPr>
              <w:jc w:val="center"/>
            </w:pPr>
            <w:r>
              <w:rPr>
                <w:b/>
                <w:bCs/>
                <w:color w:val="FFFFFF"/>
                <w:sz w:val="15"/>
                <w:szCs w:val="15"/>
              </w:rPr>
              <w:t>Time Horizon</w:t>
            </w:r>
          </w:p>
        </w:tc>
      </w:tr>
      <w:tr w:rsidR="00996442" w14:paraId="44C8A04C" w14:textId="77777777">
        <w:tc>
          <w:tcPr>
            <w:tcW w:w="156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80" w:type="dxa"/>
              <w:bottom w:w="120" w:type="dxa"/>
              <w:right w:w="80" w:type="dxa"/>
            </w:tcMar>
          </w:tcPr>
          <w:p w14:paraId="1CD08ABF" w14:textId="2576F232" w:rsidR="00ED19CA" w:rsidRDefault="00ED19CA">
            <w:pPr>
              <w:jc w:val="center"/>
            </w:pPr>
            <w:r>
              <w:rPr>
                <w:b/>
                <w:bCs/>
                <w:color w:val="3A7C22" w:themeColor="accent6" w:themeShade="BF"/>
                <w:sz w:val="24"/>
                <w:szCs w:val="24"/>
              </w:rPr>
              <w:t>BUY</w:t>
            </w:r>
          </w:p>
        </w:tc>
        <w:tc>
          <w:tcPr>
            <w:tcW w:w="1560" w:type="dxa"/>
            <w:tcBorders>
              <w:top w:val="single" w:sz="2" w:space="0" w:color="D0D4D9"/>
              <w:left w:val="single" w:sz="2" w:space="0" w:color="D0D4D9"/>
              <w:bottom w:val="single" w:sz="2" w:space="0" w:color="D0D4D9"/>
              <w:right w:val="single" w:sz="2" w:space="0" w:color="D0D4D9"/>
            </w:tcBorders>
            <w:shd w:val="clear" w:color="auto" w:fill="F6F7F8"/>
            <w:tcMar>
              <w:top w:w="120" w:type="dxa"/>
              <w:left w:w="80" w:type="dxa"/>
              <w:bottom w:w="120" w:type="dxa"/>
              <w:right w:w="80" w:type="dxa"/>
            </w:tcMar>
          </w:tcPr>
          <w:p w14:paraId="423A1617" w14:textId="77777777" w:rsidR="00ED19CA" w:rsidRDefault="00ED19CA">
            <w:pPr>
              <w:jc w:val="center"/>
            </w:pPr>
            <w:r>
              <w:rPr>
                <w:b/>
                <w:bCs/>
                <w:color w:val="0D1B2A"/>
                <w:sz w:val="24"/>
                <w:szCs w:val="24"/>
              </w:rPr>
              <w:t>$17.17</w:t>
            </w:r>
          </w:p>
        </w:tc>
        <w:tc>
          <w:tcPr>
            <w:tcW w:w="156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80" w:type="dxa"/>
              <w:bottom w:w="120" w:type="dxa"/>
              <w:right w:w="80" w:type="dxa"/>
            </w:tcMar>
          </w:tcPr>
          <w:p w14:paraId="4879AB5D" w14:textId="31A2DCF3" w:rsidR="00ED19CA" w:rsidRDefault="00ED19CA">
            <w:pPr>
              <w:jc w:val="center"/>
            </w:pPr>
            <w:r>
              <w:rPr>
                <w:b/>
                <w:bCs/>
                <w:color w:val="0D1B2A"/>
                <w:sz w:val="24"/>
                <w:szCs w:val="24"/>
              </w:rPr>
              <w:t>$22.29</w:t>
            </w:r>
          </w:p>
        </w:tc>
        <w:tc>
          <w:tcPr>
            <w:tcW w:w="1560" w:type="dxa"/>
            <w:tcBorders>
              <w:top w:val="single" w:sz="2" w:space="0" w:color="D0D4D9"/>
              <w:left w:val="single" w:sz="2" w:space="0" w:color="D0D4D9"/>
              <w:bottom w:val="single" w:sz="2" w:space="0" w:color="D0D4D9"/>
              <w:right w:val="single" w:sz="2" w:space="0" w:color="D0D4D9"/>
            </w:tcBorders>
            <w:shd w:val="clear" w:color="auto" w:fill="F6F7F8"/>
            <w:tcMar>
              <w:top w:w="120" w:type="dxa"/>
              <w:left w:w="80" w:type="dxa"/>
              <w:bottom w:w="120" w:type="dxa"/>
              <w:right w:w="80" w:type="dxa"/>
            </w:tcMar>
          </w:tcPr>
          <w:p w14:paraId="273706B7" w14:textId="77777777" w:rsidR="00ED19CA" w:rsidRDefault="00ED19CA">
            <w:pPr>
              <w:jc w:val="center"/>
            </w:pPr>
            <w:r>
              <w:rPr>
                <w:b/>
                <w:bCs/>
                <w:color w:val="0D1B2A"/>
                <w:sz w:val="24"/>
                <w:szCs w:val="24"/>
              </w:rPr>
              <w:t>+30%</w:t>
            </w:r>
          </w:p>
        </w:tc>
        <w:tc>
          <w:tcPr>
            <w:tcW w:w="156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80" w:type="dxa"/>
              <w:bottom w:w="120" w:type="dxa"/>
              <w:right w:w="80" w:type="dxa"/>
            </w:tcMar>
          </w:tcPr>
          <w:p w14:paraId="4EA1A9D5" w14:textId="77777777" w:rsidR="00ED19CA" w:rsidRDefault="00ED19CA">
            <w:pPr>
              <w:jc w:val="center"/>
            </w:pPr>
            <w:r>
              <w:rPr>
                <w:b/>
                <w:bCs/>
                <w:color w:val="0D1B2A"/>
                <w:sz w:val="24"/>
                <w:szCs w:val="24"/>
              </w:rPr>
              <w:t>10.6x</w:t>
            </w:r>
          </w:p>
        </w:tc>
        <w:tc>
          <w:tcPr>
            <w:tcW w:w="1560" w:type="dxa"/>
            <w:tcBorders>
              <w:top w:val="single" w:sz="2" w:space="0" w:color="D0D4D9"/>
              <w:left w:val="single" w:sz="2" w:space="0" w:color="D0D4D9"/>
              <w:bottom w:val="single" w:sz="2" w:space="0" w:color="D0D4D9"/>
              <w:right w:val="single" w:sz="2" w:space="0" w:color="D0D4D9"/>
            </w:tcBorders>
            <w:shd w:val="clear" w:color="auto" w:fill="F6F7F8"/>
            <w:tcMar>
              <w:top w:w="120" w:type="dxa"/>
              <w:left w:w="80" w:type="dxa"/>
              <w:bottom w:w="120" w:type="dxa"/>
              <w:right w:w="80" w:type="dxa"/>
            </w:tcMar>
          </w:tcPr>
          <w:p w14:paraId="6240B5DF" w14:textId="77777777" w:rsidR="00ED19CA" w:rsidRDefault="00ED19CA">
            <w:pPr>
              <w:jc w:val="center"/>
            </w:pPr>
            <w:r>
              <w:rPr>
                <w:b/>
                <w:bCs/>
                <w:color w:val="0D1B2A"/>
                <w:sz w:val="24"/>
                <w:szCs w:val="24"/>
              </w:rPr>
              <w:t>1–3 quarters</w:t>
            </w:r>
          </w:p>
        </w:tc>
      </w:tr>
    </w:tbl>
    <w:p w14:paraId="21C1B990" w14:textId="77777777" w:rsidR="00ED19CA" w:rsidRDefault="00ED19CA">
      <w:pPr>
        <w:spacing w:before="240"/>
      </w:pPr>
    </w:p>
    <w:p w14:paraId="39435B4F" w14:textId="77777777" w:rsidR="00ED19CA" w:rsidRDefault="00ED19CA">
      <w:pPr>
        <w:spacing w:before="200"/>
        <w:jc w:val="center"/>
      </w:pPr>
      <w:r>
        <w:rPr>
          <w:i/>
          <w:iCs/>
          <w:color w:val="6B7785"/>
          <w:sz w:val="15"/>
          <w:szCs w:val="15"/>
        </w:rPr>
        <w:t>All views are personal and for educational purposes only. Mary Scott is not a financial advisor. Nothing in this document constitutes investment advice.</w:t>
      </w:r>
    </w:p>
    <w:p w14:paraId="6B54901A" w14:textId="77777777" w:rsidR="00ED19CA" w:rsidRDefault="00ED19CA">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206" w14:paraId="697BBA70"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160" w:type="dxa"/>
              <w:left w:w="240" w:type="dxa"/>
              <w:bottom w:w="160" w:type="dxa"/>
              <w:right w:w="240" w:type="dxa"/>
            </w:tcMar>
          </w:tcPr>
          <w:p w14:paraId="7E247A72" w14:textId="77777777" w:rsidR="003B2206" w:rsidRDefault="00ED19CA">
            <w:r>
              <w:rPr>
                <w:b/>
                <w:bCs/>
                <w:color w:val="C09848"/>
                <w:sz w:val="18"/>
                <w:szCs w:val="18"/>
              </w:rPr>
              <w:t>Nexus Research</w:t>
            </w:r>
            <w:r>
              <w:rPr>
                <w:b/>
                <w:bCs/>
                <w:caps/>
                <w:color w:val="FFFFFF"/>
                <w:sz w:val="18"/>
                <w:szCs w:val="18"/>
              </w:rPr>
              <w:t xml:space="preserve">  ·  DIRECTIONAL THESIS</w:t>
            </w:r>
          </w:p>
          <w:p w14:paraId="587A5E2D" w14:textId="440C7DB9" w:rsidR="003B2206" w:rsidRDefault="00AD79FD">
            <w:pPr>
              <w:spacing w:before="30"/>
            </w:pPr>
            <w:r>
              <w:rPr>
                <w:b/>
                <w:bCs/>
                <w:color w:val="FFFFFF"/>
                <w:sz w:val="22"/>
                <w:szCs w:val="22"/>
              </w:rPr>
              <w:t>Kenvue Inc.</w:t>
            </w:r>
            <w:r>
              <w:rPr>
                <w:color w:val="6B7785"/>
                <w:sz w:val="16"/>
                <w:szCs w:val="16"/>
              </w:rPr>
              <w:t xml:space="preserve">   KVUE  ·  Consumer Defensive  ·  NYSE</w:t>
            </w:r>
          </w:p>
        </w:tc>
      </w:tr>
    </w:tbl>
    <w:p w14:paraId="4AAC4F93" w14:textId="77777777" w:rsidR="003B2206" w:rsidRDefault="003B220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1800"/>
        <w:gridCol w:w="1320"/>
        <w:gridCol w:w="1740"/>
        <w:gridCol w:w="1600"/>
      </w:tblGrid>
      <w:tr w:rsidR="003B2206" w14:paraId="3882BAD4" w14:textId="77777777">
        <w:tc>
          <w:tcPr>
            <w:tcW w:w="110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4F75A207" w14:textId="77777777" w:rsidR="003B2206" w:rsidRDefault="00ED19CA">
            <w:pPr>
              <w:spacing w:after="20"/>
            </w:pPr>
            <w:r>
              <w:rPr>
                <w:b/>
                <w:bCs/>
                <w:caps/>
                <w:color w:val="C09848"/>
                <w:sz w:val="15"/>
                <w:szCs w:val="15"/>
              </w:rPr>
              <w:t>RATING</w:t>
            </w:r>
          </w:p>
          <w:p w14:paraId="6ED5C866" w14:textId="534750E6" w:rsidR="003B2206" w:rsidRDefault="00ED19CA">
            <w:r>
              <w:rPr>
                <w:b/>
                <w:bCs/>
                <w:color w:val="3A7C22" w:themeColor="accent6" w:themeShade="BF"/>
                <w:sz w:val="24"/>
                <w:szCs w:val="24"/>
              </w:rPr>
              <w:t>BUY</w:t>
            </w:r>
          </w:p>
        </w:tc>
        <w:tc>
          <w:tcPr>
            <w:tcW w:w="180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1A75D370" w14:textId="77777777" w:rsidR="003B2206" w:rsidRDefault="00ED19CA">
            <w:pPr>
              <w:spacing w:after="20"/>
            </w:pPr>
            <w:r>
              <w:rPr>
                <w:b/>
                <w:bCs/>
                <w:caps/>
                <w:color w:val="C09848"/>
                <w:sz w:val="15"/>
                <w:szCs w:val="15"/>
              </w:rPr>
              <w:t>Price Target</w:t>
            </w:r>
          </w:p>
          <w:p w14:paraId="353D3632" w14:textId="20EDD6A0" w:rsidR="003B2206" w:rsidRDefault="00ED19CA">
            <w:r>
              <w:rPr>
                <w:b/>
                <w:bCs/>
                <w:color w:val="FFFFFF"/>
                <w:sz w:val="24"/>
                <w:szCs w:val="24"/>
              </w:rPr>
              <w:t>$22.29</w:t>
            </w:r>
          </w:p>
        </w:tc>
        <w:tc>
          <w:tcPr>
            <w:tcW w:w="180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0854F316" w14:textId="77777777" w:rsidR="003B2206" w:rsidRDefault="00ED19CA">
            <w:pPr>
              <w:spacing w:after="20"/>
            </w:pPr>
            <w:r>
              <w:rPr>
                <w:b/>
                <w:bCs/>
                <w:caps/>
                <w:color w:val="C09848"/>
                <w:sz w:val="15"/>
                <w:szCs w:val="15"/>
              </w:rPr>
              <w:t>Current Price</w:t>
            </w:r>
          </w:p>
          <w:p w14:paraId="3DFE3B14" w14:textId="77777777" w:rsidR="003B2206" w:rsidRDefault="00ED19CA">
            <w:r>
              <w:rPr>
                <w:b/>
                <w:bCs/>
                <w:color w:val="FFFFFF"/>
                <w:sz w:val="24"/>
                <w:szCs w:val="24"/>
              </w:rPr>
              <w:t>$17.17</w:t>
            </w:r>
          </w:p>
        </w:tc>
        <w:tc>
          <w:tcPr>
            <w:tcW w:w="132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5D2D4EEC" w14:textId="77777777" w:rsidR="003B2206" w:rsidRDefault="00ED19CA">
            <w:pPr>
              <w:spacing w:after="20"/>
            </w:pPr>
            <w:r>
              <w:rPr>
                <w:b/>
                <w:bCs/>
                <w:caps/>
                <w:color w:val="C09848"/>
                <w:sz w:val="15"/>
                <w:szCs w:val="15"/>
              </w:rPr>
              <w:t>Upside</w:t>
            </w:r>
          </w:p>
          <w:p w14:paraId="2E3999B7" w14:textId="77777777" w:rsidR="003B2206" w:rsidRDefault="00ED19CA">
            <w:r>
              <w:rPr>
                <w:b/>
                <w:bCs/>
                <w:color w:val="FFFFFF"/>
                <w:sz w:val="24"/>
                <w:szCs w:val="24"/>
              </w:rPr>
              <w:t>+30%</w:t>
            </w:r>
          </w:p>
        </w:tc>
        <w:tc>
          <w:tcPr>
            <w:tcW w:w="174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72CABD1F" w14:textId="77777777" w:rsidR="003B2206" w:rsidRDefault="00ED19CA">
            <w:pPr>
              <w:spacing w:after="20"/>
            </w:pPr>
            <w:r>
              <w:rPr>
                <w:b/>
                <w:bCs/>
                <w:caps/>
                <w:color w:val="C09848"/>
                <w:sz w:val="15"/>
                <w:szCs w:val="15"/>
              </w:rPr>
              <w:t>Time Horizon</w:t>
            </w:r>
          </w:p>
          <w:p w14:paraId="66C63E94" w14:textId="77777777" w:rsidR="003B2206" w:rsidRDefault="00ED19CA">
            <w:r>
              <w:rPr>
                <w:b/>
                <w:bCs/>
                <w:color w:val="FFFFFF"/>
                <w:sz w:val="24"/>
                <w:szCs w:val="24"/>
              </w:rPr>
              <w:t>1–3 quarters</w:t>
            </w:r>
          </w:p>
        </w:tc>
        <w:tc>
          <w:tcPr>
            <w:tcW w:w="1600" w:type="dxa"/>
            <w:tcBorders>
              <w:top w:val="none" w:sz="0" w:space="0" w:color="FFFFFF"/>
              <w:left w:val="single" w:sz="3" w:space="0" w:color="A07830"/>
              <w:bottom w:val="none" w:sz="0" w:space="0" w:color="FFFFFF"/>
              <w:right w:val="single" w:sz="3" w:space="0" w:color="A07830"/>
            </w:tcBorders>
            <w:shd w:val="clear" w:color="auto" w:fill="0D1B2A"/>
            <w:tcMar>
              <w:top w:w="140" w:type="dxa"/>
              <w:left w:w="180" w:type="dxa"/>
              <w:bottom w:w="140" w:type="dxa"/>
              <w:right w:w="180" w:type="dxa"/>
            </w:tcMar>
          </w:tcPr>
          <w:p w14:paraId="5E5B9865" w14:textId="77777777" w:rsidR="003B2206" w:rsidRDefault="00ED19CA">
            <w:pPr>
              <w:spacing w:after="20"/>
            </w:pPr>
            <w:r>
              <w:rPr>
                <w:b/>
                <w:bCs/>
                <w:caps/>
                <w:color w:val="C09848"/>
                <w:sz w:val="15"/>
                <w:szCs w:val="15"/>
              </w:rPr>
              <w:t>Conviction</w:t>
            </w:r>
          </w:p>
          <w:p w14:paraId="7AF2325B" w14:textId="77777777" w:rsidR="003B2206" w:rsidRDefault="00ED19CA">
            <w:r>
              <w:rPr>
                <w:b/>
                <w:bCs/>
                <w:color w:val="FFFFFF"/>
                <w:sz w:val="24"/>
                <w:szCs w:val="24"/>
              </w:rPr>
              <w:t>High</w:t>
            </w:r>
          </w:p>
        </w:tc>
      </w:tr>
    </w:tbl>
    <w:p w14:paraId="0A4634E8" w14:textId="77777777" w:rsidR="003B2206" w:rsidRDefault="003B2206">
      <w:pPr>
        <w:spacing w:before="220"/>
      </w:pPr>
    </w:p>
    <w:p w14:paraId="42684C3F" w14:textId="77777777" w:rsidR="003B2206" w:rsidRDefault="00ED19CA">
      <w:pPr>
        <w:pBdr>
          <w:bottom w:val="single" w:sz="12" w:space="6" w:color="A07830"/>
        </w:pBdr>
        <w:spacing w:before="280" w:after="100"/>
      </w:pPr>
      <w:r>
        <w:rPr>
          <w:b/>
          <w:bCs/>
          <w:caps/>
          <w:color w:val="0D1B2A"/>
          <w:sz w:val="20"/>
          <w:szCs w:val="20"/>
        </w:rPr>
        <w:t>01  ·  Investment 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206" w14:paraId="01A420B4" w14:textId="77777777">
        <w:tc>
          <w:tcPr>
            <w:tcW w:w="9360" w:type="dxa"/>
            <w:tcBorders>
              <w:top w:val="single" w:sz="8" w:space="0" w:color="A07830"/>
              <w:left w:val="single" w:sz="20" w:space="0" w:color="A07830"/>
              <w:bottom w:val="single" w:sz="8" w:space="0" w:color="A07830"/>
              <w:right w:val="none" w:sz="0" w:space="0" w:color="FFFFFF"/>
            </w:tcBorders>
            <w:shd w:val="clear" w:color="auto" w:fill="F5EDD8"/>
            <w:tcMar>
              <w:top w:w="180" w:type="dxa"/>
              <w:left w:w="240" w:type="dxa"/>
              <w:bottom w:w="180" w:type="dxa"/>
              <w:right w:w="200" w:type="dxa"/>
            </w:tcMar>
          </w:tcPr>
          <w:p w14:paraId="3641EDEB" w14:textId="77777777" w:rsidR="003B2206" w:rsidRDefault="00ED19CA">
            <w:pPr>
              <w:spacing w:after="60"/>
            </w:pPr>
            <w:r>
              <w:t xml:space="preserve">The market believes </w:t>
            </w:r>
            <w:r>
              <w:rPr>
                <w:i/>
                <w:iCs/>
                <w:color w:val="6B7785"/>
              </w:rPr>
              <w:t>KVUE is structurally impaired dead money until the KMB deal closes</w:t>
            </w:r>
            <w:r>
              <w:t xml:space="preserve"> because </w:t>
            </w:r>
            <w:r>
              <w:rPr>
                <w:i/>
                <w:iCs/>
                <w:color w:val="6B7785"/>
              </w:rPr>
              <w:t>five consecutive quarters of negative volume imply permanent deterioration, not a cyclical blip.</w:t>
            </w:r>
          </w:p>
          <w:p w14:paraId="1A5132D4" w14:textId="77777777" w:rsidR="003B2206" w:rsidRDefault="00ED19CA">
            <w:pPr>
              <w:spacing w:after="60"/>
            </w:pPr>
            <w:r>
              <w:rPr>
                <w:i/>
                <w:iCs/>
                <w:color w:val="6B7785"/>
              </w:rPr>
              <w:t>KVUE’s underlying business</w:t>
            </w:r>
            <w:r>
              <w:t xml:space="preserve"> behaves differently because </w:t>
            </w:r>
            <w:r>
              <w:rPr>
                <w:i/>
                <w:iCs/>
                <w:color w:val="6B7785"/>
              </w:rPr>
              <w:t>supply chain automation (60% of capex), portfolio rationalization, and operating leverage are already expanding margins — and Q1 2026 showed the volume trend inflecting, not accelerating downward. I believe BUY is justified because the stock trades at a ~24% discount to acquisition-implied fair value ($23.00), the business is showing genuine operational inflection, and the dominant bear case conflates short-term macro weakness with structural deterioration.</w:t>
            </w:r>
          </w:p>
          <w:p w14:paraId="3817BC6B" w14:textId="77777777" w:rsidR="003B2206" w:rsidRDefault="00ED19CA">
            <w:r>
              <w:rPr>
                <w:b/>
                <w:bCs/>
                <w:color w:val="0D1B2A"/>
              </w:rPr>
              <w:t xml:space="preserve"/>
            </w:r>
            <w:r>
              <w:rPr>
                <w:i/>
                <w:iCs/>
                <w:color w:val="6B7785"/>
              </w:rPr>
              <w:t/>
            </w:r>
          </w:p>
        </w:tc>
      </w:tr>
    </w:tbl>
    <w:p w14:paraId="108745FA" w14:textId="77777777" w:rsidR="003B2206" w:rsidRDefault="003B2206">
      <w:pPr>
        <w:spacing w:before="220"/>
      </w:pPr>
    </w:p>
    <w:p w14:paraId="30943E38" w14:textId="77777777" w:rsidR="003B2206" w:rsidRDefault="00ED19CA">
      <w:pPr>
        <w:pBdr>
          <w:bottom w:val="single" w:sz="12" w:space="6" w:color="A07830"/>
        </w:pBdr>
        <w:spacing w:before="280" w:after="100"/>
      </w:pPr>
      <w:r>
        <w:rPr>
          <w:b/>
          <w:bCs/>
          <w:caps/>
          <w:color w:val="0D1B2A"/>
          <w:sz w:val="20"/>
          <w:szCs w:val="20"/>
        </w:rPr>
        <w:t>02  ·  Key Investment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2206" w14:paraId="15ACC9EA" w14:textId="77777777">
        <w:tc>
          <w:tcPr>
            <w:tcW w:w="4680" w:type="dxa"/>
            <w:tcBorders>
              <w:top w:val="single" w:sz="2" w:space="0" w:color="D0D4D9"/>
              <w:left w:val="single" w:sz="2" w:space="0" w:color="D0D4D9"/>
              <w:bottom w:val="single" w:sz="2" w:space="0" w:color="D0D4D9"/>
              <w:right w:val="single" w:sz="2" w:space="0" w:color="D0D4D9"/>
            </w:tcBorders>
            <w:tcMar>
              <w:top w:w="140" w:type="dxa"/>
              <w:left w:w="180" w:type="dxa"/>
              <w:bottom w:w="140" w:type="dxa"/>
              <w:right w:w="180" w:type="dxa"/>
            </w:tcMar>
          </w:tcPr>
          <w:p w14:paraId="4223CABD" w14:textId="77777777" w:rsidR="003B2206" w:rsidRDefault="00ED19CA">
            <w:pPr>
              <w:spacing w:after="60"/>
            </w:pPr>
            <w:r>
              <w:rPr>
                <w:b/>
                <w:bCs/>
                <w:color w:val="A07830"/>
                <w:sz w:val="22"/>
                <w:szCs w:val="22"/>
              </w:rPr>
              <w:t>A</w:t>
            </w:r>
            <w:r>
              <w:rPr>
                <w:b/>
                <w:bCs/>
                <w:color w:val="0D1B2A"/>
              </w:rPr>
              <w:t xml:space="preserve">  Revenue Driver</w:t>
            </w:r>
          </w:p>
          <w:p w14:paraId="7225956D" w14:textId="77777777" w:rsidR="003B2206" w:rsidRDefault="00ED19CA">
            <w:r>
              <w:rPr>
                <w:i/>
                <w:iCs/>
                <w:color w:val="6B7785"/>
              </w:rPr>
              <w:t>Revenue is driven by a diversified portfolio across three segments: Self Care (40%), Skin Health &amp; Beauty (30%), and Essential Health (30%). Revenue changes when volume and price/mix shift — Q1 2026 showed +4.5% revenue on +1% price/mix despite -0.3% volume. Volume has been negative for five consecutive quarters but improved 80bps sequentially in Q1. Pricing tailwinds are normalizing; future growth relies on volume recovery. Tariff headwinds of ~$150M annually add pressure but are manageable at current FCF levels.</w:t>
            </w:r>
          </w:p>
        </w:tc>
        <w:tc>
          <w:tcPr>
            <w:tcW w:w="4680" w:type="dxa"/>
            <w:tcBorders>
              <w:top w:val="single" w:sz="2" w:space="0" w:color="D0D4D9"/>
              <w:left w:val="single" w:sz="2" w:space="0" w:color="D0D4D9"/>
              <w:bottom w:val="single" w:sz="2" w:space="0" w:color="D0D4D9"/>
              <w:right w:val="single" w:sz="2" w:space="0" w:color="D0D4D9"/>
            </w:tcBorders>
            <w:tcMar>
              <w:top w:w="140" w:type="dxa"/>
              <w:left w:w="180" w:type="dxa"/>
              <w:bottom w:w="140" w:type="dxa"/>
              <w:right w:w="180" w:type="dxa"/>
            </w:tcMar>
          </w:tcPr>
          <w:p w14:paraId="26E27A2C" w14:textId="77777777" w:rsidR="003B2206" w:rsidRDefault="00ED19CA">
            <w:pPr>
              <w:spacing w:after="60"/>
            </w:pPr>
            <w:r>
              <w:rPr>
                <w:b/>
                <w:bCs/>
                <w:color w:val="A07830"/>
                <w:sz w:val="22"/>
                <w:szCs w:val="22"/>
              </w:rPr>
              <w:t>B</w:t>
            </w:r>
            <w:r>
              <w:rPr>
                <w:b/>
                <w:bCs/>
                <w:color w:val="0D1B2A"/>
              </w:rPr>
              <w:t xml:space="preserve">  Demand Driver</w:t>
            </w:r>
          </w:p>
          <w:p w14:paraId="5975C253" w14:textId="77777777" w:rsidR="003B2206" w:rsidRDefault="00ED19CA">
            <w:r>
              <w:rPr>
                <w:i/>
                <w:iCs/>
                <w:color w:val="6B7785"/>
              </w:rPr>
              <w:t>Customers are everyday consumers buying non-discretionary healthcare products — Tylenol, Listerine, Neutrogena, Band-Aid. Demand is structurally stable: products are used regardless of economic cycle. However, short-term shifts toward private label and dollar store brands have pressured volumes. This is a cyclical behavioral response to inflation, not structural brand erosion — pricing power remains intact as evidenced by consistent premium maintenance over competitors.</w:t>
            </w:r>
          </w:p>
        </w:tc>
      </w:tr>
      <w:tr w:rsidR="003B2206" w14:paraId="5A6E94C3" w14:textId="77777777">
        <w:tc>
          <w:tcPr>
            <w:tcW w:w="4680" w:type="dxa"/>
            <w:tcBorders>
              <w:top w:val="single" w:sz="2" w:space="0" w:color="D0D4D9"/>
              <w:left w:val="single" w:sz="2" w:space="0" w:color="D0D4D9"/>
              <w:bottom w:val="single" w:sz="2" w:space="0" w:color="D0D4D9"/>
              <w:right w:val="single" w:sz="2" w:space="0" w:color="D0D4D9"/>
            </w:tcBorders>
            <w:tcMar>
              <w:top w:w="140" w:type="dxa"/>
              <w:left w:w="180" w:type="dxa"/>
              <w:bottom w:w="140" w:type="dxa"/>
              <w:right w:w="180" w:type="dxa"/>
            </w:tcMar>
          </w:tcPr>
          <w:p w14:paraId="20CACEBB" w14:textId="77777777" w:rsidR="003B2206" w:rsidRDefault="00ED19CA">
            <w:pPr>
              <w:spacing w:after="60"/>
            </w:pPr>
            <w:r>
              <w:rPr>
                <w:b/>
                <w:bCs/>
                <w:color w:val="A07830"/>
                <w:sz w:val="22"/>
                <w:szCs w:val="22"/>
              </w:rPr>
              <w:t>C</w:t>
            </w:r>
            <w:r>
              <w:rPr>
                <w:b/>
                <w:bCs/>
                <w:color w:val="0D1B2A"/>
              </w:rPr>
              <w:t xml:space="preserve">  Margin Driver</w:t>
            </w:r>
          </w:p>
          <w:p w14:paraId="1F69A2AB" w14:textId="77777777" w:rsidR="003B2206" w:rsidRDefault="00ED19CA">
            <w:r>
              <w:rPr>
                <w:i/>
                <w:iCs/>
                <w:color w:val="6B7785"/>
              </w:rPr>
              <w:t>Biggest costs are COGS (manufacturing, materials, distribution) plus ~10% of sales in marketing and ~4% in R&amp;D. Pricing power is strong — Kenvue consistently stays ahead of markets on price hikes. Margins are expanding: operating margin grew from 16.2% (2023) to 17.0% (2024), projected at 19.9% EBITDA margin in 2026, driven by supply chain automation (60% of capex) and portfolio rationalization. Margins expand when supply chain savings accrue faster than pricing tailwinds normalize.</w:t>
            </w:r>
          </w:p>
        </w:tc>
        <w:tc>
          <w:tcPr>
            <w:tcW w:w="4680" w:type="dxa"/>
            <w:tcBorders>
              <w:top w:val="single" w:sz="2" w:space="0" w:color="D0D4D9"/>
              <w:left w:val="single" w:sz="2" w:space="0" w:color="D0D4D9"/>
              <w:bottom w:val="single" w:sz="2" w:space="0" w:color="D0D4D9"/>
              <w:right w:val="single" w:sz="2" w:space="0" w:color="D0D4D9"/>
            </w:tcBorders>
            <w:tcMar>
              <w:top w:w="140" w:type="dxa"/>
              <w:left w:w="180" w:type="dxa"/>
              <w:bottom w:w="140" w:type="dxa"/>
              <w:right w:w="180" w:type="dxa"/>
            </w:tcMar>
          </w:tcPr>
          <w:p w14:paraId="32923F95" w14:textId="77777777" w:rsidR="003B2206" w:rsidRDefault="00ED19CA">
            <w:pPr>
              <w:spacing w:after="60"/>
            </w:pPr>
            <w:r>
              <w:rPr>
                <w:b/>
                <w:bCs/>
                <w:color w:val="A07830"/>
                <w:sz w:val="22"/>
                <w:szCs w:val="22"/>
              </w:rPr>
              <w:t>D</w:t>
            </w:r>
            <w:r>
              <w:rPr>
                <w:b/>
                <w:bCs/>
                <w:color w:val="0D1B2A"/>
              </w:rPr>
              <w:t xml:space="preserve">  Structural Shift</w:t>
            </w:r>
          </w:p>
          <w:p w14:paraId="2F9DF938" w14:textId="77777777" w:rsidR="003B2206" w:rsidRDefault="00ED19CA">
            <w:r>
              <w:rPr>
                <w:i/>
                <w:iCs/>
                <w:color w:val="6B7785"/>
              </w:rPr>
              <w:t>The Skin Health &amp; Beauty segment — previously the most challenged — posted its strongest quarter since spinoff in Q1 2026. If this recovery sustains and becomes the leading growth driver, it would improve overall margin mix as the segment leans toward higher-value branded products (Neutrogena, Aveeno). Portfolio rationalization is divesting margin-dilutive non-core brands, systematically improving the mix. Competitive disruption from niche players is present but not threatening the moat — Kenvue’s category captain relationships with retailers provide durable shelf access.</w:t>
            </w:r>
          </w:p>
        </w:tc>
      </w:tr>
    </w:tbl>
    <w:p w14:paraId="5F4DD840" w14:textId="77777777" w:rsidR="003B2206" w:rsidRDefault="003B2206">
      <w:pPr>
        <w:spacing w:before="120"/>
      </w:pPr>
    </w:p>
    <w:p w14:paraId="486E002B" w14:textId="77777777" w:rsidR="003B2206" w:rsidRDefault="00ED19CA">
      <w:r>
        <w:rPr>
          <w:b/>
          <w:bCs/>
        </w:rPr>
        <w:t xml:space="preserve">Operating leverage:  </w:t>
      </w:r>
      <w:r>
        <w:rPr>
          <w:i/>
          <w:iCs/>
          <w:color w:val="6B7785"/>
        </w:rPr>
        <w:t>When revenue grows, earnings scale significantly faster — Q1 2026: +4.5% revenue translated into +32.5% adjusted EPS growth. The fixed cost base (R&amp;D, marketing, distribution infrastructure) does not scale proportionally with revenue. Supply chain automation is front-loading capex now, which will reduce variable costs over time and create additional operating leverage as revenue recovers.</w:t>
      </w:r>
    </w:p>
    <w:p w14:paraId="3F094132" w14:textId="77777777" w:rsidR="003B2206" w:rsidRDefault="003B2206">
      <w:pPr>
        <w:spacing w:before="220"/>
      </w:pPr>
    </w:p>
    <w:p w14:paraId="6116F141" w14:textId="77777777" w:rsidR="003B2206" w:rsidRDefault="00ED19CA">
      <w:pPr>
        <w:pBdr>
          <w:bottom w:val="single" w:sz="12" w:space="6" w:color="A07830"/>
        </w:pBdr>
        <w:spacing w:before="280" w:after="100"/>
      </w:pPr>
      <w:r>
        <w:rPr>
          <w:b/>
          <w:bCs/>
          <w:caps/>
          <w:color w:val="0D1B2A"/>
          <w:sz w:val="20"/>
          <w:szCs w:val="20"/>
        </w:rPr>
        <w:t>03  ·  Variant View — The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2206" w14:paraId="01F4227C" w14:textId="77777777">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48323F80" w14:textId="77777777" w:rsidR="003B2206" w:rsidRDefault="00ED19CA">
            <w:r>
              <w:rPr>
                <w:b/>
                <w:bCs/>
                <w:color w:val="FFFFFF"/>
                <w:sz w:val="17"/>
                <w:szCs w:val="17"/>
              </w:rPr>
              <w:t>What the Market Is Focused On</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4ABAF920" w14:textId="77777777" w:rsidR="003B2206" w:rsidRDefault="00ED19CA">
            <w:r>
              <w:rPr>
                <w:b/>
                <w:bCs/>
                <w:color w:val="FFFFFF"/>
                <w:sz w:val="17"/>
                <w:szCs w:val="17"/>
              </w:rPr>
              <w:t>What the Market Is Missing</w:t>
            </w:r>
          </w:p>
        </w:tc>
      </w:tr>
      <w:tr w:rsidR="003B2206" w14:paraId="5999549F" w14:textId="77777777">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0DDBAB11" w14:textId="77777777" w:rsidR="003B2206" w:rsidRDefault="00ED19CA">
            <w:r>
              <w:rPr>
                <w:i/>
                <w:iCs/>
                <w:color w:val="6B7785"/>
              </w:rPr>
              <w:t>Five consecutive quarters of negative volume have led the market to conclude the decline is structural. Analysts and investors are pricing KVUE as a broken standalone business whose only value is as a merger-arb on the KMB deal. The prevailing assumption is that margin recovery is speculative and execution credibility is too low to underwrite.</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3F3E719C" w14:textId="77777777" w:rsidR="003B2206" w:rsidRDefault="00ED19CA">
            <w:r>
              <w:rPr>
                <w:i/>
                <w:iCs/>
                <w:color w:val="6B7785"/>
              </w:rPr>
              <w:t>The market is conflating cyclical volume weakness with permanent structural impairment. Q1 2026 showed an 80bps sequential volume improvement, strongest Skin Health &amp; Beauty quarter since spinoff, and margins expanding — not compressing. The market is also mispricing the margin driver: supply chain automation is a multi-year cost reduction program already underway, not a speculative future promise. At 10.6x NTM EV/EBITDA vs. 15.3x peer average, the stock prices in permanent deterioration — which Q1 data does not support.</w:t>
            </w:r>
          </w:p>
        </w:tc>
      </w:tr>
    </w:tbl>
    <w:p w14:paraId="6A5047A1" w14:textId="77777777" w:rsidR="003B2206" w:rsidRDefault="003B2206">
      <w:pPr>
        <w:spacing w:before="120"/>
      </w:pPr>
    </w:p>
    <w:p w14:paraId="24D8CC99" w14:textId="77777777" w:rsidR="003B2206" w:rsidRDefault="00ED19CA">
      <w:r>
        <w:rPr>
          <w:b/>
          <w:bCs/>
        </w:rPr>
        <w:t xml:space="preserve">In one sentence:  </w:t>
      </w:r>
      <w:r>
        <w:rPr>
          <w:i/>
          <w:iCs/>
          <w:color w:val="6B7785"/>
        </w:rPr>
        <w:t>The market is mispricing KVUE because it assumes volume decline is structural and margin recovery is speculative — but in reality Q1 2026 showed both inflecting positively, which becomes visible as a durable trend at Q2 2026 earnings.</w:t>
      </w:r>
    </w:p>
    <w:p w14:paraId="2C2DCCA5" w14:textId="77777777" w:rsidR="003B2206" w:rsidRDefault="003B2206">
      <w:pPr>
        <w:spacing w:before="220"/>
      </w:pPr>
    </w:p>
    <w:p w14:paraId="74109F38" w14:textId="77777777" w:rsidR="003B2206" w:rsidRDefault="00ED19CA">
      <w:pPr>
        <w:pBdr>
          <w:bottom w:val="single" w:sz="12" w:space="6" w:color="A07830"/>
        </w:pBdr>
        <w:spacing w:before="280" w:after="100"/>
      </w:pPr>
      <w:r>
        <w:rPr>
          <w:b/>
          <w:bCs/>
          <w:caps/>
          <w:color w:val="0D1B2A"/>
          <w:sz w:val="20"/>
          <w:szCs w:val="20"/>
        </w:rPr>
        <w:lastRenderedPageBreak/>
        <w:t>04  ·  Catalyst &amp;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2206" w14:paraId="0CCE8D92" w14:textId="77777777">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3CB919E9" w14:textId="77777777" w:rsidR="003B2206" w:rsidRDefault="00ED19CA">
            <w:r>
              <w:rPr>
                <w:b/>
                <w:bCs/>
                <w:color w:val="FFFFFF"/>
                <w:sz w:val="17"/>
                <w:szCs w:val="17"/>
              </w:rPr>
              <w:t>Near-Term  (0–1 quarter)</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2423CF25" w14:textId="77777777" w:rsidR="003B2206" w:rsidRDefault="00ED19CA">
            <w:r>
              <w:rPr>
                <w:b/>
                <w:bCs/>
                <w:color w:val="FFFFFF"/>
                <w:sz w:val="17"/>
                <w:szCs w:val="17"/>
              </w:rPr>
              <w:t>Medium-Term  (1–4 quarters)</w:t>
            </w:r>
          </w:p>
        </w:tc>
      </w:tr>
      <w:tr w:rsidR="003B2206" w14:paraId="7363D9EA" w14:textId="77777777">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6B19C652" w14:textId="77777777" w:rsidR="003B2206" w:rsidRDefault="00ED19CA">
            <w:pPr>
              <w:spacing w:after="60"/>
            </w:pPr>
            <w:r>
              <w:rPr>
                <w:i/>
                <w:iCs/>
                <w:color w:val="6B7785"/>
              </w:rPr>
              <w:t>Q2 2026 earnings (est. Aug 6–7, 2026) — tests thesis directly: does volume trend continue to improve sequentially? Does margin hold at or above Q1 levels? Any further guidance cut would invalidate the inflection narrative. No further downward revisions is the minimum bar.</w:t>
            </w:r>
          </w:p>
          <w:p w14:paraId="56DA1F0A" w14:textId="77777777" w:rsidR="003B2206" w:rsidRDefault="00ED19CA">
            <w:pPr>
              <w:spacing w:after="60"/>
            </w:pPr>
            <w:r>
              <w:rPr>
                <w:i/>
                <w:iCs/>
                <w:color w:val="6B7785"/>
              </w:rPr>
              <w:t>KMB acquisition regulatory review progress — any FTC/regulatory commentary or timeline update is a re-rating catalyst. Peer earnings (PG, CL, CHD) that show consumer staples volume normalizing validates the cyclical (not structural) read on KVUE’s volume weakness.</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6D710B74" w14:textId="77777777" w:rsidR="003B2206" w:rsidRDefault="00ED19CA">
            <w:pPr>
              <w:spacing w:after="60"/>
            </w:pPr>
            <w:r>
              <w:rPr>
                <w:i/>
                <w:iCs/>
                <w:color w:val="6B7785"/>
              </w:rPr>
              <w:t>KMB deal close (H2 2026) — hard valuation anchor forces convergence between market price (~$17) and deal-implied value ($23). Analyst upgrades following Q2 beat would compress the discount further.</w:t>
            </w:r>
          </w:p>
          <w:p w14:paraId="24D143D3" w14:textId="77777777" w:rsidR="003B2206" w:rsidRDefault="00ED19CA">
            <w:pPr>
              <w:spacing w:after="60"/>
            </w:pPr>
            <w:r>
              <w:rPr>
                <w:i/>
                <w:iCs/>
                <w:color w:val="6B7785"/>
              </w:rPr>
              <w:t>Continued margin expansion in Q3/Q4 2026 results validating the supply chain automation thesis. Litigation developments — any favorable ruling on Tylenol/talc removes the key overhang and could accelerate re-rating.</w:t>
            </w:r>
          </w:p>
        </w:tc>
      </w:tr>
    </w:tbl>
    <w:p w14:paraId="58ABDC52" w14:textId="77777777" w:rsidR="003B2206" w:rsidRDefault="003B2206">
      <w:pPr>
        <w:spacing w:before="120"/>
      </w:pPr>
    </w:p>
    <w:p w14:paraId="5430086F" w14:textId="77777777" w:rsidR="003B2206" w:rsidRDefault="00ED19CA">
      <w:r>
        <w:rPr>
          <w:b/>
          <w:bCs/>
        </w:rPr>
        <w:t xml:space="preserve">Thesis testing window:  </w:t>
      </w:r>
      <w:r>
        <w:rPr>
          <w:i/>
          <w:iCs/>
          <w:color w:val="6B7785"/>
        </w:rPr>
        <w:t>2–3 quarters — Q2 and Q3 2026 earnings will be the forcing function. If volume trend continues improving and margins hold, the market cannot sustain the "structurally broken" narrative. The KMB deal close in H2 2026 acts as a hard deadline that compresses any remaining discount.</w:t>
      </w:r>
    </w:p>
    <w:p w14:paraId="51C07193" w14:textId="77777777" w:rsidR="003B2206" w:rsidRDefault="003B2206">
      <w:pPr>
        <w:spacing w:before="220"/>
      </w:pPr>
    </w:p>
    <w:p w14:paraId="5ED1F9C7" w14:textId="77777777" w:rsidR="003B2206" w:rsidRDefault="00ED19CA">
      <w:pPr>
        <w:pBdr>
          <w:bottom w:val="single" w:sz="12" w:space="6" w:color="A07830"/>
        </w:pBdr>
        <w:spacing w:before="280" w:after="100"/>
      </w:pPr>
      <w:r>
        <w:rPr>
          <w:b/>
          <w:bCs/>
          <w:caps/>
          <w:color w:val="0D1B2A"/>
          <w:sz w:val="20"/>
          <w:szCs w:val="20"/>
        </w:rPr>
        <w:t>05  ·  Scenario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3827"/>
        <w:gridCol w:w="1378"/>
        <w:gridCol w:w="1378"/>
        <w:gridCol w:w="1181"/>
      </w:tblGrid>
      <w:tr w:rsidR="003B2206" w14:paraId="389A23F5" w14:textId="77777777">
        <w:tc>
          <w:tcPr>
            <w:tcW w:w="146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38683E48" w14:textId="77777777" w:rsidR="003B2206" w:rsidRDefault="00ED19CA">
            <w:r>
              <w:rPr>
                <w:b/>
                <w:bCs/>
                <w:color w:val="FFFFFF"/>
                <w:sz w:val="17"/>
                <w:szCs w:val="17"/>
              </w:rPr>
              <w:t>Scenario</w:t>
            </w:r>
          </w:p>
        </w:tc>
        <w:tc>
          <w:tcPr>
            <w:tcW w:w="350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122A14B8" w14:textId="77777777" w:rsidR="003B2206" w:rsidRDefault="00ED19CA">
            <w:pPr>
              <w:jc w:val="center"/>
            </w:pPr>
            <w:r>
              <w:rPr>
                <w:b/>
                <w:bCs/>
                <w:color w:val="FFFFFF"/>
                <w:sz w:val="17"/>
                <w:szCs w:val="17"/>
              </w:rPr>
              <w:t>Key Assumption</w:t>
            </w:r>
          </w:p>
        </w:tc>
        <w:tc>
          <w:tcPr>
            <w:tcW w:w="126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73699209" w14:textId="77777777" w:rsidR="003B2206" w:rsidRDefault="00ED19CA">
            <w:pPr>
              <w:jc w:val="center"/>
            </w:pPr>
            <w:r>
              <w:rPr>
                <w:b/>
                <w:bCs/>
                <w:color w:val="FFFFFF"/>
                <w:sz w:val="17"/>
                <w:szCs w:val="17"/>
              </w:rPr>
              <w:t>Price Target</w:t>
            </w:r>
          </w:p>
        </w:tc>
        <w:tc>
          <w:tcPr>
            <w:tcW w:w="126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34145024" w14:textId="77777777" w:rsidR="003B2206" w:rsidRDefault="00ED19CA">
            <w:pPr>
              <w:jc w:val="center"/>
            </w:pPr>
            <w:r>
              <w:rPr>
                <w:b/>
                <w:bCs/>
                <w:color w:val="FFFFFF"/>
                <w:sz w:val="17"/>
                <w:szCs w:val="17"/>
              </w:rPr>
              <w:t>Return</w:t>
            </w:r>
          </w:p>
        </w:tc>
        <w:tc>
          <w:tcPr>
            <w:tcW w:w="1080" w:type="dxa"/>
            <w:tcBorders>
              <w:top w:val="single" w:sz="6" w:space="0" w:color="A07830"/>
              <w:left w:val="single" w:sz="2" w:space="0" w:color="444444"/>
              <w:bottom w:val="single" w:sz="2" w:space="0" w:color="A07830"/>
              <w:right w:val="single" w:sz="2" w:space="0" w:color="444444"/>
            </w:tcBorders>
            <w:shd w:val="clear" w:color="auto" w:fill="0D1B2A"/>
            <w:tcMar>
              <w:top w:w="120" w:type="dxa"/>
              <w:left w:w="140" w:type="dxa"/>
              <w:bottom w:w="120" w:type="dxa"/>
              <w:right w:w="140" w:type="dxa"/>
            </w:tcMar>
          </w:tcPr>
          <w:p w14:paraId="0A534C13" w14:textId="77777777" w:rsidR="003B2206" w:rsidRDefault="00ED19CA">
            <w:pPr>
              <w:jc w:val="center"/>
            </w:pPr>
            <w:r>
              <w:rPr>
                <w:b/>
                <w:bCs/>
                <w:color w:val="FFFFFF"/>
                <w:sz w:val="17"/>
                <w:szCs w:val="17"/>
              </w:rPr>
              <w:t>Weight</w:t>
            </w:r>
          </w:p>
        </w:tc>
      </w:tr>
      <w:tr w:rsidR="003B2206" w14:paraId="5C4C809B" w14:textId="77777777">
        <w:tc>
          <w:tcPr>
            <w:tcW w:w="14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0C624A8B" w14:textId="77777777" w:rsidR="003B2206" w:rsidRDefault="00ED19CA">
            <w:r>
              <w:rPr>
                <w:b/>
                <w:bCs/>
              </w:rPr>
              <w:t>Bear</w:t>
            </w:r>
          </w:p>
        </w:tc>
        <w:tc>
          <w:tcPr>
            <w:tcW w:w="35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31D2767C" w14:textId="77777777" w:rsidR="003B2206" w:rsidRDefault="00ED19CA">
            <w:r>
              <w:rPr>
                <w:i/>
                <w:iCs/>
                <w:color w:val="6B7785"/>
              </w:rPr>
              <w:t>Volume decline accelerates; KMB deal terminated or blocked; adverse Tylenol/talc judgment &gt;$1B exceeding reserves</w:t>
            </w:r>
          </w:p>
        </w:tc>
        <w:tc>
          <w:tcPr>
            <w:tcW w:w="12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00" w:type="dxa"/>
              <w:bottom w:w="100" w:type="dxa"/>
              <w:right w:w="100" w:type="dxa"/>
            </w:tcMar>
          </w:tcPr>
          <w:p w14:paraId="72185187" w14:textId="77777777" w:rsidR="003B2206" w:rsidRDefault="00ED19CA">
            <w:pPr>
              <w:jc w:val="center"/>
            </w:pPr>
            <w:r>
              <w:rPr>
                <w:i/>
                <w:iCs/>
                <w:color w:val="6B7785"/>
              </w:rPr>
              <w:t>$11–$13</w:t>
            </w:r>
          </w:p>
        </w:tc>
        <w:tc>
          <w:tcPr>
            <w:tcW w:w="12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00" w:type="dxa"/>
              <w:bottom w:w="100" w:type="dxa"/>
              <w:right w:w="100" w:type="dxa"/>
            </w:tcMar>
          </w:tcPr>
          <w:p w14:paraId="29FCAA1F" w14:textId="77777777" w:rsidR="003B2206" w:rsidRDefault="00ED19CA">
            <w:pPr>
              <w:jc w:val="center"/>
            </w:pPr>
            <w:r>
              <w:rPr>
                <w:i/>
                <w:iCs/>
                <w:color w:val="6B7785"/>
              </w:rPr>
              <w:t>–30%</w:t>
            </w:r>
          </w:p>
        </w:tc>
        <w:tc>
          <w:tcPr>
            <w:tcW w:w="108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00" w:type="dxa"/>
              <w:bottom w:w="100" w:type="dxa"/>
              <w:right w:w="100" w:type="dxa"/>
            </w:tcMar>
          </w:tcPr>
          <w:p w14:paraId="5D172753" w14:textId="77777777" w:rsidR="003B2206" w:rsidRDefault="00ED19CA">
            <w:pPr>
              <w:jc w:val="center"/>
            </w:pPr>
            <w:r>
              <w:rPr>
                <w:i/>
                <w:iCs/>
                <w:color w:val="6B7785"/>
              </w:rPr>
              <w:t>25%</w:t>
            </w:r>
          </w:p>
        </w:tc>
      </w:tr>
      <w:tr w:rsidR="003B2206" w14:paraId="03DF2CFF" w14:textId="77777777">
        <w:tc>
          <w:tcPr>
            <w:tcW w:w="146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7DEE91E5" w14:textId="77777777" w:rsidR="003B2206" w:rsidRDefault="00ED19CA">
            <w:r>
              <w:rPr>
                <w:b/>
                <w:bCs/>
              </w:rPr>
              <w:t>Base</w:t>
            </w:r>
          </w:p>
        </w:tc>
        <w:tc>
          <w:tcPr>
            <w:tcW w:w="350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40" w:type="dxa"/>
              <w:bottom w:w="100" w:type="dxa"/>
              <w:right w:w="140" w:type="dxa"/>
            </w:tcMar>
          </w:tcPr>
          <w:p w14:paraId="44600B5B" w14:textId="77777777" w:rsidR="003B2206" w:rsidRDefault="00ED19CA">
            <w:r>
              <w:rPr>
                <w:i/>
                <w:iCs/>
                <w:color w:val="6B7785"/>
              </w:rPr>
              <w:t>Volume inflection continues; margin expansion via supply chain; KMB deal closes H2 2026</w:t>
            </w:r>
          </w:p>
        </w:tc>
        <w:tc>
          <w:tcPr>
            <w:tcW w:w="126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00" w:type="dxa"/>
              <w:bottom w:w="100" w:type="dxa"/>
              <w:right w:w="100" w:type="dxa"/>
            </w:tcMar>
          </w:tcPr>
          <w:p w14:paraId="33A083FE" w14:textId="77777777" w:rsidR="003B2206" w:rsidRDefault="00ED19CA">
            <w:pPr>
              <w:jc w:val="center"/>
            </w:pPr>
            <w:r>
              <w:rPr>
                <w:i/>
                <w:iCs/>
                <w:color w:val="6B7785"/>
              </w:rPr>
              <w:t>$20–$23</w:t>
            </w:r>
          </w:p>
        </w:tc>
        <w:tc>
          <w:tcPr>
            <w:tcW w:w="126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00" w:type="dxa"/>
              <w:bottom w:w="100" w:type="dxa"/>
              <w:right w:w="100" w:type="dxa"/>
            </w:tcMar>
          </w:tcPr>
          <w:p w14:paraId="2FF46A43" w14:textId="77777777" w:rsidR="003B2206" w:rsidRDefault="00ED19CA">
            <w:pPr>
              <w:jc w:val="center"/>
            </w:pPr>
            <w:r>
              <w:rPr>
                <w:i/>
                <w:iCs/>
                <w:color w:val="6B7785"/>
              </w:rPr>
              <w:t>+25%</w:t>
            </w:r>
          </w:p>
        </w:tc>
        <w:tc>
          <w:tcPr>
            <w:tcW w:w="1080" w:type="dxa"/>
            <w:tcBorders>
              <w:top w:val="single" w:sz="2" w:space="0" w:color="D0D4D9"/>
              <w:left w:val="single" w:sz="2" w:space="0" w:color="D0D4D9"/>
              <w:bottom w:val="single" w:sz="2" w:space="0" w:color="D0D4D9"/>
              <w:right w:val="single" w:sz="2" w:space="0" w:color="D0D4D9"/>
            </w:tcBorders>
            <w:shd w:val="clear" w:color="auto" w:fill="F6F7F8"/>
            <w:tcMar>
              <w:top w:w="100" w:type="dxa"/>
              <w:left w:w="100" w:type="dxa"/>
              <w:bottom w:w="100" w:type="dxa"/>
              <w:right w:w="100" w:type="dxa"/>
            </w:tcMar>
          </w:tcPr>
          <w:p w14:paraId="4E9D4EA7" w14:textId="77777777" w:rsidR="003B2206" w:rsidRDefault="00ED19CA">
            <w:pPr>
              <w:jc w:val="center"/>
            </w:pPr>
            <w:r>
              <w:rPr>
                <w:i/>
                <w:iCs/>
                <w:color w:val="6B7785"/>
              </w:rPr>
              <w:t>55%</w:t>
            </w:r>
          </w:p>
        </w:tc>
      </w:tr>
      <w:tr w:rsidR="003B2206" w14:paraId="4327A753" w14:textId="77777777">
        <w:tc>
          <w:tcPr>
            <w:tcW w:w="14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23CDDB53" w14:textId="77777777" w:rsidR="003B2206" w:rsidRDefault="00ED19CA">
            <w:r>
              <w:rPr>
                <w:b/>
                <w:bCs/>
              </w:rPr>
              <w:t>Bull</w:t>
            </w:r>
          </w:p>
        </w:tc>
        <w:tc>
          <w:tcPr>
            <w:tcW w:w="350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40" w:type="dxa"/>
              <w:bottom w:w="100" w:type="dxa"/>
              <w:right w:w="140" w:type="dxa"/>
            </w:tcMar>
          </w:tcPr>
          <w:p w14:paraId="2B63CAD5" w14:textId="77777777" w:rsidR="003B2206" w:rsidRDefault="00ED19CA">
            <w:r>
              <w:rPr>
                <w:i/>
                <w:iCs/>
                <w:color w:val="6B7785"/>
              </w:rPr>
              <w:t>Volume returns to positive; KMB deal closes early; litigation risk bounded by favorable ruling</w:t>
            </w:r>
          </w:p>
        </w:tc>
        <w:tc>
          <w:tcPr>
            <w:tcW w:w="12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00" w:type="dxa"/>
              <w:bottom w:w="100" w:type="dxa"/>
              <w:right w:w="100" w:type="dxa"/>
            </w:tcMar>
          </w:tcPr>
          <w:p w14:paraId="2E691264" w14:textId="77777777" w:rsidR="003B2206" w:rsidRDefault="00ED19CA">
            <w:pPr>
              <w:jc w:val="center"/>
            </w:pPr>
            <w:r>
              <w:rPr>
                <w:i/>
                <w:iCs/>
                <w:color w:val="6B7785"/>
              </w:rPr>
              <w:t>$25–$28</w:t>
            </w:r>
          </w:p>
        </w:tc>
        <w:tc>
          <w:tcPr>
            <w:tcW w:w="126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00" w:type="dxa"/>
              <w:bottom w:w="100" w:type="dxa"/>
              <w:right w:w="100" w:type="dxa"/>
            </w:tcMar>
          </w:tcPr>
          <w:p w14:paraId="0FF344F9" w14:textId="77777777" w:rsidR="003B2206" w:rsidRDefault="00ED19CA">
            <w:pPr>
              <w:jc w:val="center"/>
            </w:pPr>
            <w:r>
              <w:rPr>
                <w:i/>
                <w:iCs/>
                <w:color w:val="6B7785"/>
              </w:rPr>
              <w:t>+55%</w:t>
            </w:r>
          </w:p>
        </w:tc>
        <w:tc>
          <w:tcPr>
            <w:tcW w:w="1080" w:type="dxa"/>
            <w:tcBorders>
              <w:top w:val="single" w:sz="2" w:space="0" w:color="D0D4D9"/>
              <w:left w:val="single" w:sz="2" w:space="0" w:color="D0D4D9"/>
              <w:bottom w:val="single" w:sz="2" w:space="0" w:color="D0D4D9"/>
              <w:right w:val="single" w:sz="2" w:space="0" w:color="D0D4D9"/>
            </w:tcBorders>
            <w:shd w:val="clear" w:color="auto" w:fill="FAFAFA"/>
            <w:tcMar>
              <w:top w:w="100" w:type="dxa"/>
              <w:left w:w="100" w:type="dxa"/>
              <w:bottom w:w="100" w:type="dxa"/>
              <w:right w:w="100" w:type="dxa"/>
            </w:tcMar>
          </w:tcPr>
          <w:p w14:paraId="02A9B23E" w14:textId="77777777" w:rsidR="003B2206" w:rsidRDefault="00ED19CA">
            <w:pPr>
              <w:jc w:val="center"/>
            </w:pPr>
            <w:r>
              <w:rPr>
                <w:i/>
                <w:iCs/>
                <w:color w:val="6B7785"/>
              </w:rPr>
              <w:t>20%</w:t>
            </w:r>
          </w:p>
        </w:tc>
      </w:tr>
    </w:tbl>
    <w:p w14:paraId="634AFAD6" w14:textId="77777777" w:rsidR="003B2206" w:rsidRDefault="003B2206">
      <w:pPr>
        <w:spacing w:before="220"/>
      </w:pPr>
    </w:p>
    <w:p w14:paraId="4E85D2DC" w14:textId="77777777" w:rsidR="003B2206" w:rsidRDefault="00ED19CA">
      <w:pPr>
        <w:pBdr>
          <w:bottom w:val="single" w:sz="12" w:space="6" w:color="A07830"/>
        </w:pBdr>
        <w:spacing w:before="280" w:after="100"/>
      </w:pPr>
      <w:r>
        <w:rPr>
          <w:b/>
          <w:bCs/>
          <w:caps/>
          <w:color w:val="0D1B2A"/>
          <w:sz w:val="20"/>
          <w:szCs w:val="20"/>
        </w:rPr>
        <w:t>06  ·  Risks &amp; Falsification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2206" w14:paraId="415E512C" w14:textId="77777777">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7EF72A12" w14:textId="77777777" w:rsidR="003B2206" w:rsidRDefault="00ED19CA">
            <w:r>
              <w:rPr>
                <w:b/>
                <w:bCs/>
                <w:color w:val="FFFFFF"/>
                <w:sz w:val="17"/>
                <w:szCs w:val="17"/>
              </w:rPr>
              <w:t>Risks to Thesis</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6B15E0CF" w14:textId="77777777" w:rsidR="003B2206" w:rsidRDefault="00ED19CA">
            <w:r>
              <w:rPr>
                <w:b/>
                <w:bCs/>
                <w:color w:val="FFFFFF"/>
                <w:sz w:val="17"/>
                <w:szCs w:val="17"/>
              </w:rPr>
              <w:t>Thesis Falsification</w:t>
            </w:r>
          </w:p>
        </w:tc>
      </w:tr>
      <w:tr w:rsidR="003B2206" w14:paraId="7B753881" w14:textId="77777777">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5A5CD515" w14:textId="77777777" w:rsidR="003B2206" w:rsidRDefault="00ED19CA">
            <w:pPr>
              <w:spacing w:after="60"/>
            </w:pPr>
            <w:r>
              <w:rPr>
                <w:i/>
                <w:iCs/>
                <w:color w:val="6B7785"/>
              </w:rPr>
              <w:t>KMB deal collapse or significant renegotiation — removes $23.00 valuation anchor, stock likely re-rates to $13–$15</w:t>
            </w:r>
          </w:p>
          <w:p w14:paraId="36676723" w14:textId="77777777" w:rsidR="003B2206" w:rsidRDefault="00ED19CA">
            <w:pPr>
              <w:spacing w:after="60"/>
            </w:pPr>
            <w:r>
              <w:rPr>
                <w:i/>
                <w:iCs/>
                <w:color w:val="6B7785"/>
              </w:rPr>
              <w:t>Adverse Tylenol/talc litigation judgment materially exceeding reserves — pressures FCF and may prompt KMB to renegotiate deal terms</w:t>
            </w:r>
          </w:p>
          <w:p w14:paraId="37EC81C2" w14:textId="77777777" w:rsidR="003B2206" w:rsidRDefault="00ED19CA">
            <w:r>
              <w:rPr>
                <w:i/>
                <w:iCs/>
                <w:color w:val="6B7785"/>
              </w:rPr>
              <w:t>Management guidance failure — another material downward revision in Q2 2026 collapses the volume inflection narrative</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073AB35E" w14:textId="77777777" w:rsidR="003B2206" w:rsidRDefault="00ED19CA">
            <w:pPr>
              <w:spacing w:after="60"/>
            </w:pPr>
            <w:r>
              <w:rPr>
                <w:b/>
                <w:bCs/>
              </w:rPr>
              <w:t xml:space="preserve">Thesis is VALID if: Q2 2026 volume trend improves or holds flat; adjusted operating margin stays ≥23%; KMB deal proceeds without regulatory obstruction; no material adverse litigation judgment exceeding reserves</w:t>
            </w:r>
            <w:r>
              <w:rPr>
                <w:i/>
                <w:iCs/>
                <w:color w:val="6B7785"/>
              </w:rPr>
              <w:t/>
            </w:r>
          </w:p>
          <w:p w14:paraId="71FFBFFD" w14:textId="77777777" w:rsidR="003B2206" w:rsidRDefault="00ED19CA">
            <w:r>
              <w:rPr>
                <w:b/>
                <w:bCs/>
              </w:rPr>
              <w:t xml:space="preserve">Thesis is INVALID if: Volume decline accelerates sequentially in Q2; KMB deal terminated or renegotiated at lower price; adverse Tylenol/talc judgment &gt;$1B not covered by insurance; adjusted operating margin prints below 21% in next two quarters</w:t>
            </w:r>
            <w:r>
              <w:rPr>
                <w:i/>
                <w:iCs/>
                <w:color w:val="6B7785"/>
              </w:rPr>
              <w:t/>
            </w:r>
          </w:p>
        </w:tc>
      </w:tr>
    </w:tbl>
    <w:p w14:paraId="5B05A6C5" w14:textId="77777777" w:rsidR="003B2206" w:rsidRDefault="003B2206">
      <w:pPr>
        <w:spacing w:before="220"/>
      </w:pPr>
    </w:p>
    <w:p w14:paraId="02DBC1CA" w14:textId="77777777" w:rsidR="003B2206" w:rsidRDefault="00ED19CA">
      <w:pPr>
        <w:pBdr>
          <w:bottom w:val="single" w:sz="12" w:space="6" w:color="A07830"/>
        </w:pBdr>
        <w:spacing w:before="280" w:after="100"/>
      </w:pPr>
      <w:r>
        <w:rPr>
          <w:b/>
          <w:bCs/>
          <w:caps/>
          <w:color w:val="0D1B2A"/>
          <w:sz w:val="20"/>
          <w:szCs w:val="20"/>
        </w:rPr>
        <w:t>07  ·  Valuation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B2206" w14:paraId="51BE2CC9" w14:textId="77777777">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43A61D47" w14:textId="77777777" w:rsidR="003B2206" w:rsidRDefault="00ED19CA">
            <w:r>
              <w:rPr>
                <w:b/>
                <w:bCs/>
                <w:color w:val="FFFFFF"/>
                <w:sz w:val="17"/>
                <w:szCs w:val="17"/>
              </w:rPr>
              <w:t>Current Market Pricing</w:t>
            </w:r>
          </w:p>
        </w:tc>
        <w:tc>
          <w:tcPr>
            <w:tcW w:w="4680" w:type="dxa"/>
            <w:tcBorders>
              <w:top w:val="none" w:sz="0" w:space="0" w:color="FFFFFF"/>
              <w:left w:val="none" w:sz="0" w:space="0" w:color="FFFFFF"/>
              <w:bottom w:val="none" w:sz="0" w:space="0" w:color="FFFFFF"/>
              <w:right w:val="none" w:sz="0" w:space="0" w:color="FFFFFF"/>
            </w:tcBorders>
            <w:shd w:val="clear" w:color="auto" w:fill="0D1B2A"/>
            <w:tcMar>
              <w:top w:w="120" w:type="dxa"/>
              <w:left w:w="180" w:type="dxa"/>
              <w:bottom w:w="120" w:type="dxa"/>
              <w:right w:w="180" w:type="dxa"/>
            </w:tcMar>
          </w:tcPr>
          <w:p w14:paraId="56BDFDCB" w14:textId="77777777" w:rsidR="003B2206" w:rsidRDefault="00ED19CA">
            <w:r>
              <w:rPr>
                <w:b/>
                <w:bCs/>
                <w:color w:val="FFFFFF"/>
                <w:sz w:val="17"/>
                <w:szCs w:val="17"/>
              </w:rPr>
              <w:t>Your Intrinsic Value View</w:t>
            </w:r>
          </w:p>
        </w:tc>
      </w:tr>
      <w:tr w:rsidR="003B2206" w14:paraId="2D5E1EF4" w14:textId="77777777">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07C90546" w14:textId="77777777" w:rsidR="003B2206" w:rsidRDefault="00ED19CA">
            <w:pPr>
              <w:spacing w:before="40" w:after="40"/>
            </w:pPr>
            <w:r>
              <w:rPr>
                <w:b/>
                <w:bCs/>
              </w:rPr>
              <w:t xml:space="preserve">P/E (NTM)  </w:t>
            </w:r>
            <w:r>
              <w:rPr>
                <w:i/>
                <w:iCs/>
                <w:color w:val="6B7785"/>
              </w:rPr>
              <w:t>14.2x   vs. peer avg 22.5x</w:t>
            </w:r>
          </w:p>
          <w:p w14:paraId="45DBF145" w14:textId="77777777" w:rsidR="003B2206" w:rsidRDefault="00ED19CA">
            <w:pPr>
              <w:spacing w:before="40" w:after="40"/>
            </w:pPr>
            <w:r>
              <w:rPr>
                <w:b/>
                <w:bCs/>
              </w:rPr>
              <w:t xml:space="preserve">EV / EBITDA (NTM)  </w:t>
            </w:r>
            <w:r>
              <w:rPr>
                <w:i/>
                <w:iCs/>
                <w:color w:val="6B7785"/>
              </w:rPr>
              <w:t>10.6x</w:t>
            </w:r>
          </w:p>
          <w:p w14:paraId="21C3CFAA" w14:textId="77777777" w:rsidR="003B2206" w:rsidRDefault="00ED19CA">
            <w:pPr>
              <w:spacing w:before="40" w:after="40"/>
            </w:pPr>
            <w:r>
              <w:rPr>
                <w:b/>
                <w:bCs/>
              </w:rPr>
              <w:t xml:space="preserve">FCF Yield  </w:t>
            </w:r>
            <w:r>
              <w:rPr>
                <w:i/>
                <w:iCs/>
                <w:color w:val="6B7785"/>
              </w:rPr>
              <w:t>5.5%</w:t>
            </w:r>
          </w:p>
          <w:p w14:paraId="7002804D" w14:textId="77777777" w:rsidR="003B2206" w:rsidRDefault="00ED19CA">
            <w:pPr>
              <w:spacing w:before="40" w:after="40"/>
            </w:pPr>
            <w:r>
              <w:rPr>
                <w:b/>
                <w:bCs/>
              </w:rPr>
              <w:t xml:space="preserve">Net Debt / EBITDA  </w:t>
            </w:r>
            <w:r>
              <w:rPr>
                <w:i/>
                <w:iCs/>
                <w:color w:val="6B7785"/>
              </w:rPr>
              <w:t>2.4x</w:t>
            </w:r>
          </w:p>
          <w:p w14:paraId="2B00F81E" w14:textId="77777777" w:rsidR="003B2206" w:rsidRDefault="00ED19CA">
            <w:pPr>
              <w:spacing w:before="40"/>
            </w:pPr>
            <w:r>
              <w:rPr>
                <w:b/>
                <w:bCs/>
              </w:rPr>
              <w:t xml:space="preserve">52-Wk Range  </w:t>
            </w:r>
            <w:r>
              <w:rPr>
                <w:i/>
                <w:iCs/>
                <w:color w:val="6B7785"/>
              </w:rPr>
              <w:t>$14.02 – $24.61</w:t>
            </w:r>
          </w:p>
        </w:tc>
        <w:tc>
          <w:tcPr>
            <w:tcW w:w="4680" w:type="dxa"/>
            <w:tcBorders>
              <w:top w:val="single" w:sz="2" w:space="0" w:color="D0D4D9"/>
              <w:left w:val="single" w:sz="2" w:space="0" w:color="D0D4D9"/>
              <w:bottom w:val="single" w:sz="2" w:space="0" w:color="D0D4D9"/>
              <w:right w:val="single" w:sz="2" w:space="0" w:color="D0D4D9"/>
            </w:tcBorders>
            <w:shd w:val="clear" w:color="auto" w:fill="FAFAFA"/>
            <w:tcMar>
              <w:top w:w="120" w:type="dxa"/>
              <w:left w:w="180" w:type="dxa"/>
              <w:bottom w:w="120" w:type="dxa"/>
              <w:right w:w="180" w:type="dxa"/>
            </w:tcMar>
          </w:tcPr>
          <w:p w14:paraId="5F3B7156" w14:textId="77777777" w:rsidR="003B2206" w:rsidRDefault="00ED19CA">
            <w:pPr>
              <w:spacing w:before="40" w:after="40"/>
            </w:pPr>
            <w:r>
              <w:rPr>
                <w:b/>
                <w:bCs/>
              </w:rPr>
              <w:t xml:space="preserve">Methodology  </w:t>
            </w:r>
            <w:r>
              <w:rPr>
                <w:i/>
                <w:iCs/>
                <w:color w:val="6B7785"/>
              </w:rPr>
              <w:t>EV/EBITDA + P/E, equally weighted</w:t>
            </w:r>
          </w:p>
          <w:p w14:paraId="0677D34D" w14:textId="77777777" w:rsidR="003B2206" w:rsidRDefault="00ED19CA">
            <w:pPr>
              <w:spacing w:before="40" w:after="40"/>
            </w:pPr>
            <w:r>
              <w:rPr>
                <w:b/>
                <w:bCs/>
              </w:rPr>
              <w:t xml:space="preserve">Key multiple  </w:t>
            </w:r>
            <w:r>
              <w:rPr>
                <w:i/>
                <w:iCs/>
                <w:color w:val="6B7785"/>
              </w:rPr>
              <w:t>12x EV/EBITDA / 17x P/E (NTM 2026E)</w:t>
            </w:r>
          </w:p>
          <w:p w14:paraId="3DF1E965" w14:textId="77777777" w:rsidR="003B2206" w:rsidRDefault="00ED19CA">
            <w:pPr>
              <w:spacing w:before="40" w:after="40"/>
            </w:pPr>
            <w:r>
              <w:rPr>
                <w:b/>
                <w:bCs/>
              </w:rPr>
              <w:t xml:space="preserve">Blended PT  </w:t>
            </w:r>
            <w:r>
              <w:rPr>
                <w:i/>
                <w:iCs/>
                <w:color w:val="6B7785"/>
              </w:rPr>
              <w:t>$22.29</w:t>
            </w:r>
          </w:p>
          <w:p w14:paraId="049398EB" w14:textId="77777777" w:rsidR="003B2206" w:rsidRDefault="00ED19CA">
            <w:pPr>
              <w:spacing w:before="40"/>
            </w:pPr>
            <w:r>
              <w:rPr>
                <w:i/>
                <w:iCs/>
                <w:color w:val="6B7785"/>
              </w:rPr>
              <w:t>A 12x EV/EBITDA and 17x P/E apply a ~22–24% discount to peer averages (15.3x / 22.5x), pricing in execution risk and litigation uncertainty without assuming permanent impairment. Equally weighting both methods yields a $19.46 standalone target; applying 80% confidence to the KMB deal at $23.00 yields a final blended target of $22.29 — ~30% upside from $17.17.</w:t>
            </w:r>
          </w:p>
        </w:tc>
      </w:tr>
    </w:tbl>
    <w:p w14:paraId="0ED6373B" w14:textId="77777777" w:rsidR="003B2206" w:rsidRDefault="00ED19C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206" w14:paraId="7D98274B" w14:textId="77777777">
        <w:tc>
          <w:tcPr>
            <w:tcW w:w="9360" w:type="dxa"/>
            <w:tcBorders>
              <w:top w:val="none" w:sz="0" w:space="0" w:color="FFFFFF"/>
              <w:left w:val="none" w:sz="0" w:space="0" w:color="FFFFFF"/>
              <w:bottom w:val="none" w:sz="0" w:space="0" w:color="FFFFFF"/>
              <w:right w:val="none" w:sz="0" w:space="0" w:color="FFFFFF"/>
            </w:tcBorders>
            <w:shd w:val="clear" w:color="auto" w:fill="0D1B2A"/>
            <w:tcMar>
              <w:top w:w="180" w:type="dxa"/>
              <w:left w:w="240" w:type="dxa"/>
              <w:bottom w:w="180" w:type="dxa"/>
              <w:right w:w="240" w:type="dxa"/>
            </w:tcMar>
          </w:tcPr>
          <w:p w14:paraId="4B119BF0" w14:textId="77777777" w:rsidR="003B2206" w:rsidRDefault="00ED19CA">
            <w:r>
              <w:rPr>
                <w:b/>
                <w:bCs/>
                <w:color w:val="C09848"/>
                <w:sz w:val="22"/>
                <w:szCs w:val="22"/>
              </w:rPr>
              <w:lastRenderedPageBreak/>
              <w:t>Nexus Research</w:t>
            </w:r>
            <w:r>
              <w:rPr>
                <w:b/>
                <w:bCs/>
                <w:color w:val="FFFFFF"/>
                <w:sz w:val="22"/>
                <w:szCs w:val="22"/>
              </w:rPr>
              <w:t xml:space="preserve">  —  Disclaimer &amp; Legal Notice</w:t>
            </w:r>
          </w:p>
        </w:tc>
      </w:tr>
    </w:tbl>
    <w:p w14:paraId="512851AB" w14:textId="77777777" w:rsidR="003B2206" w:rsidRDefault="003B220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2206" w14:paraId="160CC620" w14:textId="77777777">
        <w:tc>
          <w:tcPr>
            <w:tcW w:w="9360" w:type="dxa"/>
            <w:tcBorders>
              <w:top w:val="single" w:sz="2" w:space="0" w:color="D0D4D9"/>
              <w:left w:val="single" w:sz="2" w:space="0" w:color="D0D4D9"/>
              <w:bottom w:val="single" w:sz="2" w:space="0" w:color="D0D4D9"/>
              <w:right w:val="single" w:sz="2" w:space="0" w:color="D0D4D9"/>
            </w:tcBorders>
            <w:shd w:val="clear" w:color="auto" w:fill="F2F3F5"/>
            <w:tcMar>
              <w:top w:w="220" w:type="dxa"/>
              <w:left w:w="260" w:type="dxa"/>
              <w:bottom w:w="220" w:type="dxa"/>
              <w:right w:w="260" w:type="dxa"/>
            </w:tcMar>
          </w:tcPr>
          <w:p w14:paraId="12D1FCD8" w14:textId="77777777" w:rsidR="003B2206" w:rsidRDefault="00ED19CA">
            <w:pPr>
              <w:spacing w:before="100" w:after="24"/>
            </w:pPr>
            <w:r>
              <w:rPr>
                <w:b/>
                <w:bCs/>
                <w:color w:val="0D1B2A"/>
                <w:sz w:val="18"/>
                <w:szCs w:val="18"/>
              </w:rPr>
              <w:t>Who I Am</w:t>
            </w:r>
          </w:p>
          <w:p w14:paraId="1CDD9747" w14:textId="77777777" w:rsidR="003B2206" w:rsidRDefault="00ED19CA">
            <w:pPr>
              <w:spacing w:after="80"/>
            </w:pPr>
            <w:r>
              <w:rPr>
                <w:color w:val="3D4852"/>
                <w:sz w:val="17"/>
                <w:szCs w:val="17"/>
              </w:rPr>
              <w:t>My name is Mary Scott. I am an independent researcher building a body of equity analysis under the name Nexus Research. I am not a licensed financial advisor, broker, investment adviser, or any other regulated financial professional. I do not manage money on behalf of others. Nothing in this document should be construed as professional financial advice of any kind.</w:t>
            </w:r>
          </w:p>
          <w:p w14:paraId="7C014A18" w14:textId="77777777" w:rsidR="003B2206" w:rsidRDefault="00ED19CA">
            <w:pPr>
              <w:spacing w:before="100" w:after="24"/>
            </w:pPr>
            <w:r>
              <w:rPr>
                <w:b/>
                <w:bCs/>
                <w:color w:val="0D1B2A"/>
                <w:sz w:val="18"/>
                <w:szCs w:val="18"/>
              </w:rPr>
              <w:t>What Nexus Research Is</w:t>
            </w:r>
          </w:p>
          <w:p w14:paraId="5884699D" w14:textId="244D01C5" w:rsidR="003B2206" w:rsidRDefault="00D125DE">
            <w:pPr>
              <w:spacing w:after="80"/>
            </w:pPr>
            <w:r>
              <w:rPr>
                <w:color w:val="3D4852"/>
                <w:sz w:val="17"/>
                <w:szCs w:val="17"/>
              </w:rPr>
              <w:t>Nexus Research is a self-directed body of equity research focused on building and testing investment theses. Each note is an original, rigorous investment memo built around a single publicly traded company — a stated thesis, a mapped set of drivers, a defined falsification test, and a tracked outcome. The goal is to learn what it actually takes to find an edge: to identify where the market is wrong, explain why, and be specific enough that the passage of time proves or disproves the argument. Every note is written as if it will be read professionally, because the habit of that standard is the point.</w:t>
            </w:r>
          </w:p>
          <w:p w14:paraId="6AD47F47" w14:textId="77777777" w:rsidR="003B2206" w:rsidRDefault="00ED19CA">
            <w:pPr>
              <w:spacing w:before="100" w:after="24"/>
            </w:pPr>
            <w:r>
              <w:rPr>
                <w:b/>
                <w:bCs/>
                <w:color w:val="0D1B2A"/>
                <w:sz w:val="18"/>
                <w:szCs w:val="18"/>
              </w:rPr>
              <w:t>What This Research Is Not</w:t>
            </w:r>
          </w:p>
          <w:p w14:paraId="7523BF6D" w14:textId="77777777" w:rsidR="003B2206" w:rsidRDefault="00ED19CA">
            <w:pPr>
              <w:spacing w:after="80"/>
            </w:pPr>
            <w:r>
              <w:rPr>
                <w:color w:val="3D4852"/>
                <w:sz w:val="17"/>
                <w:szCs w:val="17"/>
              </w:rPr>
              <w:t>Nothing published under Nexus Research constitutes investment advice, a solicitation to buy or sell any security, or a recommendation of any kind. These notes represent personal analytical views at the time of writing. They are not audited, not independently verified, and not guaranteed to be accurate or complete. Views may change as new information becomes available.</w:t>
            </w:r>
          </w:p>
          <w:p w14:paraId="7773A384" w14:textId="77777777" w:rsidR="003B2206" w:rsidRDefault="00ED19CA">
            <w:pPr>
              <w:spacing w:before="100" w:after="24"/>
            </w:pPr>
            <w:r>
              <w:rPr>
                <w:b/>
                <w:bCs/>
                <w:color w:val="0D1B2A"/>
                <w:sz w:val="18"/>
                <w:szCs w:val="18"/>
              </w:rPr>
              <w:t>Outcome Tracking</w:t>
            </w:r>
          </w:p>
          <w:p w14:paraId="2A5506F3" w14:textId="77777777" w:rsidR="003B2206" w:rsidRDefault="00ED19CA">
            <w:pPr>
              <w:spacing w:after="80"/>
            </w:pPr>
            <w:r>
              <w:rPr>
                <w:color w:val="3D4852"/>
                <w:sz w:val="17"/>
                <w:szCs w:val="17"/>
              </w:rPr>
              <w:t>Each Nexus Research note includes a defined falsification test — specific conditions under which the thesis is confirmed or invalidated. Where prior notes exist on a company, a Thesis Check-In note documents what actually happened: whether the thesis played out, where the analysis was wrong, and what the market ultimately priced in. This public record of outcomes is intentional. The only way to know if the analytical process works is to check.</w:t>
            </w:r>
          </w:p>
          <w:p w14:paraId="1AF865D5" w14:textId="77777777" w:rsidR="003B2206" w:rsidRDefault="00ED19CA">
            <w:pPr>
              <w:spacing w:before="100" w:after="24"/>
            </w:pPr>
            <w:r>
              <w:rPr>
                <w:b/>
                <w:bCs/>
                <w:color w:val="0D1B2A"/>
                <w:sz w:val="18"/>
                <w:szCs w:val="18"/>
              </w:rPr>
              <w:t>No Reliance</w:t>
            </w:r>
          </w:p>
          <w:p w14:paraId="46674FC8" w14:textId="77777777" w:rsidR="003B2206" w:rsidRDefault="00ED19CA">
            <w:pPr>
              <w:spacing w:after="80"/>
            </w:pPr>
            <w:r>
              <w:rPr>
                <w:color w:val="3D4852"/>
                <w:sz w:val="17"/>
                <w:szCs w:val="17"/>
              </w:rPr>
              <w:t>You should not make any investment decision based on anything written in these notes. Always do your own research and consult a qualified financial professional before making any investment decision. Past analytical accuracy, where it exists, is not indicative of future results.</w:t>
            </w:r>
          </w:p>
          <w:p w14:paraId="046C765D" w14:textId="77777777" w:rsidR="003B2206" w:rsidRDefault="00ED19CA">
            <w:pPr>
              <w:spacing w:before="100" w:after="24"/>
            </w:pPr>
            <w:r>
              <w:rPr>
                <w:b/>
                <w:bCs/>
                <w:color w:val="0D1B2A"/>
                <w:sz w:val="18"/>
                <w:szCs w:val="18"/>
              </w:rPr>
              <w:t>Data Sources</w:t>
            </w:r>
          </w:p>
          <w:p w14:paraId="500584EF" w14:textId="77777777" w:rsidR="003B2206" w:rsidRDefault="00ED19CA">
            <w:pPr>
              <w:spacing w:after="80"/>
            </w:pPr>
            <w:r>
              <w:rPr>
                <w:color w:val="3D4852"/>
                <w:sz w:val="17"/>
                <w:szCs w:val="17"/>
              </w:rPr>
              <w:t>Financial data, estimates, and market information referenced in Nexus Research notes are sourced from one or more of the following: SEC EDGAR filings (10-K, 10-Q, 8-K), company investor relations materials and earnings call transcripts, fiscal.ai, Yahoo Finance, Koyfin, Seeking Alpha, and FactSet or S&amp;P Global data accessed through third-party platforms. Consensus estimates reflect publicly available analyst data as of the report date. Nexus Research does not independently verify third-party data and makes no representation as to its accuracy or completeness.</w:t>
            </w:r>
          </w:p>
          <w:p w14:paraId="7EC992AC" w14:textId="77777777" w:rsidR="003B2206" w:rsidRDefault="00ED19CA">
            <w:pPr>
              <w:spacing w:before="80"/>
            </w:pPr>
            <w:r>
              <w:rPr>
                <w:i/>
                <w:iCs/>
                <w:color w:val="6B7785"/>
                <w:sz w:val="17"/>
                <w:szCs w:val="17"/>
              </w:rPr>
              <w:t>© Mary Scott  ·  Nexus Research  ·  All notes are for educational and informational purposes only</w:t>
            </w:r>
          </w:p>
        </w:tc>
      </w:tr>
    </w:tbl>
    <w:p w14:paraId="03197400" w14:textId="77777777" w:rsidR="00D734D5" w:rsidRDefault="00D734D5"/>
    <w:sectPr w:rsidR="00D734D5">
      <w:headerReference w:type="default" r:id="rId10"/>
      <w:footerReference w:type="default" r:id="rId11"/>
      <w:pgSz w:w="12240" w:h="15840"/>
      <w:pgMar w:top="1008" w:right="1080" w:bottom="1008"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51B55" w14:textId="77777777" w:rsidR="00D734D5" w:rsidRDefault="00D734D5">
      <w:r>
        <w:separator/>
      </w:r>
    </w:p>
  </w:endnote>
  <w:endnote w:type="continuationSeparator" w:id="0">
    <w:p w14:paraId="0E1500D4" w14:textId="77777777" w:rsidR="00D734D5" w:rsidRDefault="00D73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800" w14:textId="6316B579" w:rsidR="00ED19CA" w:rsidRDefault="00ED19CA">
    <w:pPr>
      <w:pBdr>
        <w:top w:val="single" w:sz="4" w:space="6" w:color="D0D4D9"/>
      </w:pBdr>
      <w:tabs>
        <w:tab w:val="right" w:pos="9026"/>
      </w:tabs>
      <w:spacing w:before="80"/>
    </w:pPr>
    <w:r>
      <w:rPr>
        <w:color w:val="6B7785"/>
        <w:sz w:val="15"/>
        <w:szCs w:val="15"/>
      </w:rPr>
      <w:t xml:space="preserve">Nexus </w:t>
    </w:r>
    <w:proofErr w:type="gramStart"/>
    <w:r>
      <w:rPr>
        <w:color w:val="6B7785"/>
        <w:sz w:val="15"/>
        <w:szCs w:val="15"/>
      </w:rPr>
      <w:t>Research  ·</w:t>
    </w:r>
    <w:proofErr w:type="gramEnd"/>
    <w:r>
      <w:rPr>
        <w:color w:val="6B7785"/>
        <w:sz w:val="15"/>
        <w:szCs w:val="15"/>
      </w:rPr>
      <w:t xml:space="preserve">  Independent Equity Analysis by Mary Scott</w:t>
    </w:r>
    <w:r>
      <w:tab/>
    </w:r>
    <w:r>
      <w:rPr>
        <w:b/>
        <w:bCs/>
        <w:color w:val="1C2B3A"/>
        <w:sz w:val="15"/>
        <w:szCs w:val="15"/>
      </w:rPr>
      <w:t xml:space="preserve">Nexus </w:t>
    </w:r>
    <w:proofErr w:type="gramStart"/>
    <w:r>
      <w:rPr>
        <w:b/>
        <w:bCs/>
        <w:color w:val="1C2B3A"/>
        <w:sz w:val="15"/>
        <w:szCs w:val="15"/>
      </w:rPr>
      <w:t>Research  ·</w:t>
    </w:r>
    <w:proofErr w:type="gramEnd"/>
    <w:r>
      <w:rPr>
        <w:b/>
        <w:bCs/>
        <w:color w:val="1C2B3A"/>
        <w:sz w:val="15"/>
        <w:szCs w:val="15"/>
      </w:rPr>
      <w:t xml:space="preserve">  Directional Thesis Memo</w:t>
    </w:r>
    <w:r>
      <w:rPr>
        <w:color w:val="6B7785"/>
        <w:sz w:val="15"/>
        <w:szCs w:val="15"/>
      </w:rPr>
      <w:t xml:space="preserve">     </w:t>
    </w:r>
    <w:r w:rsidR="00AD79FD">
      <w:rPr>
        <w:color w:val="6B7785"/>
        <w:sz w:val="15"/>
        <w:szCs w:val="15"/>
      </w:rPr>
      <w:t>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C100" w14:textId="77777777" w:rsidR="00D734D5" w:rsidRDefault="00D734D5">
      <w:r>
        <w:separator/>
      </w:r>
    </w:p>
  </w:footnote>
  <w:footnote w:type="continuationSeparator" w:id="0">
    <w:p w14:paraId="7F90D274" w14:textId="77777777" w:rsidR="00D734D5" w:rsidRDefault="00D73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BAF0" w14:textId="06FE719B" w:rsidR="00ED19CA" w:rsidRPr="00AD79FD" w:rsidRDefault="00AD79FD">
    <w:pPr>
      <w:pBdr>
        <w:bottom w:val="single" w:sz="6" w:space="6" w:color="A07830"/>
      </w:pBdr>
      <w:tabs>
        <w:tab w:val="right" w:pos="9026"/>
      </w:tabs>
      <w:spacing w:after="100"/>
      <w:rPr>
        <w:b/>
        <w:bCs/>
        <w:caps/>
        <w:color w:val="0D1B2A"/>
        <w:sz w:val="15"/>
        <w:szCs w:val="15"/>
      </w:rPr>
    </w:pPr>
    <w:r>
      <w:rPr>
        <w:b/>
        <w:bCs/>
        <w:caps/>
        <w:color w:val="0D1B2A"/>
        <w:sz w:val="15"/>
        <w:szCs w:val="15"/>
      </w:rPr>
      <w:t>Kenvue Inc.</w:t>
    </w:r>
    <w:r w:rsidR="00ED19CA">
      <w:rPr>
        <w:b/>
        <w:bCs/>
        <w:caps/>
        <w:color w:val="0D1B2A"/>
        <w:sz w:val="15"/>
        <w:szCs w:val="15"/>
      </w:rPr>
      <w:t xml:space="preserve">  </w:t>
    </w:r>
    <w:r>
      <w:rPr>
        <w:b/>
        <w:bCs/>
        <w:caps/>
        <w:color w:val="0D1B2A"/>
        <w:sz w:val="15"/>
        <w:szCs w:val="15"/>
      </w:rPr>
      <w:t>KVUE</w:t>
    </w:r>
    <w:r w:rsidR="00ED19CA">
      <w:rPr>
        <w:b/>
        <w:bCs/>
        <w:caps/>
        <w:color w:val="0D1B2A"/>
        <w:sz w:val="15"/>
        <w:szCs w:val="15"/>
      </w:rPr>
      <w:t xml:space="preserve"> /</w:t>
    </w:r>
    <w:proofErr w:type="gramStart"/>
    <w:r w:rsidR="00ED19CA">
      <w:rPr>
        <w:b/>
        <w:bCs/>
        <w:caps/>
        <w:color w:val="0D1B2A"/>
        <w:sz w:val="15"/>
        <w:szCs w:val="15"/>
      </w:rPr>
      <w:t>/  Directional</w:t>
    </w:r>
    <w:proofErr w:type="gramEnd"/>
    <w:r w:rsidR="00ED19CA">
      <w:rPr>
        <w:b/>
        <w:bCs/>
        <w:caps/>
        <w:color w:val="0D1B2A"/>
        <w:sz w:val="15"/>
        <w:szCs w:val="15"/>
      </w:rPr>
      <w:t xml:space="preserve"> Thesis</w:t>
    </w:r>
    <w:r w:rsidR="00ED19CA">
      <w:tab/>
    </w:r>
    <w:r w:rsidR="00ED19CA">
      <w:rPr>
        <w:color w:val="6B7785"/>
        <w:sz w:val="15"/>
        <w:szCs w:val="15"/>
      </w:rPr>
      <w:t xml:space="preserve">Mary </w:t>
    </w:r>
    <w:proofErr w:type="gramStart"/>
    <w:r w:rsidR="00ED19CA">
      <w:rPr>
        <w:color w:val="6B7785"/>
        <w:sz w:val="15"/>
        <w:szCs w:val="15"/>
      </w:rPr>
      <w:t>Scott  ·</w:t>
    </w:r>
    <w:proofErr w:type="gramEnd"/>
    <w:r w:rsidR="00ED19CA">
      <w:rPr>
        <w:color w:val="6B7785"/>
        <w:sz w:val="15"/>
        <w:szCs w:val="15"/>
      </w:rPr>
      <w:t xml:space="preserve">  raptor8600.github.io/Portfolio-Site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7070"/>
    <w:multiLevelType w:val="hybridMultilevel"/>
    <w:tmpl w:val="82406280"/>
    <w:lvl w:ilvl="0" w:tplc="5C6E5C90">
      <w:start w:val="1"/>
      <w:numFmt w:val="bullet"/>
      <w:lvlText w:val="–"/>
      <w:lvlJc w:val="left"/>
      <w:pPr>
        <w:ind w:left="480" w:hanging="240"/>
      </w:pPr>
    </w:lvl>
    <w:lvl w:ilvl="1" w:tplc="8CF4EBE4">
      <w:numFmt w:val="decimal"/>
      <w:lvlText w:val=""/>
      <w:lvlJc w:val="left"/>
    </w:lvl>
    <w:lvl w:ilvl="2" w:tplc="0C0C7DA2">
      <w:numFmt w:val="decimal"/>
      <w:lvlText w:val=""/>
      <w:lvlJc w:val="left"/>
    </w:lvl>
    <w:lvl w:ilvl="3" w:tplc="3F50336A">
      <w:numFmt w:val="decimal"/>
      <w:lvlText w:val=""/>
      <w:lvlJc w:val="left"/>
    </w:lvl>
    <w:lvl w:ilvl="4" w:tplc="F77873B4">
      <w:numFmt w:val="decimal"/>
      <w:lvlText w:val=""/>
      <w:lvlJc w:val="left"/>
    </w:lvl>
    <w:lvl w:ilvl="5" w:tplc="3C1A3DA2">
      <w:numFmt w:val="decimal"/>
      <w:lvlText w:val=""/>
      <w:lvlJc w:val="left"/>
    </w:lvl>
    <w:lvl w:ilvl="6" w:tplc="D0C227CA">
      <w:numFmt w:val="decimal"/>
      <w:lvlText w:val=""/>
      <w:lvlJc w:val="left"/>
    </w:lvl>
    <w:lvl w:ilvl="7" w:tplc="C1880236">
      <w:numFmt w:val="decimal"/>
      <w:lvlText w:val=""/>
      <w:lvlJc w:val="left"/>
    </w:lvl>
    <w:lvl w:ilvl="8" w:tplc="2BB40294">
      <w:numFmt w:val="decimal"/>
      <w:lvlText w:val=""/>
      <w:lvlJc w:val="left"/>
    </w:lvl>
  </w:abstractNum>
  <w:abstractNum w:abstractNumId="1" w15:restartNumberingAfterBreak="0">
    <w:nsid w:val="30445CF0"/>
    <w:multiLevelType w:val="hybridMultilevel"/>
    <w:tmpl w:val="551A3912"/>
    <w:lvl w:ilvl="0" w:tplc="D2384F68">
      <w:start w:val="1"/>
      <w:numFmt w:val="bullet"/>
      <w:lvlText w:val="●"/>
      <w:lvlJc w:val="left"/>
      <w:pPr>
        <w:ind w:left="720" w:hanging="360"/>
      </w:pPr>
    </w:lvl>
    <w:lvl w:ilvl="1" w:tplc="D5D013A2">
      <w:start w:val="1"/>
      <w:numFmt w:val="bullet"/>
      <w:lvlText w:val="○"/>
      <w:lvlJc w:val="left"/>
      <w:pPr>
        <w:ind w:left="1440" w:hanging="360"/>
      </w:pPr>
    </w:lvl>
    <w:lvl w:ilvl="2" w:tplc="78664BEA">
      <w:start w:val="1"/>
      <w:numFmt w:val="bullet"/>
      <w:lvlText w:val="■"/>
      <w:lvlJc w:val="left"/>
      <w:pPr>
        <w:ind w:left="2160" w:hanging="360"/>
      </w:pPr>
    </w:lvl>
    <w:lvl w:ilvl="3" w:tplc="BF5A8CFE">
      <w:start w:val="1"/>
      <w:numFmt w:val="bullet"/>
      <w:lvlText w:val="●"/>
      <w:lvlJc w:val="left"/>
      <w:pPr>
        <w:ind w:left="2880" w:hanging="360"/>
      </w:pPr>
    </w:lvl>
    <w:lvl w:ilvl="4" w:tplc="4DA06318">
      <w:start w:val="1"/>
      <w:numFmt w:val="bullet"/>
      <w:lvlText w:val="○"/>
      <w:lvlJc w:val="left"/>
      <w:pPr>
        <w:ind w:left="3600" w:hanging="360"/>
      </w:pPr>
    </w:lvl>
    <w:lvl w:ilvl="5" w:tplc="0EC63D06">
      <w:start w:val="1"/>
      <w:numFmt w:val="bullet"/>
      <w:lvlText w:val="■"/>
      <w:lvlJc w:val="left"/>
      <w:pPr>
        <w:ind w:left="4320" w:hanging="360"/>
      </w:pPr>
    </w:lvl>
    <w:lvl w:ilvl="6" w:tplc="A29A8D70">
      <w:start w:val="1"/>
      <w:numFmt w:val="bullet"/>
      <w:lvlText w:val="●"/>
      <w:lvlJc w:val="left"/>
      <w:pPr>
        <w:ind w:left="5040" w:hanging="360"/>
      </w:pPr>
    </w:lvl>
    <w:lvl w:ilvl="7" w:tplc="A92A4710">
      <w:start w:val="1"/>
      <w:numFmt w:val="bullet"/>
      <w:lvlText w:val="●"/>
      <w:lvlJc w:val="left"/>
      <w:pPr>
        <w:ind w:left="5760" w:hanging="360"/>
      </w:pPr>
    </w:lvl>
    <w:lvl w:ilvl="8" w:tplc="A3C68C00">
      <w:start w:val="1"/>
      <w:numFmt w:val="bullet"/>
      <w:lvlText w:val="●"/>
      <w:lvlJc w:val="left"/>
      <w:pPr>
        <w:ind w:left="6480" w:hanging="360"/>
      </w:pPr>
    </w:lvl>
  </w:abstractNum>
  <w:num w:numId="1" w16cid:durableId="741215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206"/>
    <w:rsid w:val="000F1EA0"/>
    <w:rsid w:val="00123540"/>
    <w:rsid w:val="003B2206"/>
    <w:rsid w:val="004F45EF"/>
    <w:rsid w:val="00522C67"/>
    <w:rsid w:val="006B6CD0"/>
    <w:rsid w:val="007B7538"/>
    <w:rsid w:val="00A114F9"/>
    <w:rsid w:val="00AD79FD"/>
    <w:rsid w:val="00B01C1F"/>
    <w:rsid w:val="00BA1341"/>
    <w:rsid w:val="00BB175B"/>
    <w:rsid w:val="00D125DE"/>
    <w:rsid w:val="00D734D5"/>
    <w:rsid w:val="00DA0906"/>
    <w:rsid w:val="00DC2535"/>
    <w:rsid w:val="00DD3B13"/>
    <w:rsid w:val="00DD493E"/>
    <w:rsid w:val="00E10803"/>
    <w:rsid w:val="00ED19CA"/>
    <w:rsid w:val="00EF7EDF"/>
    <w:rsid w:val="00F13D16"/>
    <w:rsid w:val="00F673F6"/>
    <w:rsid w:val="00FA5DB9"/>
    <w:rsid w:val="00FC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A743F"/>
  <w15:docId w15:val="{9C208602-5F11-434A-94CF-0D17841F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41414"/>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79FD"/>
    <w:pPr>
      <w:tabs>
        <w:tab w:val="center" w:pos="4680"/>
        <w:tab w:val="right" w:pos="9360"/>
      </w:tabs>
    </w:pPr>
  </w:style>
  <w:style w:type="character" w:customStyle="1" w:styleId="HeaderChar">
    <w:name w:val="Header Char"/>
    <w:basedOn w:val="DefaultParagraphFont"/>
    <w:link w:val="Header"/>
    <w:uiPriority w:val="99"/>
    <w:rsid w:val="00AD79FD"/>
  </w:style>
  <w:style w:type="paragraph" w:styleId="Footer">
    <w:name w:val="footer"/>
    <w:basedOn w:val="Normal"/>
    <w:link w:val="FooterChar"/>
    <w:uiPriority w:val="99"/>
    <w:unhideWhenUsed/>
    <w:rsid w:val="00AD79FD"/>
    <w:pPr>
      <w:tabs>
        <w:tab w:val="center" w:pos="4680"/>
        <w:tab w:val="right" w:pos="9360"/>
      </w:tabs>
    </w:pPr>
  </w:style>
  <w:style w:type="character" w:customStyle="1" w:styleId="FooterChar">
    <w:name w:val="Footer Char"/>
    <w:basedOn w:val="DefaultParagraphFont"/>
    <w:link w:val="Footer"/>
    <w:uiPriority w:val="99"/>
    <w:rsid w:val="00AD7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09CC07FD4014790E5235C8FD4BE1E" ma:contentTypeVersion="16" ma:contentTypeDescription="Create a new document." ma:contentTypeScope="" ma:versionID="9dc0c8ff59a0a9c0163a1406cc087810">
  <xsd:schema xmlns:xsd="http://www.w3.org/2001/XMLSchema" xmlns:xs="http://www.w3.org/2001/XMLSchema" xmlns:p="http://schemas.microsoft.com/office/2006/metadata/properties" xmlns:ns3="9867b3bb-d61c-4806-bebc-1b52eee2d563" xmlns:ns4="4ea93209-758e-4b22-b318-fa787c1c2de6" targetNamespace="http://schemas.microsoft.com/office/2006/metadata/properties" ma:root="true" ma:fieldsID="ade5fd286dec5d3d117fae127bc198fd" ns3:_="" ns4:_="">
    <xsd:import namespace="9867b3bb-d61c-4806-bebc-1b52eee2d563"/>
    <xsd:import namespace="4ea93209-758e-4b22-b318-fa787c1c2de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Locatio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7b3bb-d61c-4806-bebc-1b52eee2d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3209-758e-4b22-b318-fa787c1c2de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867b3bb-d61c-4806-bebc-1b52eee2d563" xsi:nil="true"/>
  </documentManagement>
</p:properties>
</file>

<file path=customXml/itemProps1.xml><?xml version="1.0" encoding="utf-8"?>
<ds:datastoreItem xmlns:ds="http://schemas.openxmlformats.org/officeDocument/2006/customXml" ds:itemID="{FB7867BD-C5C6-413D-8015-7C9D06257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67b3bb-d61c-4806-bebc-1b52eee2d563"/>
    <ds:schemaRef ds:uri="4ea93209-758e-4b22-b318-fa787c1c2d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314600-D353-4FE3-A94A-76050B9BF251}">
  <ds:schemaRefs>
    <ds:schemaRef ds:uri="http://schemas.microsoft.com/sharepoint/v3/contenttype/forms"/>
  </ds:schemaRefs>
</ds:datastoreItem>
</file>

<file path=customXml/itemProps3.xml><?xml version="1.0" encoding="utf-8"?>
<ds:datastoreItem xmlns:ds="http://schemas.openxmlformats.org/officeDocument/2006/customXml" ds:itemID="{82C0829C-7D35-4BE0-AB66-029A58385C2C}">
  <ds:schemaRefs>
    <ds:schemaRef ds:uri="http://purl.org/dc/terms/"/>
    <ds:schemaRef ds:uri="http://schemas.microsoft.com/office/2006/metadata/properties"/>
    <ds:schemaRef ds:uri="http://schemas.openxmlformats.org/package/2006/metadata/core-properties"/>
    <ds:schemaRef ds:uri="http://purl.org/dc/elements/1.1/"/>
    <ds:schemaRef ds:uri="http://schemas.microsoft.com/office/2006/documentManagement/types"/>
    <ds:schemaRef ds:uri="4ea93209-758e-4b22-b318-fa787c1c2de6"/>
    <ds:schemaRef ds:uri="http://www.w3.org/XML/1998/namespace"/>
    <ds:schemaRef ds:uri="http://purl.org/dc/dcmitype/"/>
    <ds:schemaRef ds:uri="http://schemas.microsoft.com/office/infopath/2007/PartnerControls"/>
    <ds:schemaRef ds:uri="9867b3bb-d61c-4806-bebc-1b52eee2d56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Grace Scott</cp:lastModifiedBy>
  <cp:revision>2</cp:revision>
  <dcterms:created xsi:type="dcterms:W3CDTF">2026-05-12T04:37:00Z</dcterms:created>
  <dcterms:modified xsi:type="dcterms:W3CDTF">2026-05-12T04:37:00Z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0x010100AF509CC07FD4014790E5235C8FD4BE1E</vt:lpwstr>
  </property>
</Properties>
</file>