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C24" w14:paraId="58BB68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260" w:type="dxa"/>
              <w:left w:w="280" w:type="dxa"/>
              <w:bottom w:w="260" w:type="dxa"/>
              <w:right w:w="280" w:type="dxa"/>
            </w:tcMar>
          </w:tcPr>
          <w:p w14:paraId="66BCE80C" w14:textId="77777777" w:rsidR="002A1C24" w:rsidRDefault="00000000">
            <w:r>
              <w:rPr>
                <w:b/>
                <w:bCs/>
                <w:color w:val="FFFFFF"/>
                <w:sz w:val="52"/>
                <w:szCs w:val="52"/>
              </w:rPr>
              <w:t>NEXUS</w:t>
            </w:r>
            <w:r>
              <w:rPr>
                <w:b/>
                <w:bCs/>
                <w:color w:val="C09848"/>
                <w:sz w:val="52"/>
                <w:szCs w:val="52"/>
              </w:rPr>
              <w:t xml:space="preserve">  RESEARCH</w:t>
            </w:r>
          </w:p>
          <w:p w14:paraId="781F02CD" w14:textId="77777777" w:rsidR="002A1C24" w:rsidRDefault="00000000">
            <w:pPr>
              <w:spacing w:before="40"/>
            </w:pPr>
            <w:r>
              <w:rPr>
                <w:color w:val="D4B870"/>
                <w:sz w:val="18"/>
                <w:szCs w:val="18"/>
              </w:rPr>
              <w:t>Independent Equity Analysis by Mary Scott</w:t>
            </w:r>
            <w:r>
              <w:rPr>
                <w:color w:val="6B7785"/>
                <w:sz w:val="18"/>
                <w:szCs w:val="18"/>
              </w:rPr>
              <w:t xml:space="preserve">     ·     NEUTRAL / HOLD</w:t>
            </w:r>
          </w:p>
        </w:tc>
      </w:tr>
    </w:tbl>
    <w:p w14:paraId="28A9F9ED" w14:textId="77777777" w:rsidR="002A1C24" w:rsidRDefault="002A1C24">
      <w:pPr>
        <w:spacing w:before="480"/>
      </w:pPr>
    </w:p>
    <w:p w14:paraId="1BE5C23B" w14:textId="77777777" w:rsidR="002A1C24" w:rsidRDefault="00000000">
      <w:r>
        <w:rPr>
          <w:b/>
          <w:bCs/>
          <w:color w:val="0D1B2A"/>
          <w:sz w:val="72"/>
          <w:szCs w:val="72"/>
        </w:rPr>
        <w:t>Costco Wholesale Corporation</w:t>
      </w:r>
    </w:p>
    <w:p w14:paraId="58590FB3" w14:textId="77777777" w:rsidR="002A1C24" w:rsidRDefault="00000000">
      <w:pPr>
        <w:spacing w:before="80"/>
      </w:pPr>
      <w:r>
        <w:rPr>
          <w:b/>
          <w:bCs/>
          <w:color w:val="A07830"/>
          <w:sz w:val="24"/>
          <w:szCs w:val="24"/>
        </w:rPr>
        <w:t>COST</w:t>
      </w:r>
      <w:r>
        <w:rPr>
          <w:color w:val="3D4852"/>
          <w:sz w:val="20"/>
          <w:szCs w:val="20"/>
        </w:rPr>
        <w:t xml:space="preserve">  ·  Consumer Defensive · Consumer Staples Distribution &amp; Retail  ·  NasdaqGS</w:t>
      </w:r>
    </w:p>
    <w:p w14:paraId="39003E1A" w14:textId="77777777" w:rsidR="00996442" w:rsidRDefault="00000000">
      <w:pPr>
        <w:spacing w:before="120" w:after="0"/>
      </w:pPr>
      <w:r>
        <w:rPr>
          <w:b/>
          <w:bCs/>
          <w:caps/>
          <w:color w:val="A07830"/>
          <w:sz w:val="28"/>
          <w:szCs w:val="28"/>
        </w:rPr>
        <w:t>NEUTRAL / HOLD</w:t>
      </w:r>
    </w:p>
    <w:p w14:paraId="6BBC1DB1" w14:textId="77777777" w:rsidR="002A1C24" w:rsidRDefault="002A1C24">
      <w:pPr>
        <w:spacing w:before="80"/>
      </w:pPr>
    </w:p>
    <w:p w14:paraId="2ACBFD13" w14:textId="77777777" w:rsidR="002A1C24" w:rsidRDefault="002A1C24">
      <w:pPr>
        <w:pBdr>
          <w:bottom w:val="single" w:sz="6" w:space="1" w:color="A07830"/>
        </w:pBdr>
      </w:pPr>
    </w:p>
    <w:p w14:paraId="6EB8796C" w14:textId="77777777" w:rsidR="002A1C24" w:rsidRDefault="002A1C2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
        <w:gridCol w:w="3000"/>
        <w:gridCol w:w="240"/>
        <w:gridCol w:w="4080"/>
      </w:tblGrid>
      <w:tr w:rsidR="002A1C24" w14:paraId="3802C5C6" w14:textId="77777777">
        <w:tblPrEx>
          <w:tblCellMar>
            <w:top w:w="0" w:type="dxa"/>
            <w:bottom w:w="0" w:type="dxa"/>
          </w:tblCellMar>
        </w:tblPrEx>
        <w:tc>
          <w:tcPr>
            <w:tcW w:w="1800" w:type="dxa"/>
            <w:tcBorders>
              <w:top w:val="single" w:sz="12" w:space="0" w:color="A07830"/>
              <w:left w:val="single" w:sz="4" w:space="0" w:color="A07830"/>
              <w:bottom w:val="single" w:sz="12" w:space="0" w:color="A07830"/>
              <w:right w:val="single" w:sz="4" w:space="0" w:color="A07830"/>
            </w:tcBorders>
            <w:shd w:val="clear" w:color="auto" w:fill="0D1B2A"/>
            <w:tcMar>
              <w:top w:w="140" w:type="dxa"/>
              <w:left w:w="180" w:type="dxa"/>
              <w:bottom w:w="140" w:type="dxa"/>
              <w:right w:w="180" w:type="dxa"/>
            </w:tcMar>
          </w:tcPr>
          <w:p w14:paraId="361714ED" w14:textId="77777777" w:rsidR="002A1C24" w:rsidRDefault="00000000">
            <w:pPr>
              <w:spacing w:after="24"/>
            </w:pPr>
            <w:r>
              <w:rPr>
                <w:b/>
                <w:bCs/>
                <w:caps/>
                <w:color w:val="C09848"/>
                <w:sz w:val="15"/>
                <w:szCs w:val="15"/>
              </w:rPr>
              <w:t>STANCE</w:t>
            </w:r>
          </w:p>
          <w:p w14:paraId="2E8AA922" w14:textId="77777777" w:rsidR="002A1C24" w:rsidRDefault="00000000">
            <w:r>
              <w:rPr>
                <w:b/>
                <w:bCs/>
                <w:color w:val="FFFFFF"/>
                <w:sz w:val="48"/>
                <w:szCs w:val="48"/>
              </w:rPr>
              <w:t>HOLD</w:t>
            </w:r>
          </w:p>
        </w:tc>
        <w:tc>
          <w:tcPr>
            <w:tcW w:w="24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8873972" w14:textId="77777777" w:rsidR="002A1C24" w:rsidRDefault="002A1C24"/>
        </w:tc>
        <w:tc>
          <w:tcPr>
            <w:tcW w:w="3000" w:type="dxa"/>
            <w:tcBorders>
              <w:top w:val="none" w:sz="0" w:space="0" w:color="FFFFFF"/>
              <w:left w:val="none" w:sz="0" w:space="0" w:color="FFFFFF"/>
              <w:bottom w:val="none" w:sz="0" w:space="0" w:color="FFFFFF"/>
              <w:right w:val="none" w:sz="0" w:space="0" w:color="FFFFFF"/>
            </w:tcBorders>
            <w:shd w:val="clear" w:color="auto" w:fill="FFFFFF"/>
            <w:tcMar>
              <w:top w:w="120" w:type="dxa"/>
              <w:left w:w="0" w:type="dxa"/>
              <w:bottom w:w="120" w:type="dxa"/>
              <w:right w:w="0" w:type="dxa"/>
            </w:tcMar>
          </w:tcPr>
          <w:p w14:paraId="16B397D1" w14:textId="77777777" w:rsidR="002A1C24" w:rsidRDefault="00000000">
            <w:pPr>
              <w:spacing w:after="44"/>
            </w:pPr>
            <w:r>
              <w:rPr>
                <w:b/>
                <w:bCs/>
                <w:color w:val="6B7785"/>
                <w:sz w:val="17"/>
                <w:szCs w:val="17"/>
              </w:rPr>
              <w:t xml:space="preserve">Fair Value Est.  </w:t>
            </w:r>
            <w:r>
              <w:rPr>
                <w:b/>
                <w:bCs/>
                <w:sz w:val="24"/>
                <w:szCs w:val="24"/>
              </w:rPr>
              <w:t>$957</w:t>
            </w:r>
          </w:p>
          <w:p w14:paraId="02D3F8C2" w14:textId="77777777" w:rsidR="002A1C24" w:rsidRDefault="00000000">
            <w:pPr>
              <w:spacing w:after="44"/>
            </w:pPr>
            <w:r>
              <w:rPr>
                <w:b/>
                <w:bCs/>
                <w:color w:val="6B7785"/>
                <w:sz w:val="17"/>
                <w:szCs w:val="17"/>
              </w:rPr>
              <w:t xml:space="preserve">Current Price  </w:t>
            </w:r>
            <w:r>
              <w:rPr>
                <w:sz w:val="20"/>
                <w:szCs w:val="20"/>
              </w:rPr>
              <w:t>$1,028.88</w:t>
            </w:r>
          </w:p>
          <w:p w14:paraId="18FAD710" w14:textId="77777777" w:rsidR="002A1C24" w:rsidRDefault="00000000">
            <w:pPr>
              <w:spacing w:after="44"/>
            </w:pPr>
            <w:r>
              <w:rPr>
                <w:b/>
                <w:bCs/>
                <w:color w:val="6B7785"/>
                <w:sz w:val="17"/>
                <w:szCs w:val="17"/>
              </w:rPr>
              <w:t xml:space="preserve">Risk / Reward  </w:t>
            </w:r>
            <w:r>
              <w:rPr>
                <w:sz w:val="20"/>
                <w:szCs w:val="20"/>
              </w:rPr>
              <w:t>Balanced</w:t>
            </w:r>
          </w:p>
          <w:p w14:paraId="6A193736" w14:textId="77777777" w:rsidR="002A1C24" w:rsidRDefault="00000000">
            <w:r>
              <w:rPr>
                <w:b/>
                <w:bCs/>
                <w:color w:val="6B7785"/>
                <w:sz w:val="17"/>
                <w:szCs w:val="17"/>
              </w:rPr>
              <w:t xml:space="preserve">Re-Rating Risk  </w:t>
            </w:r>
            <w:r>
              <w:rPr>
                <w:sz w:val="20"/>
                <w:szCs w:val="20"/>
              </w:rPr>
              <w:t>Low / Medium</w:t>
            </w:r>
          </w:p>
        </w:tc>
        <w:tc>
          <w:tcPr>
            <w:tcW w:w="24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467FE83" w14:textId="77777777" w:rsidR="002A1C24" w:rsidRDefault="002A1C24"/>
        </w:tc>
        <w:tc>
          <w:tcPr>
            <w:tcW w:w="4080" w:type="dxa"/>
            <w:tcBorders>
              <w:top w:val="none" w:sz="0" w:space="0" w:color="FFFFFF"/>
              <w:left w:val="single" w:sz="8" w:space="0" w:color="A07830"/>
              <w:bottom w:val="none" w:sz="0" w:space="0" w:color="FFFFFF"/>
              <w:right w:val="none" w:sz="0" w:space="0" w:color="FFFFFF"/>
            </w:tcBorders>
            <w:shd w:val="clear" w:color="auto" w:fill="FFFFFF"/>
            <w:tcMar>
              <w:top w:w="100" w:type="dxa"/>
              <w:left w:w="200" w:type="dxa"/>
              <w:bottom w:w="100" w:type="dxa"/>
              <w:right w:w="0" w:type="dxa"/>
            </w:tcMar>
          </w:tcPr>
          <w:p w14:paraId="049BD703" w14:textId="77777777" w:rsidR="002A1C24" w:rsidRDefault="00000000">
            <w:pPr>
              <w:spacing w:after="30"/>
            </w:pPr>
            <w:r>
              <w:rPr>
                <w:b/>
                <w:bCs/>
                <w:caps/>
                <w:color w:val="A07830"/>
                <w:sz w:val="14"/>
                <w:szCs w:val="14"/>
              </w:rPr>
              <w:t>THESIS SUMMARY</w:t>
            </w:r>
          </w:p>
          <w:p w14:paraId="69944562" w14:textId="77777777" w:rsidR="002A1C24" w:rsidRDefault="00000000">
            <w:r>
              <w:rPr>
                <w:i/>
                <w:iCs/>
                <w:color w:val="6B7785"/>
                <w:sz w:val="17"/>
                <w:szCs w:val="17"/>
              </w:rPr>
              <w:t>The market believes Costco can continue compounding earnings at a premium rate because its membership model creates stable recurring revenue, high loyalty, and structural pricing advantages competitors cannot replicate.</w:t>
            </w:r>
          </w:p>
          <w:p w14:paraId="7836C2C0" w14:textId="77777777" w:rsidR="002A1C24" w:rsidRDefault="002A1C24">
            <w:pPr>
              <w:spacing w:before="60"/>
            </w:pPr>
          </w:p>
          <w:p w14:paraId="67DA2D25" w14:textId="77777777" w:rsidR="002A1C24" w:rsidRDefault="00000000">
            <w:r>
              <w:rPr>
                <w:b/>
                <w:bCs/>
                <w:color w:val="0D1B2A"/>
                <w:sz w:val="17"/>
                <w:szCs w:val="17"/>
              </w:rPr>
              <w:t xml:space="preserve">→  </w:t>
            </w:r>
            <w:r>
              <w:rPr>
                <w:i/>
                <w:iCs/>
                <w:color w:val="6B7785"/>
                <w:sz w:val="17"/>
                <w:szCs w:val="17"/>
              </w:rPr>
              <w:t>In reality, Costco’s strongest growth drivers are naturally maturing — domestic warehouse density, renewal rates, and executive penetration are approaching natural ceilings — and the current 53x P/E leaves no margin of safety for even modest growth normalization. This becomes visible across the next 2–4 earnings cycles as membership momentum data is reported.</w:t>
            </w:r>
          </w:p>
        </w:tc>
      </w:tr>
    </w:tbl>
    <w:p w14:paraId="5D6A14E5" w14:textId="77777777" w:rsidR="002A1C24" w:rsidRDefault="002A1C24">
      <w:pPr>
        <w:spacing w:before="160"/>
      </w:pPr>
    </w:p>
    <w:p w14:paraId="49B07879" w14:textId="77777777" w:rsidR="002A1C24" w:rsidRDefault="002A1C24">
      <w:pPr>
        <w:pBdr>
          <w:bottom w:val="single" w:sz="2" w:space="1" w:color="D0D4D9"/>
        </w:pBdr>
      </w:pPr>
    </w:p>
    <w:p w14:paraId="120A8749" w14:textId="77777777" w:rsidR="002A1C24" w:rsidRDefault="002A1C2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C24" w14:paraId="49018D9F" w14:textId="77777777">
        <w:tblPrEx>
          <w:tblCellMar>
            <w:top w:w="0" w:type="dxa"/>
            <w:bottom w:w="0" w:type="dxa"/>
          </w:tblCellMar>
        </w:tblPrEx>
        <w:tc>
          <w:tcPr>
            <w:tcW w:w="9360" w:type="dxa"/>
            <w:tcBorders>
              <w:top w:val="single" w:sz="2" w:space="0" w:color="D0D4D9"/>
              <w:left w:val="single" w:sz="2" w:space="0" w:color="D0D4D9"/>
              <w:bottom w:val="single" w:sz="2" w:space="0" w:color="D0D4D9"/>
              <w:right w:val="single" w:sz="2" w:space="0" w:color="D0D4D9"/>
            </w:tcBorders>
            <w:shd w:val="clear" w:color="auto" w:fill="F5F6F7"/>
            <w:tcMar>
              <w:top w:w="160" w:type="dxa"/>
              <w:left w:w="220" w:type="dxa"/>
              <w:bottom w:w="160" w:type="dxa"/>
              <w:right w:w="220" w:type="dxa"/>
            </w:tcMar>
          </w:tcPr>
          <w:p w14:paraId="38F4C061" w14:textId="77777777" w:rsidR="002A1C24" w:rsidRDefault="00000000">
            <w:pPr>
              <w:tabs>
                <w:tab w:val="right" w:pos="8480"/>
              </w:tabs>
              <w:spacing w:after="60"/>
            </w:pPr>
            <w:r>
              <w:rPr>
                <w:b/>
                <w:bCs/>
                <w:caps/>
                <w:color w:val="A07830"/>
                <w:sz w:val="15"/>
                <w:szCs w:val="15"/>
              </w:rPr>
              <w:t>ANALYST</w:t>
            </w:r>
            <w:r>
              <w:tab/>
            </w:r>
            <w:r>
              <w:rPr>
                <w:b/>
                <w:bCs/>
                <w:caps/>
                <w:color w:val="A07830"/>
                <w:sz w:val="15"/>
                <w:szCs w:val="15"/>
              </w:rPr>
              <w:t>REPORT DATE</w:t>
            </w:r>
          </w:p>
          <w:p w14:paraId="2085204F" w14:textId="77777777" w:rsidR="002A1C24" w:rsidRDefault="00000000">
            <w:pPr>
              <w:tabs>
                <w:tab w:val="right" w:pos="8480"/>
              </w:tabs>
              <w:spacing w:after="20"/>
            </w:pPr>
            <w:r>
              <w:rPr>
                <w:b/>
                <w:bCs/>
                <w:color w:val="0D1B2A"/>
                <w:sz w:val="20"/>
                <w:szCs w:val="20"/>
              </w:rPr>
              <w:t>Mary Scott  ·  Nexus Research</w:t>
            </w:r>
            <w:r>
              <w:tab/>
            </w:r>
            <w:r>
              <w:rPr>
                <w:color w:val="3D4852"/>
                <w:sz w:val="20"/>
                <w:szCs w:val="20"/>
              </w:rPr>
              <w:t>May 12, 2026</w:t>
            </w:r>
          </w:p>
          <w:p w14:paraId="2E352CB9" w14:textId="77777777" w:rsidR="002A1C24" w:rsidRDefault="00000000">
            <w:r>
              <w:rPr>
                <w:color w:val="6B7785"/>
                <w:sz w:val="16"/>
                <w:szCs w:val="16"/>
              </w:rPr>
              <w:t>marygzscott8600@gmail.com  ·  raptor8600.github.io/Portfolio-Site  ·  linkedin.com/in/mary-g-scott/</w:t>
            </w:r>
          </w:p>
        </w:tc>
      </w:tr>
    </w:tbl>
    <w:p w14:paraId="5BA2F37D" w14:textId="77777777" w:rsidR="002A1C24" w:rsidRDefault="002A1C24">
      <w:pPr>
        <w:spacing w:before="280"/>
      </w:pPr>
    </w:p>
    <w:p w14:paraId="5715B9FA" w14:textId="77777777" w:rsidR="00996442" w:rsidRDefault="00000000">
      <w:pPr>
        <w:pBdr>
          <w:top w:val="single" w:sz="2" w:space="8" w:color="D0D4D9"/>
        </w:pBdr>
        <w:spacing w:before="600" w:after="0"/>
        <w:jc w:val="center"/>
      </w:pPr>
      <w:r>
        <w:rPr>
          <w:i/>
          <w:iCs/>
          <w:color w:val="6B7785"/>
          <w:sz w:val="15"/>
          <w:szCs w:val="15"/>
        </w:rPr>
        <w:t>Nexus Research produces independent equity analysis applying a systematic, driver-based framework to identify variant views and mispriced risk.</w:t>
      </w:r>
    </w:p>
    <w:p w14:paraId="1563DD60" w14:textId="77777777" w:rsidR="002A1C24" w:rsidRDefault="00000000">
      <w:r>
        <w:rPr>
          <w:i/>
          <w:iCs/>
          <w:color w:val="6B7785"/>
          <w:sz w:val="15"/>
          <w:szCs w:val="15"/>
        </w:rPr>
        <w:t>All views are personal and for educational purposes only. Mary Scott is not a financial advisor. Nothing in this document constitutes investment advice.  ·  Report date: May 12, 2026</w:t>
      </w:r>
    </w:p>
    <w:p w14:paraId="333072FC" w14:textId="77777777" w:rsidR="002A1C24" w:rsidRDefault="00000000">
      <w:r>
        <w:br w:type="page"/>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9360"/>
      </w:tblGrid>
      <w:tr w:rsidR="00996442" w14:paraId="32A7D1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60" w:type="dxa"/>
              <w:left w:w="240" w:type="dxa"/>
              <w:bottom w:w="160" w:type="dxa"/>
              <w:right w:w="240" w:type="dxa"/>
            </w:tcMar>
          </w:tcPr>
          <w:p w14:paraId="536C5F1F" w14:textId="77777777" w:rsidR="00996442" w:rsidRDefault="00000000">
            <w:r>
              <w:rPr>
                <w:b/>
                <w:bCs/>
                <w:color w:val="C09848"/>
                <w:sz w:val="18"/>
                <w:szCs w:val="18"/>
              </w:rPr>
              <w:t>Nexus Research</w:t>
            </w:r>
            <w:r>
              <w:rPr>
                <w:b/>
                <w:bCs/>
                <w:caps/>
                <w:color w:val="FFFFFF"/>
                <w:sz w:val="18"/>
                <w:szCs w:val="18"/>
              </w:rPr>
              <w:t xml:space="preserve">  ·  NEUTRAL / RANGE-BOUND THESIS</w:t>
            </w:r>
          </w:p>
          <w:p w14:paraId="49D73D97" w14:textId="77777777" w:rsidR="00996442" w:rsidRDefault="00000000">
            <w:pPr>
              <w:spacing w:before="30"/>
            </w:pPr>
            <w:r>
              <w:rPr>
                <w:b/>
                <w:bCs/>
                <w:color w:val="FFFFFF"/>
                <w:sz w:val="22"/>
                <w:szCs w:val="22"/>
              </w:rPr>
              <w:t>Costco Wholesale Corporation</w:t>
            </w:r>
            <w:r>
              <w:rPr>
                <w:color w:val="6B7785"/>
                <w:sz w:val="16"/>
                <w:szCs w:val="16"/>
              </w:rPr>
              <w:t xml:space="preserve">   COST  ·  Consumer Defensive · Consumer Staples Distribution &amp; Retail  ·  NasdaqGS</w:t>
            </w:r>
          </w:p>
        </w:tc>
      </w:tr>
    </w:tbl>
    <w:p w14:paraId="22B538A6" w14:textId="77777777" w:rsidR="00996442" w:rsidRDefault="00996442">
      <w:pPr>
        <w:spacing w:before="320"/>
      </w:pPr>
    </w:p>
    <w:p w14:paraId="1BB2CFD3" w14:textId="77777777" w:rsidR="00996442" w:rsidRDefault="00000000">
      <w:pPr>
        <w:pBdr>
          <w:bottom w:val="single" w:sz="12" w:space="6" w:color="A07830"/>
        </w:pBdr>
        <w:spacing w:before="0" w:after="80"/>
      </w:pPr>
      <w:r>
        <w:rPr>
          <w:b/>
          <w:bCs/>
          <w:caps/>
          <w:color w:val="0D1B2A"/>
          <w:sz w:val="20"/>
          <w:szCs w:val="20"/>
        </w:rPr>
        <w:t>CONTENTS</w:t>
      </w:r>
    </w:p>
    <w:p w14:paraId="7BE2332D" w14:textId="77777777" w:rsidR="00996442" w:rsidRDefault="00996442">
      <w:pPr>
        <w:spacing w:before="80"/>
      </w:pPr>
    </w:p>
    <w:p w14:paraId="43D97168" w14:textId="77777777" w:rsidR="00996442" w:rsidRDefault="00000000">
      <w:pPr>
        <w:tabs>
          <w:tab w:val="right" w:pos="9360"/>
        </w:tabs>
        <w:spacing w:before="40" w:after="40"/>
      </w:pPr>
      <w:r>
        <w:rPr>
          <w:b/>
          <w:bCs/>
          <w:color w:val="A07830"/>
          <w:sz w:val="17"/>
          <w:szCs w:val="17"/>
        </w:rPr>
        <w:t xml:space="preserve">01  </w:t>
      </w:r>
      <w:r>
        <w:rPr>
          <w:color w:val="3D4852"/>
          <w:sz w:val="17"/>
          <w:szCs w:val="17"/>
        </w:rPr>
        <w:t>Key Drivers — Brief Summary</w:t>
      </w:r>
      <w:r>
        <w:tab/>
      </w:r>
      <w:r>
        <w:rPr>
          <w:color w:val="6B7785"/>
          <w:sz w:val="17"/>
          <w:szCs w:val="17"/>
        </w:rPr>
        <w:t>2</w:t>
      </w:r>
    </w:p>
    <w:p w14:paraId="5486485C" w14:textId="77777777" w:rsidR="00996442" w:rsidRDefault="00000000">
      <w:pPr>
        <w:tabs>
          <w:tab w:val="right" w:pos="9360"/>
        </w:tabs>
        <w:spacing w:before="40" w:after="40"/>
      </w:pPr>
      <w:r>
        <w:rPr>
          <w:b/>
          <w:bCs/>
          <w:color w:val="A07830"/>
          <w:sz w:val="17"/>
          <w:szCs w:val="17"/>
        </w:rPr>
        <w:t xml:space="preserve">02  </w:t>
      </w:r>
      <w:r>
        <w:rPr>
          <w:color w:val="3D4852"/>
          <w:sz w:val="17"/>
          <w:szCs w:val="17"/>
        </w:rPr>
        <w:t>Consensus Alignment</w:t>
      </w:r>
      <w:r>
        <w:tab/>
      </w:r>
      <w:r>
        <w:rPr>
          <w:color w:val="6B7785"/>
          <w:sz w:val="17"/>
          <w:szCs w:val="17"/>
        </w:rPr>
        <w:t>2</w:t>
      </w:r>
    </w:p>
    <w:p w14:paraId="7CE4DBAD" w14:textId="77777777" w:rsidR="00996442" w:rsidRDefault="00000000">
      <w:pPr>
        <w:tabs>
          <w:tab w:val="right" w:pos="9360"/>
        </w:tabs>
        <w:spacing w:before="40" w:after="40"/>
      </w:pPr>
      <w:r>
        <w:rPr>
          <w:b/>
          <w:bCs/>
          <w:color w:val="A07830"/>
          <w:sz w:val="17"/>
          <w:szCs w:val="17"/>
        </w:rPr>
        <w:t xml:space="preserve">03  </w:t>
      </w:r>
      <w:r>
        <w:rPr>
          <w:color w:val="3D4852"/>
          <w:sz w:val="17"/>
          <w:szCs w:val="17"/>
        </w:rPr>
        <w:t>Upside / Downside Balance</w:t>
      </w:r>
      <w:r>
        <w:tab/>
      </w:r>
      <w:r>
        <w:rPr>
          <w:color w:val="6B7785"/>
          <w:sz w:val="17"/>
          <w:szCs w:val="17"/>
        </w:rPr>
        <w:t>2</w:t>
      </w:r>
    </w:p>
    <w:p w14:paraId="672AD2E8" w14:textId="77777777" w:rsidR="00996442" w:rsidRDefault="00000000">
      <w:pPr>
        <w:tabs>
          <w:tab w:val="right" w:pos="9360"/>
        </w:tabs>
        <w:spacing w:before="40" w:after="40"/>
      </w:pPr>
      <w:r>
        <w:rPr>
          <w:b/>
          <w:bCs/>
          <w:color w:val="A07830"/>
          <w:sz w:val="17"/>
          <w:szCs w:val="17"/>
        </w:rPr>
        <w:t xml:space="preserve">04  </w:t>
      </w:r>
      <w:r>
        <w:rPr>
          <w:color w:val="3D4852"/>
          <w:sz w:val="17"/>
          <w:szCs w:val="17"/>
        </w:rPr>
        <w:t>Catalyst Assessment</w:t>
      </w:r>
      <w:r>
        <w:tab/>
      </w:r>
      <w:r>
        <w:rPr>
          <w:color w:val="6B7785"/>
          <w:sz w:val="17"/>
          <w:szCs w:val="17"/>
        </w:rPr>
        <w:t>3</w:t>
      </w:r>
    </w:p>
    <w:p w14:paraId="6CB3C56D" w14:textId="77777777" w:rsidR="00996442" w:rsidRDefault="00000000">
      <w:pPr>
        <w:tabs>
          <w:tab w:val="right" w:pos="9360"/>
        </w:tabs>
        <w:spacing w:before="40" w:after="40"/>
      </w:pPr>
      <w:r>
        <w:rPr>
          <w:b/>
          <w:bCs/>
          <w:color w:val="A07830"/>
          <w:sz w:val="17"/>
          <w:szCs w:val="17"/>
        </w:rPr>
        <w:t xml:space="preserve">05  </w:t>
      </w:r>
      <w:r>
        <w:rPr>
          <w:color w:val="3D4852"/>
          <w:sz w:val="17"/>
          <w:szCs w:val="17"/>
        </w:rPr>
        <w:t>Variant Insight</w:t>
      </w:r>
      <w:r>
        <w:tab/>
      </w:r>
      <w:r>
        <w:rPr>
          <w:color w:val="6B7785"/>
          <w:sz w:val="17"/>
          <w:szCs w:val="17"/>
        </w:rPr>
        <w:t>3</w:t>
      </w:r>
    </w:p>
    <w:p w14:paraId="5D4D97EA" w14:textId="77777777" w:rsidR="00996442" w:rsidRDefault="00000000">
      <w:pPr>
        <w:tabs>
          <w:tab w:val="right" w:pos="9360"/>
        </w:tabs>
        <w:spacing w:before="40" w:after="40"/>
      </w:pPr>
      <w:r>
        <w:rPr>
          <w:b/>
          <w:bCs/>
          <w:color w:val="A07830"/>
          <w:sz w:val="17"/>
          <w:szCs w:val="17"/>
        </w:rPr>
        <w:t xml:space="preserve">06  </w:t>
      </w:r>
      <w:r>
        <w:rPr>
          <w:color w:val="3D4852"/>
          <w:sz w:val="17"/>
          <w:szCs w:val="17"/>
        </w:rPr>
        <w:t>Monitoring Framework</w:t>
      </w:r>
      <w:r>
        <w:tab/>
      </w:r>
      <w:r>
        <w:rPr>
          <w:color w:val="6B7785"/>
          <w:sz w:val="17"/>
          <w:szCs w:val="17"/>
        </w:rPr>
        <w:t>3</w:t>
      </w:r>
    </w:p>
    <w:p w14:paraId="739A920D" w14:textId="77777777" w:rsidR="00996442" w:rsidRDefault="00996442">
      <w:pPr>
        <w:spacing w:before="320"/>
      </w:pPr>
    </w:p>
    <w:p w14:paraId="4D5386C6" w14:textId="77777777" w:rsidR="00996442" w:rsidRDefault="00996442">
      <w:pPr>
        <w:pBdr>
          <w:bottom w:val="single" w:sz="2" w:space="1" w:color="D0D4D9"/>
        </w:pBdr>
      </w:pPr>
    </w:p>
    <w:p w14:paraId="08C6709E" w14:textId="77777777" w:rsidR="00996442" w:rsidRDefault="00996442">
      <w:pPr>
        <w:spacing w:before="200" w:after="80"/>
      </w:pPr>
      <w:r>
        <w:rPr>
          <w:b/>
          <w:bCs/>
          <w:caps/>
          <w:color w:val="6B7785"/>
          <w:sz w:val="17"/>
          <w:szCs w:val="17"/>
        </w:rPr>
        <w:t>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1560"/>
        <w:gridCol w:w="1560"/>
        <w:gridCol w:w="1560"/>
        <w:gridCol w:w="1560"/>
        <w:gridCol w:w="1560"/>
        <w:gridCol w:w="1560"/>
      </w:tblGrid>
      <w:tr w14:paraId="05122D1C" w14:textId="77777777" w:rsidR="00996442">
        <w:tblPrEx>
          <w:tblCellMar>
            <w:top w:w="0" w:type="dxa"/>
            <w:bottom w:w="0" w:type="dxa"/>
          </w:tblCellMar>
        </w:tblPrEx>
        <w:tc>
          <w:tcPr>
            <w:tcW w:w="1560" w:type="dxa"/>
            <w:tcBorders>
              <w:top w:val="single" w:sz="6" w:space="0" w:color="A07830"/>
              <w:left w:val="single" w:sz="2" w:space="0" w:color="444444"/>
              <w:bottom w:val="single" w:sz="2" w:space="0" w:color="A07830"/>
              <w:right w:val="single" w:sz="2" w:space="0" w:color="444444"/>
            </w:tcBorders>
            <w:shd w:val="clear" w:color="auto" w:fill="0D1B2A"/>
            <w:tcMar>
              <w:top w:w="100" w:type="dxa"/>
              <w:left w:w="80" w:type="dxa"/>
              <w:bottom w:w="100" w:type="dxa"/>
              <w:right w:w="80" w:type="dxa"/>
            </w:tcMar>
          </w:tcPr>
          <w:p w14:paraId="56983355" w14:textId="77777777" w:rsidR="00996442" w:rsidRDefault="00000000">
            <w:pPr>
              <w:jc w:val="center"/>
            </w:pPr>
            <w:r>
              <w:rPr>
                <w:b/>
                <w:bCs/>
                <w:color w:val="FFFFFF"/>
                <w:sz w:val="15"/>
                <w:szCs w:val="15"/>
              </w:rPr>
              <w:t>Current Price</w:t>
            </w:r>
          </w:p>
        </w:tc>
        <w:tc>
          <w:tcPr>
            <w:tcW w:w="1560" w:type="dxa"/>
            <w:tcBorders>
              <w:top w:val="single" w:sz="6" w:space="0" w:color="A07830"/>
              <w:left w:val="single" w:sz="2" w:space="0" w:color="444444"/>
              <w:bottom w:val="single" w:sz="2" w:space="0" w:color="A07830"/>
              <w:right w:val="single" w:sz="2" w:space="0" w:color="444444"/>
            </w:tcBorders>
            <w:shd w:val="clear" w:color="auto" w:fill="0D1B2A"/>
            <w:tcMar>
              <w:top w:w="100" w:type="dxa"/>
              <w:left w:w="80" w:type="dxa"/>
              <w:bottom w:w="100" w:type="dxa"/>
              <w:right w:w="80" w:type="dxa"/>
            </w:tcMar>
          </w:tcPr>
          <w:p w14:paraId="69167538" w14:textId="77777777" w:rsidR="00996442" w:rsidRDefault="00000000">
            <w:pPr>
              <w:jc w:val="center"/>
            </w:pPr>
            <w:r>
              <w:rPr>
                <w:b/>
                <w:bCs/>
                <w:color w:val="FFFFFF"/>
                <w:sz w:val="15"/>
                <w:szCs w:val="15"/>
              </w:rPr>
              <w:t>Fair Value Est.</w:t>
            </w:r>
          </w:p>
        </w:tc>
        <w:tc>
          <w:tcPr>
            <w:tcW w:w="1560" w:type="dxa"/>
            <w:tcBorders>
              <w:top w:val="single" w:sz="6" w:space="0" w:color="A07830"/>
              <w:left w:val="single" w:sz="2" w:space="0" w:color="444444"/>
              <w:bottom w:val="single" w:sz="2" w:space="0" w:color="A07830"/>
              <w:right w:val="single" w:sz="2" w:space="0" w:color="444444"/>
            </w:tcBorders>
            <w:shd w:val="clear" w:color="auto" w:fill="0D1B2A"/>
            <w:tcMar>
              <w:top w:w="100" w:type="dxa"/>
              <w:left w:w="80" w:type="dxa"/>
              <w:bottom w:w="100" w:type="dxa"/>
              <w:right w:w="80" w:type="dxa"/>
            </w:tcMar>
          </w:tcPr>
          <w:p w14:paraId="2D32391E" w14:textId="77777777" w:rsidR="00996442" w:rsidRDefault="00000000">
            <w:pPr>
              <w:jc w:val="center"/>
            </w:pPr>
            <w:r>
              <w:rPr>
                <w:b/>
                <w:bCs/>
                <w:color w:val="FFFFFF"/>
                <w:sz w:val="15"/>
                <w:szCs w:val="15"/>
              </w:rPr>
              <w:t>Upside / Downside</w:t>
            </w:r>
          </w:p>
        </w:tc>
        <w:tc>
          <w:tcPr>
            <w:tcW w:w="1560" w:type="dxa"/>
            <w:tcBorders>
              <w:top w:val="single" w:sz="6" w:space="0" w:color="A07830"/>
              <w:left w:val="single" w:sz="2" w:space="0" w:color="444444"/>
              <w:bottom w:val="single" w:sz="2" w:space="0" w:color="A07830"/>
              <w:right w:val="single" w:sz="2" w:space="0" w:color="444444"/>
            </w:tcBorders>
            <w:shd w:val="clear" w:color="auto" w:fill="0D1B2A"/>
            <w:tcMar>
              <w:top w:w="100" w:type="dxa"/>
              <w:left w:w="80" w:type="dxa"/>
              <w:bottom w:w="100" w:type="dxa"/>
              <w:right w:w="80" w:type="dxa"/>
            </w:tcMar>
          </w:tcPr>
          <w:p w14:paraId="30A073D1" w14:textId="77777777" w:rsidR="00996442" w:rsidRDefault="00000000">
            <w:pPr>
              <w:jc w:val="center"/>
            </w:pPr>
            <w:r>
              <w:rPr>
                <w:b/>
                <w:bCs/>
                <w:color w:val="FFFFFF"/>
                <w:sz w:val="15"/>
                <w:szCs w:val="15"/>
              </w:rPr>
              <w:t>EV/EBITDA (NTM)</w:t>
            </w:r>
          </w:p>
        </w:tc>
        <w:tc>
          <w:tcPr>
            <w:tcW w:w="1560" w:type="dxa"/>
            <w:tcBorders>
              <w:top w:val="single" w:sz="6" w:space="0" w:color="A07830"/>
              <w:left w:val="single" w:sz="2" w:space="0" w:color="444444"/>
              <w:bottom w:val="single" w:sz="2" w:space="0" w:color="A07830"/>
              <w:right w:val="single" w:sz="2" w:space="0" w:color="444444"/>
            </w:tcBorders>
            <w:shd w:val="clear" w:color="auto" w:fill="0D1B2A"/>
            <w:tcMar>
              <w:top w:w="100" w:type="dxa"/>
              <w:left w:w="80" w:type="dxa"/>
              <w:bottom w:w="100" w:type="dxa"/>
              <w:right w:w="80" w:type="dxa"/>
            </w:tcMar>
          </w:tcPr>
          <w:p w14:paraId="7E6A6D34" w14:textId="77777777" w:rsidR="00996442" w:rsidRDefault="00000000">
            <w:pPr>
              <w:jc w:val="center"/>
            </w:pPr>
            <w:r>
              <w:rPr>
                <w:b/>
                <w:bCs/>
                <w:color w:val="FFFFFF"/>
                <w:sz w:val="15"/>
                <w:szCs w:val="15"/>
              </w:rPr>
              <w:t>P/E (NTM)</w:t>
            </w:r>
          </w:p>
        </w:tc>
        <w:tc>
          <w:tcPr>
            <w:tcW w:w="1560" w:type="dxa"/>
            <w:tcBorders>
              <w:top w:val="single" w:sz="6" w:space="0" w:color="A07830"/>
              <w:left w:val="single" w:sz="2" w:space="0" w:color="444444"/>
              <w:bottom w:val="single" w:sz="2" w:space="0" w:color="A07830"/>
              <w:right w:val="single" w:sz="2" w:space="0" w:color="444444"/>
            </w:tcBorders>
            <w:shd w:val="clear" w:color="auto" w:fill="0D1B2A"/>
            <w:tcMar>
              <w:top w:w="100" w:type="dxa"/>
              <w:left w:w="80" w:type="dxa"/>
              <w:bottom w:w="100" w:type="dxa"/>
              <w:right w:w="80" w:type="dxa"/>
            </w:tcMar>
          </w:tcPr>
          <w:p w14:paraId="5072E302" w14:textId="77777777" w:rsidR="00996442" w:rsidRDefault="00000000">
            <w:pPr>
              <w:jc w:val="center"/>
            </w:pPr>
            <w:r>
              <w:rPr>
                <w:b/>
                <w:bCs/>
                <w:color w:val="FFFFFF"/>
                <w:sz w:val="15"/>
                <w:szCs w:val="15"/>
              </w:rPr>
              <w:t>Risk / Reward</w:t>
            </w:r>
          </w:p>
        </w:tc>
      </w:tr>
      <w:tr w14:paraId="4C7C43B7" w14:textId="77777777" w:rsidR="00996442">
        <w:tblPrEx>
          <w:tblCellMar>
            <w:top w:w="0" w:type="dxa"/>
            <w:bottom w:w="0" w:type="dxa"/>
          </w:tblCellMar>
        </w:tblPrEx>
        <w:tc>
          <w:tcPr>
            <w:tcW w:w="1560" w:type="dxa"/>
            <w:tcBorders>
              <w:top w:val="single" w:sz="2" w:space="0" w:color="D0D4D9"/>
              <w:left w:val="single" w:sz="2" w:space="0" w:color="D0D4D9"/>
              <w:bottom w:val="single" w:sz="2" w:space="0" w:color="D0D4D9"/>
              <w:right w:val="single" w:sz="2" w:space="0" w:color="D0D4D9"/>
            </w:tcBorders>
            <w:shd w:val="clear" w:color="auto" w:fill="FAFAFA"/>
            <w:tcMar>
              <w:top w:w="120" w:type="dxa"/>
              <w:left w:w="80" w:type="dxa"/>
              <w:bottom w:w="120" w:type="dxa"/>
              <w:right w:w="80" w:type="dxa"/>
            </w:tcMar>
          </w:tcPr>
          <w:p w14:paraId="580824A8" w14:textId="77777777" w:rsidR="00996442" w:rsidRDefault="00000000">
            <w:pPr>
              <w:jc w:val="center"/>
            </w:pPr>
            <w:r>
              <w:rPr>
                <w:b/>
                <w:bCs/>
                <w:color w:val="0D1B2A"/>
                <w:sz w:val="24"/>
                <w:szCs w:val="24"/>
              </w:rPr>
              <w:t>$1,028.88</w:t>
            </w:r>
          </w:p>
        </w:tc>
        <w:tc>
          <w:tcPr>
            <w:tcW w:w="1560" w:type="dxa"/>
            <w:tcBorders>
              <w:top w:val="single" w:sz="2" w:space="0" w:color="D0D4D9"/>
              <w:left w:val="single" w:sz="2" w:space="0" w:color="D0D4D9"/>
              <w:bottom w:val="single" w:sz="2" w:space="0" w:color="D0D4D9"/>
              <w:right w:val="single" w:sz="2" w:space="0" w:color="D0D4D9"/>
            </w:tcBorders>
            <w:shd w:val="clear" w:color="auto" w:fill="F6F7F8"/>
            <w:tcMar>
              <w:top w:w="120" w:type="dxa"/>
              <w:left w:w="80" w:type="dxa"/>
              <w:bottom w:w="120" w:type="dxa"/>
              <w:right w:w="80" w:type="dxa"/>
            </w:tcMar>
          </w:tcPr>
          <w:p w14:paraId="63525B4F" w14:textId="77777777" w:rsidR="00996442" w:rsidRDefault="00000000">
            <w:pPr>
              <w:jc w:val="center"/>
            </w:pPr>
            <w:r>
              <w:rPr>
                <w:b/>
                <w:bCs/>
                <w:color w:val="0D1B2A"/>
                <w:sz w:val="24"/>
                <w:szCs w:val="24"/>
              </w:rPr>
              <w:t>$1,028.88</w:t>
            </w:r>
          </w:p>
        </w:tc>
        <w:tc>
          <w:tcPr>
            <w:tcW w:w="1560" w:type="dxa"/>
            <w:tcBorders>
              <w:top w:val="single" w:sz="2" w:space="0" w:color="D0D4D9"/>
              <w:left w:val="single" w:sz="2" w:space="0" w:color="D0D4D9"/>
              <w:bottom w:val="single" w:sz="2" w:space="0" w:color="D0D4D9"/>
              <w:right w:val="single" w:sz="2" w:space="0" w:color="D0D4D9"/>
            </w:tcBorders>
            <w:shd w:val="clear" w:color="auto" w:fill="FAFAFA"/>
            <w:tcMar>
              <w:top w:w="120" w:type="dxa"/>
              <w:left w:w="80" w:type="dxa"/>
              <w:bottom w:w="120" w:type="dxa"/>
              <w:right w:w="80" w:type="dxa"/>
            </w:tcMar>
          </w:tcPr>
          <w:p w14:paraId="674B9553" w14:textId="77777777" w:rsidR="00996442" w:rsidRDefault="00000000">
            <w:pPr>
              <w:jc w:val="center"/>
            </w:pPr>
            <w:r>
              <w:rPr>
                <w:b/>
                <w:bCs/>
                <w:color w:val="0D1B2A"/>
                <w:sz w:val="24"/>
                <w:szCs w:val="24"/>
              </w:rPr>
              <w:t>–6.9%</w:t>
            </w:r>
          </w:p>
        </w:tc>
        <w:tc>
          <w:tcPr>
            <w:tcW w:w="1560" w:type="dxa"/>
            <w:tcBorders>
              <w:top w:val="single" w:sz="2" w:space="0" w:color="D0D4D9"/>
              <w:left w:val="single" w:sz="2" w:space="0" w:color="D0D4D9"/>
              <w:bottom w:val="single" w:sz="2" w:space="0" w:color="D0D4D9"/>
              <w:right w:val="single" w:sz="2" w:space="0" w:color="D0D4D9"/>
            </w:tcBorders>
            <w:shd w:val="clear" w:color="auto" w:fill="F6F7F8"/>
            <w:tcMar>
              <w:top w:w="120" w:type="dxa"/>
              <w:left w:w="80" w:type="dxa"/>
              <w:bottom w:w="120" w:type="dxa"/>
              <w:right w:w="80" w:type="dxa"/>
            </w:tcMar>
          </w:tcPr>
          <w:p w14:paraId="42D02A74" w14:textId="77777777" w:rsidR="00996442" w:rsidRDefault="00000000">
            <w:pPr>
              <w:jc w:val="center"/>
            </w:pPr>
            <w:r>
              <w:rPr>
                <w:b/>
                <w:bCs/>
                <w:color w:val="0D1B2A"/>
                <w:sz w:val="24"/>
                <w:szCs w:val="24"/>
              </w:rPr>
              <w:t>29.3x</w:t>
            </w:r>
          </w:p>
        </w:tc>
        <w:tc>
          <w:tcPr>
            <w:tcW w:w="1560" w:type="dxa"/>
            <w:tcBorders>
              <w:top w:val="single" w:sz="2" w:space="0" w:color="D0D4D9"/>
              <w:left w:val="single" w:sz="2" w:space="0" w:color="D0D4D9"/>
              <w:bottom w:val="single" w:sz="2" w:space="0" w:color="D0D4D9"/>
              <w:right w:val="single" w:sz="2" w:space="0" w:color="D0D4D9"/>
            </w:tcBorders>
            <w:shd w:val="clear" w:color="auto" w:fill="FAFAFA"/>
            <w:tcMar>
              <w:top w:w="120" w:type="dxa"/>
              <w:left w:w="80" w:type="dxa"/>
              <w:bottom w:w="120" w:type="dxa"/>
              <w:right w:w="80" w:type="dxa"/>
            </w:tcMar>
          </w:tcPr>
          <w:p w14:paraId="1CBE30E6" w14:textId="77777777" w:rsidR="00996442" w:rsidRDefault="00000000">
            <w:pPr>
              <w:jc w:val="center"/>
            </w:pPr>
            <w:r>
              <w:rPr>
                <w:b/>
                <w:bCs/>
                <w:color w:val="0D1B2A"/>
                <w:sz w:val="24"/>
                <w:szCs w:val="24"/>
              </w:rPr>
              <w:t>53.1x</w:t>
            </w:r>
          </w:p>
        </w:tc>
        <w:tc>
          <w:tcPr>
            <w:tcW w:w="1560" w:type="dxa"/>
            <w:tcBorders>
              <w:top w:val="single" w:sz="2" w:space="0" w:color="D0D4D9"/>
              <w:left w:val="single" w:sz="2" w:space="0" w:color="D0D4D9"/>
              <w:bottom w:val="single" w:sz="2" w:space="0" w:color="D0D4D9"/>
              <w:right w:val="single" w:sz="2" w:space="0" w:color="D0D4D9"/>
            </w:tcBorders>
            <w:shd w:val="clear" w:color="auto" w:fill="F6F7F8"/>
            <w:tcMar>
              <w:top w:w="120" w:type="dxa"/>
              <w:left w:w="80" w:type="dxa"/>
              <w:bottom w:w="120" w:type="dxa"/>
              <w:right w:w="80" w:type="dxa"/>
            </w:tcMar>
          </w:tcPr>
          <w:p w14:paraId="2E55BA12" w14:textId="77777777" w:rsidR="00996442" w:rsidRDefault="00000000">
            <w:pPr>
              <w:jc w:val="center"/>
            </w:pPr>
            <w:r>
              <w:rPr>
                <w:b/>
                <w:bCs/>
                <w:color w:val="0D1B2A"/>
                <w:sz w:val="24"/>
                <w:szCs w:val="24"/>
              </w:rPr>
              <w:t>Balanced</w:t>
            </w:r>
          </w:p>
        </w:tc>
      </w:tr>
    </w:tbl>
    <w:p w14:paraId="23A0AC2B" w14:textId="77777777" w:rsidR="00996442" w:rsidRDefault="00996442">
      <w:pPr>
        <w:spacing w:before="240"/>
      </w:pPr>
    </w:p>
    <w:p w14:paraId="18019B62" w14:textId="77777777" w:rsidR="00996442" w:rsidRDefault="00996442">
      <w:pPr>
        <w:spacing w:before="200"/>
        <w:jc w:val="center"/>
      </w:pPr>
      <w:r>
        <w:rPr>
          <w:i/>
          <w:iCs/>
          <w:color w:val="6B7785"/>
          <w:sz w:val="15"/>
          <w:szCs w:val="15"/>
        </w:rPr>
        <w:t>All views are personal and for educational purposes only. Mary Scott is not a financial advisor. Nothing in this document constitutes investment advice.</w:t>
      </w:r>
    </w:p>
    <w:p w14:paraId="00D2BF28" w14:textId="77777777" w:rsidR="00996442" w:rsidRDefault="00996442">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C24" w14:paraId="4FE57D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60" w:type="dxa"/>
              <w:left w:w="240" w:type="dxa"/>
              <w:bottom w:w="160" w:type="dxa"/>
              <w:right w:w="240" w:type="dxa"/>
            </w:tcMar>
          </w:tcPr>
          <w:p w14:paraId="64B7EF7B" w14:textId="77777777" w:rsidR="002A1C24" w:rsidRDefault="00000000">
            <w:r>
              <w:rPr>
                <w:b/>
                <w:bCs/>
                <w:color w:val="C09848"/>
                <w:sz w:val="18"/>
                <w:szCs w:val="18"/>
              </w:rPr>
              <w:lastRenderedPageBreak/>
              <w:t>Nexus Research</w:t>
            </w:r>
            <w:r>
              <w:rPr>
                <w:b/>
                <w:bCs/>
                <w:caps/>
                <w:color w:val="FFFFFF"/>
                <w:sz w:val="18"/>
                <w:szCs w:val="18"/>
              </w:rPr>
              <w:t xml:space="preserve">  ·  NEUTRAL / RANGE-BOUND THESIS</w:t>
            </w:r>
          </w:p>
          <w:p w14:paraId="7F6B3BE3" w14:textId="77777777" w:rsidR="002A1C24" w:rsidRDefault="00000000">
            <w:pPr>
              <w:spacing w:before="30"/>
            </w:pPr>
            <w:r>
              <w:rPr>
                <w:b/>
                <w:bCs/>
                <w:color w:val="D4B870"/>
                <w:sz w:val="22"/>
                <w:szCs w:val="22"/>
              </w:rPr>
              <w:t>Costco Wholesale Corporation</w:t>
            </w:r>
            <w:r>
              <w:rPr>
                <w:color w:val="6B7785"/>
                <w:sz w:val="18"/>
                <w:szCs w:val="18"/>
              </w:rPr>
              <w:t xml:space="preserve">   COST  ·  Consumer Defensive · Consumer Staples Distribution &amp; Retail  ·  NasdaqGS</w:t>
            </w:r>
          </w:p>
        </w:tc>
      </w:tr>
    </w:tbl>
    <w:p w14:paraId="320BC801" w14:textId="77777777" w:rsidR="002A1C24" w:rsidRDefault="002A1C24">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740"/>
        <w:gridCol w:w="1740"/>
        <w:gridCol w:w="1500"/>
        <w:gridCol w:w="1740"/>
        <w:gridCol w:w="1540"/>
      </w:tblGrid>
      <w:tr w:rsidR="002A1C24" w14:paraId="45B9D43E" w14:textId="77777777">
        <w:tblPrEx>
          <w:tblCellMar>
            <w:top w:w="0" w:type="dxa"/>
            <w:bottom w:w="0" w:type="dxa"/>
          </w:tblCellMar>
        </w:tblPrEx>
        <w:tc>
          <w:tcPr>
            <w:tcW w:w="1100" w:type="dxa"/>
            <w:tcBorders>
              <w:top w:val="none" w:sz="0" w:space="0" w:color="FFFFFF"/>
              <w:left w:val="single" w:sz="3" w:space="0" w:color="A07830"/>
              <w:bottom w:val="none" w:sz="0" w:space="0" w:color="FFFFFF"/>
              <w:right w:val="single" w:sz="3" w:space="0" w:color="A07830"/>
            </w:tcBorders>
            <w:shd w:val="clear" w:color="auto" w:fill="0D1B2A"/>
            <w:tcMar>
              <w:top w:w="140" w:type="dxa"/>
              <w:left w:w="180" w:type="dxa"/>
              <w:bottom w:w="140" w:type="dxa"/>
              <w:right w:w="180" w:type="dxa"/>
            </w:tcMar>
          </w:tcPr>
          <w:p w14:paraId="09048C8F" w14:textId="77777777" w:rsidR="002A1C24" w:rsidRDefault="00000000">
            <w:pPr>
              <w:spacing w:after="20"/>
            </w:pPr>
            <w:r>
              <w:rPr>
                <w:b/>
                <w:bCs/>
                <w:caps/>
                <w:color w:val="C09848"/>
                <w:sz w:val="15"/>
                <w:szCs w:val="15"/>
              </w:rPr>
              <w:t>STANCE</w:t>
            </w:r>
          </w:p>
          <w:p w14:paraId="0E90F449" w14:textId="77777777" w:rsidR="002A1C24" w:rsidRDefault="00000000">
            <w:r>
              <w:rPr>
                <w:b/>
                <w:bCs/>
                <w:color w:val="FFFFFF"/>
                <w:sz w:val="24"/>
                <w:szCs w:val="24"/>
              </w:rPr>
              <w:t>HOLD</w:t>
            </w:r>
          </w:p>
        </w:tc>
        <w:tc>
          <w:tcPr>
            <w:tcW w:w="1740" w:type="dxa"/>
            <w:tcBorders>
              <w:top w:val="none" w:sz="0" w:space="0" w:color="FFFFFF"/>
              <w:left w:val="single" w:sz="3" w:space="0" w:color="A07830"/>
              <w:bottom w:val="none" w:sz="0" w:space="0" w:color="FFFFFF"/>
              <w:right w:val="single" w:sz="3" w:space="0" w:color="A07830"/>
            </w:tcBorders>
            <w:shd w:val="clear" w:color="auto" w:fill="0D1B2A"/>
            <w:tcMar>
              <w:top w:w="140" w:type="dxa"/>
              <w:left w:w="180" w:type="dxa"/>
              <w:bottom w:w="140" w:type="dxa"/>
              <w:right w:w="180" w:type="dxa"/>
            </w:tcMar>
          </w:tcPr>
          <w:p w14:paraId="69F8600C" w14:textId="77777777" w:rsidR="002A1C24" w:rsidRDefault="00000000">
            <w:pPr>
              <w:spacing w:after="20"/>
            </w:pPr>
            <w:r>
              <w:rPr>
                <w:b/>
                <w:bCs/>
                <w:caps/>
                <w:color w:val="C09848"/>
                <w:sz w:val="15"/>
                <w:szCs w:val="15"/>
              </w:rPr>
              <w:t>Fair Value Est.</w:t>
            </w:r>
          </w:p>
          <w:p w14:paraId="788989CB" w14:textId="77777777" w:rsidR="002A1C24" w:rsidRDefault="00000000">
            <w:r>
              <w:rPr>
                <w:b/>
                <w:bCs/>
                <w:color w:val="FFFFFF"/>
                <w:sz w:val="24"/>
                <w:szCs w:val="24"/>
              </w:rPr>
              <w:t>$957</w:t>
            </w:r>
          </w:p>
        </w:tc>
        <w:tc>
          <w:tcPr>
            <w:tcW w:w="1740" w:type="dxa"/>
            <w:tcBorders>
              <w:top w:val="none" w:sz="0" w:space="0" w:color="FFFFFF"/>
              <w:left w:val="single" w:sz="3" w:space="0" w:color="A07830"/>
              <w:bottom w:val="none" w:sz="0" w:space="0" w:color="FFFFFF"/>
              <w:right w:val="single" w:sz="3" w:space="0" w:color="A07830"/>
            </w:tcBorders>
            <w:shd w:val="clear" w:color="auto" w:fill="0D1B2A"/>
            <w:tcMar>
              <w:top w:w="140" w:type="dxa"/>
              <w:left w:w="180" w:type="dxa"/>
              <w:bottom w:w="140" w:type="dxa"/>
              <w:right w:w="180" w:type="dxa"/>
            </w:tcMar>
          </w:tcPr>
          <w:p w14:paraId="4F781DFE" w14:textId="77777777" w:rsidR="002A1C24" w:rsidRDefault="00000000">
            <w:pPr>
              <w:spacing w:after="20"/>
            </w:pPr>
            <w:r>
              <w:rPr>
                <w:b/>
                <w:bCs/>
                <w:caps/>
                <w:color w:val="C09848"/>
                <w:sz w:val="15"/>
                <w:szCs w:val="15"/>
              </w:rPr>
              <w:t>Current Price</w:t>
            </w:r>
          </w:p>
          <w:p w14:paraId="4E236CD1" w14:textId="77777777" w:rsidR="002A1C24" w:rsidRDefault="00000000">
            <w:r>
              <w:rPr>
                <w:b/>
                <w:bCs/>
                <w:color w:val="FFFFFF"/>
                <w:sz w:val="24"/>
                <w:szCs w:val="24"/>
              </w:rPr>
              <w:t>$1,028.88</w:t>
            </w:r>
          </w:p>
        </w:tc>
        <w:tc>
          <w:tcPr>
            <w:tcW w:w="1500" w:type="dxa"/>
            <w:tcBorders>
              <w:top w:val="none" w:sz="0" w:space="0" w:color="FFFFFF"/>
              <w:left w:val="single" w:sz="3" w:space="0" w:color="A07830"/>
              <w:bottom w:val="none" w:sz="0" w:space="0" w:color="FFFFFF"/>
              <w:right w:val="single" w:sz="3" w:space="0" w:color="A07830"/>
            </w:tcBorders>
            <w:shd w:val="clear" w:color="auto" w:fill="0D1B2A"/>
            <w:tcMar>
              <w:top w:w="140" w:type="dxa"/>
              <w:left w:w="180" w:type="dxa"/>
              <w:bottom w:w="140" w:type="dxa"/>
              <w:right w:w="180" w:type="dxa"/>
            </w:tcMar>
          </w:tcPr>
          <w:p w14:paraId="40127C12" w14:textId="77777777" w:rsidR="002A1C24" w:rsidRDefault="00000000">
            <w:pPr>
              <w:spacing w:after="20"/>
            </w:pPr>
            <w:r>
              <w:rPr>
                <w:b/>
                <w:bCs/>
                <w:caps/>
                <w:color w:val="C09848"/>
                <w:sz w:val="15"/>
                <w:szCs w:val="15"/>
              </w:rPr>
              <w:t>Risk / Reward</w:t>
            </w:r>
          </w:p>
          <w:p w14:paraId="202E98D4" w14:textId="77777777" w:rsidR="002A1C24" w:rsidRDefault="00000000">
            <w:r>
              <w:rPr>
                <w:b/>
                <w:bCs/>
                <w:color w:val="FFFFFF"/>
                <w:sz w:val="24"/>
                <w:szCs w:val="24"/>
              </w:rPr>
              <w:t>Balanced</w:t>
            </w:r>
          </w:p>
        </w:tc>
        <w:tc>
          <w:tcPr>
            <w:tcW w:w="1740" w:type="dxa"/>
            <w:tcBorders>
              <w:top w:val="none" w:sz="0" w:space="0" w:color="FFFFFF"/>
              <w:left w:val="single" w:sz="3" w:space="0" w:color="A07830"/>
              <w:bottom w:val="none" w:sz="0" w:space="0" w:color="FFFFFF"/>
              <w:right w:val="single" w:sz="3" w:space="0" w:color="A07830"/>
            </w:tcBorders>
            <w:shd w:val="clear" w:color="auto" w:fill="0D1B2A"/>
            <w:tcMar>
              <w:top w:w="140" w:type="dxa"/>
              <w:left w:w="180" w:type="dxa"/>
              <w:bottom w:w="140" w:type="dxa"/>
              <w:right w:w="180" w:type="dxa"/>
            </w:tcMar>
          </w:tcPr>
          <w:p w14:paraId="36A9D223" w14:textId="77777777" w:rsidR="002A1C24" w:rsidRDefault="00000000">
            <w:pPr>
              <w:spacing w:after="20"/>
            </w:pPr>
            <w:r>
              <w:rPr>
                <w:b/>
                <w:bCs/>
                <w:caps/>
                <w:color w:val="C09848"/>
                <w:sz w:val="15"/>
                <w:szCs w:val="15"/>
              </w:rPr>
              <w:t>Re-Rating Risk</w:t>
            </w:r>
          </w:p>
          <w:p w14:paraId="2BEF4961" w14:textId="77777777" w:rsidR="002A1C24" w:rsidRDefault="00000000">
            <w:r>
              <w:rPr>
                <w:b/>
                <w:bCs/>
                <w:color w:val="FFFFFF"/>
                <w:sz w:val="24"/>
                <w:szCs w:val="24"/>
              </w:rPr>
              <w:t>Low / Medium</w:t>
            </w:r>
          </w:p>
        </w:tc>
        <w:tc>
          <w:tcPr>
            <w:tcW w:w="1540" w:type="dxa"/>
            <w:tcBorders>
              <w:top w:val="none" w:sz="0" w:space="0" w:color="FFFFFF"/>
              <w:left w:val="single" w:sz="3" w:space="0" w:color="A07830"/>
              <w:bottom w:val="none" w:sz="0" w:space="0" w:color="FFFFFF"/>
              <w:right w:val="single" w:sz="3" w:space="0" w:color="A07830"/>
            </w:tcBorders>
            <w:shd w:val="clear" w:color="auto" w:fill="0D1B2A"/>
            <w:tcMar>
              <w:top w:w="140" w:type="dxa"/>
              <w:left w:w="180" w:type="dxa"/>
              <w:bottom w:w="140" w:type="dxa"/>
              <w:right w:w="180" w:type="dxa"/>
            </w:tcMar>
          </w:tcPr>
          <w:p w14:paraId="15DEDEB7" w14:textId="77777777" w:rsidR="002A1C24" w:rsidRDefault="00000000">
            <w:pPr>
              <w:spacing w:after="20"/>
            </w:pPr>
            <w:r>
              <w:rPr>
                <w:b/>
                <w:bCs/>
                <w:caps/>
                <w:color w:val="C09848"/>
                <w:sz w:val="15"/>
                <w:szCs w:val="15"/>
              </w:rPr>
              <w:t>Next Review</w:t>
            </w:r>
          </w:p>
          <w:p w14:paraId="2212C91B" w14:textId="77777777" w:rsidR="002A1C24" w:rsidRDefault="00000000">
            <w:r>
              <w:rPr>
                <w:b/>
                <w:bCs/>
                <w:color w:val="FFFFFF"/>
                <w:sz w:val="24"/>
                <w:szCs w:val="24"/>
              </w:rPr>
              <w:t>Q3 FY2026 Earnings (May 28, 2026)</w:t>
            </w:r>
          </w:p>
        </w:tc>
      </w:tr>
    </w:tbl>
    <w:p w14:paraId="05103AA6" w14:textId="77777777" w:rsidR="002A1C24" w:rsidRDefault="002A1C24">
      <w:pPr>
        <w:spacing w:before="220"/>
      </w:pPr>
    </w:p>
    <w:p w14:paraId="5AA6A9E6" w14:textId="77777777" w:rsidR="002A1C24" w:rsidRDefault="00000000">
      <w:pPr>
        <w:pBdr>
          <w:bottom w:val="single" w:sz="12" w:space="6" w:color="A07830"/>
        </w:pBdr>
        <w:spacing w:before="280" w:after="100"/>
      </w:pPr>
      <w:r>
        <w:rPr>
          <w:b/>
          <w:bCs/>
          <w:caps/>
          <w:color w:val="0D1B2A"/>
          <w:sz w:val="20"/>
          <w:szCs w:val="20"/>
        </w:rPr>
        <w:t>Why No Directional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C24" w14:paraId="062FF3AA" w14:textId="77777777">
        <w:tblPrEx>
          <w:tblCellMar>
            <w:top w:w="0" w:type="dxa"/>
            <w:bottom w:w="0" w:type="dxa"/>
          </w:tblCellMar>
        </w:tblPrEx>
        <w:tc>
          <w:tcPr>
            <w:tcW w:w="9360" w:type="dxa"/>
            <w:tcBorders>
              <w:top w:val="none" w:sz="0" w:space="0" w:color="FFFFFF"/>
              <w:left w:val="single" w:sz="16" w:space="0" w:color="A07830"/>
              <w:bottom w:val="none" w:sz="0" w:space="0" w:color="FFFFFF"/>
              <w:right w:val="none" w:sz="0" w:space="0" w:color="FFFFFF"/>
            </w:tcBorders>
            <w:shd w:val="clear" w:color="auto" w:fill="F5EDD8"/>
            <w:tcMar>
              <w:top w:w="180" w:type="dxa"/>
              <w:left w:w="240" w:type="dxa"/>
              <w:bottom w:w="180" w:type="dxa"/>
              <w:right w:w="200" w:type="dxa"/>
            </w:tcMar>
          </w:tcPr>
          <w:p w14:paraId="46D0D437" w14:textId="77777777" w:rsidR="002A1C24" w:rsidRDefault="00000000">
            <w:pPr>
              <w:spacing w:after="60"/>
            </w:pPr>
            <w:r>
              <w:rPr>
                <w:i/>
                <w:iCs/>
                <w:color w:val="6B7785"/>
              </w:rPr>
              <w:t>Costco Wholesale Corporation</w:t>
            </w:r>
            <w:r>
              <w:t xml:space="preserve"> appears fairly valued at current levels. After working through the key investment drivers, no clear mispricing is evident: upside and downside scenarios are broadly balanced and appear priced into the current multiple.</w:t>
            </w:r>
          </w:p>
          <w:p w14:paraId="546A1EE4" w14:textId="77777777" w:rsidR="002A1C24" w:rsidRDefault="00000000">
            <w:r>
              <w:rPr>
                <w:b/>
                <w:bCs/>
              </w:rPr>
              <w:t>This is an explicit finding — not a pass. A catalyst or driver shift would change this conclusion.</w:t>
            </w:r>
          </w:p>
        </w:tc>
      </w:tr>
    </w:tbl>
    <w:p w14:paraId="78A36445" w14:textId="77777777" w:rsidR="002A1C24" w:rsidRDefault="002A1C24">
      <w:pPr>
        <w:spacing w:before="220"/>
      </w:pPr>
    </w:p>
    <w:p w14:paraId="2F4AAF04" w14:textId="77777777" w:rsidR="002A1C24" w:rsidRDefault="00000000">
      <w:pPr>
        <w:pBdr>
          <w:bottom w:val="single" w:sz="12" w:space="6" w:color="A07830"/>
        </w:pBdr>
        <w:spacing w:before="280" w:after="100"/>
      </w:pPr>
      <w:r>
        <w:rPr>
          <w:b/>
          <w:bCs/>
          <w:caps/>
          <w:color w:val="0D1B2A"/>
          <w:sz w:val="20"/>
          <w:szCs w:val="20"/>
        </w:rPr>
        <w:t>01  ·  Key Drivers — Brief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A1C24" w14:paraId="117D8FFB"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0D1B2A"/>
            <w:tcMar>
              <w:top w:w="120" w:type="dxa"/>
              <w:left w:w="180" w:type="dxa"/>
              <w:bottom w:w="120" w:type="dxa"/>
              <w:right w:w="180" w:type="dxa"/>
            </w:tcMar>
          </w:tcPr>
          <w:p w14:paraId="5F290158" w14:textId="77777777" w:rsidR="002A1C24" w:rsidRDefault="00000000">
            <w:r>
              <w:rPr>
                <w:b/>
                <w:bCs/>
                <w:color w:val="FFFFFF"/>
                <w:sz w:val="17"/>
                <w:szCs w:val="17"/>
              </w:rPr>
              <w:t>Revenue &amp; Demand</w:t>
            </w:r>
          </w:p>
        </w:tc>
        <w:tc>
          <w:tcPr>
            <w:tcW w:w="4680" w:type="dxa"/>
            <w:tcBorders>
              <w:top w:val="none" w:sz="0" w:space="0" w:color="FFFFFF"/>
              <w:left w:val="none" w:sz="0" w:space="0" w:color="FFFFFF"/>
              <w:bottom w:val="none" w:sz="0" w:space="0" w:color="FFFFFF"/>
              <w:right w:val="none" w:sz="0" w:space="0" w:color="FFFFFF"/>
            </w:tcBorders>
            <w:shd w:val="clear" w:color="auto" w:fill="0D1B2A"/>
            <w:tcMar>
              <w:top w:w="120" w:type="dxa"/>
              <w:left w:w="180" w:type="dxa"/>
              <w:bottom w:w="120" w:type="dxa"/>
              <w:right w:w="180" w:type="dxa"/>
            </w:tcMar>
          </w:tcPr>
          <w:p w14:paraId="43258574" w14:textId="77777777" w:rsidR="002A1C24" w:rsidRDefault="00000000">
            <w:r>
              <w:rPr>
                <w:b/>
                <w:bCs/>
                <w:color w:val="FFFFFF"/>
                <w:sz w:val="17"/>
                <w:szCs w:val="17"/>
              </w:rPr>
              <w:t>Margins &amp; Earnings Power</w:t>
            </w:r>
          </w:p>
        </w:tc>
      </w:tr>
      <w:tr w:rsidR="002A1C24" w14:paraId="1FB441A3" w14:textId="77777777">
        <w:tblPrEx>
          <w:tblCellMar>
            <w:top w:w="0" w:type="dxa"/>
            <w:bottom w:w="0" w:type="dxa"/>
          </w:tblCellMar>
        </w:tblPrEx>
        <w:tc>
          <w:tcPr>
            <w:tcW w:w="4680" w:type="dxa"/>
            <w:tcBorders>
              <w:top w:val="single" w:sz="2" w:space="0" w:color="D0D4D9"/>
              <w:left w:val="single" w:sz="2" w:space="0" w:color="D0D4D9"/>
              <w:bottom w:val="single" w:sz="2" w:space="0" w:color="D0D4D9"/>
              <w:right w:val="single" w:sz="2" w:space="0" w:color="D0D4D9"/>
            </w:tcBorders>
            <w:shd w:val="clear" w:color="auto" w:fill="FAFAFA"/>
            <w:tcMar>
              <w:top w:w="120" w:type="dxa"/>
              <w:left w:w="180" w:type="dxa"/>
              <w:bottom w:w="120" w:type="dxa"/>
              <w:right w:w="180" w:type="dxa"/>
            </w:tcMar>
          </w:tcPr>
          <w:p w14:paraId="190945AF" w14:textId="77777777" w:rsidR="002A1C24" w:rsidRDefault="00000000">
            <w:pPr>
              <w:spacing w:after="60"/>
            </w:pPr>
            <w:r>
              <w:rPr>
                <w:i/>
                <w:iCs/>
                <w:color w:val="6B7785"/>
              </w:rPr>
              <w:t>High-volume warehouse merchandise sales supported by recurring annual membership fees. Membership fee income is a small share of total revenue but drives the majority of operating profit due to structurally higher margins.</w:t>
            </w:r>
          </w:p>
          <w:p w14:paraId="13C31894" w14:textId="77777777" w:rsidR="002A1C24" w:rsidRDefault="00000000">
            <w:r>
              <w:rPr>
                <w:i/>
                <w:iCs/>
                <w:color w:val="6B7785"/>
              </w:rPr>
              <w:t>Demand is primarily structural. Core categories — groceries, household staples, fuel — remain resilient through economic cycles. Costco additionally benefits from trade-down behavior in weaker consumer environments, making demand more defensive than cyclical.</w:t>
            </w:r>
          </w:p>
        </w:tc>
        <w:tc>
          <w:tcPr>
            <w:tcW w:w="4680" w:type="dxa"/>
            <w:tcBorders>
              <w:top w:val="single" w:sz="2" w:space="0" w:color="D0D4D9"/>
              <w:left w:val="single" w:sz="2" w:space="0" w:color="D0D4D9"/>
              <w:bottom w:val="single" w:sz="2" w:space="0" w:color="D0D4D9"/>
              <w:right w:val="single" w:sz="2" w:space="0" w:color="D0D4D9"/>
            </w:tcBorders>
            <w:shd w:val="clear" w:color="auto" w:fill="FAFAFA"/>
            <w:tcMar>
              <w:top w:w="120" w:type="dxa"/>
              <w:left w:w="180" w:type="dxa"/>
              <w:bottom w:w="120" w:type="dxa"/>
              <w:right w:w="180" w:type="dxa"/>
            </w:tcMar>
          </w:tcPr>
          <w:p w14:paraId="3E929C9D" w14:textId="77777777" w:rsidR="002A1C24" w:rsidRDefault="00000000">
            <w:pPr>
              <w:spacing w:after="60"/>
            </w:pPr>
            <w:r>
              <w:rPr>
                <w:i/>
                <w:iCs/>
                <w:color w:val="6B7785"/>
              </w:rPr>
              <w:t>Largest costs are merchandise inventory, labor, logistics, and warehouse operations. Margins are gradually expanding through membership mix shift and executive member penetration, but expansion is modest given the company’s intentional low-markup model.</w:t>
            </w:r>
          </w:p>
          <w:p w14:paraId="198F0B61" w14:textId="77777777" w:rsidR="002A1C24" w:rsidRDefault="00000000">
            <w:r>
              <w:rPr>
                <w:i/>
                <w:iCs/>
                <w:color w:val="6B7785"/>
              </w:rPr>
              <w:t>Pricing power exists but is deliberately not exercised on merchandise. Costco maintains its reputation for low prices and monetizes through membership fees instead. Operating leverage is proportional — profits grow roughly in line with revenue, not faster, as the company reinvests efficiency gains into customer value and expansion.</w:t>
            </w:r>
          </w:p>
        </w:tc>
      </w:tr>
    </w:tbl>
    <w:p w14:paraId="6146C2EF" w14:textId="77777777" w:rsidR="002A1C24" w:rsidRDefault="002A1C24">
      <w:pPr>
        <w:spacing w:before="220"/>
      </w:pPr>
    </w:p>
    <w:p w14:paraId="72B137EB" w14:textId="77777777" w:rsidR="002A1C24" w:rsidRDefault="00000000">
      <w:pPr>
        <w:pBdr>
          <w:bottom w:val="single" w:sz="12" w:space="6" w:color="A07830"/>
        </w:pBdr>
        <w:spacing w:before="280" w:after="100"/>
      </w:pPr>
      <w:r>
        <w:rPr>
          <w:b/>
          <w:bCs/>
          <w:caps/>
          <w:color w:val="0D1B2A"/>
          <w:sz w:val="20"/>
          <w:szCs w:val="20"/>
        </w:rPr>
        <w:t>02  ·  Consensus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2A1C24" w14:paraId="78B24335" w14:textId="77777777">
        <w:tblPrEx>
          <w:tblCellMar>
            <w:top w:w="0" w:type="dxa"/>
            <w:bottom w:w="0" w:type="dxa"/>
          </w:tblCellMar>
        </w:tblPrEx>
        <w:tc>
          <w:tcPr>
            <w:tcW w:w="1800" w:type="dxa"/>
            <w:tcBorders>
              <w:top w:val="single" w:sz="6" w:space="0" w:color="A07830"/>
              <w:left w:val="single" w:sz="2" w:space="0" w:color="444444"/>
              <w:bottom w:val="single" w:sz="2" w:space="0" w:color="A07830"/>
              <w:right w:val="single" w:sz="2" w:space="0" w:color="444444"/>
            </w:tcBorders>
            <w:shd w:val="clear" w:color="auto" w:fill="0D1B2A"/>
            <w:tcMar>
              <w:top w:w="120" w:type="dxa"/>
              <w:left w:w="140" w:type="dxa"/>
              <w:bottom w:w="120" w:type="dxa"/>
              <w:right w:w="140" w:type="dxa"/>
            </w:tcMar>
          </w:tcPr>
          <w:p w14:paraId="13BB1E32" w14:textId="77777777" w:rsidR="002A1C24" w:rsidRDefault="00000000">
            <w:r>
              <w:rPr>
                <w:b/>
                <w:bCs/>
                <w:color w:val="FFFFFF"/>
                <w:sz w:val="17"/>
                <w:szCs w:val="17"/>
              </w:rPr>
              <w:t>Driver</w:t>
            </w:r>
          </w:p>
        </w:tc>
        <w:tc>
          <w:tcPr>
            <w:tcW w:w="3780" w:type="dxa"/>
            <w:tcBorders>
              <w:top w:val="single" w:sz="6" w:space="0" w:color="A07830"/>
              <w:left w:val="single" w:sz="2" w:space="0" w:color="444444"/>
              <w:bottom w:val="single" w:sz="2" w:space="0" w:color="A07830"/>
              <w:right w:val="single" w:sz="2" w:space="0" w:color="444444"/>
            </w:tcBorders>
            <w:shd w:val="clear" w:color="auto" w:fill="0D1B2A"/>
            <w:tcMar>
              <w:top w:w="120" w:type="dxa"/>
              <w:left w:w="140" w:type="dxa"/>
              <w:bottom w:w="120" w:type="dxa"/>
              <w:right w:w="140" w:type="dxa"/>
            </w:tcMar>
          </w:tcPr>
          <w:p w14:paraId="0C822654" w14:textId="77777777" w:rsidR="002A1C24" w:rsidRDefault="00000000">
            <w:pPr>
              <w:jc w:val="center"/>
            </w:pPr>
            <w:r>
              <w:rPr>
                <w:b/>
                <w:bCs/>
                <w:color w:val="FFFFFF"/>
                <w:sz w:val="17"/>
                <w:szCs w:val="17"/>
              </w:rPr>
              <w:t>Consensus Assumes</w:t>
            </w:r>
          </w:p>
        </w:tc>
        <w:tc>
          <w:tcPr>
            <w:tcW w:w="3780" w:type="dxa"/>
            <w:tcBorders>
              <w:top w:val="single" w:sz="6" w:space="0" w:color="A07830"/>
              <w:left w:val="single" w:sz="2" w:space="0" w:color="444444"/>
              <w:bottom w:val="single" w:sz="2" w:space="0" w:color="A07830"/>
              <w:right w:val="single" w:sz="2" w:space="0" w:color="444444"/>
            </w:tcBorders>
            <w:shd w:val="clear" w:color="auto" w:fill="0D1B2A"/>
            <w:tcMar>
              <w:top w:w="120" w:type="dxa"/>
              <w:left w:w="140" w:type="dxa"/>
              <w:bottom w:w="120" w:type="dxa"/>
              <w:right w:w="140" w:type="dxa"/>
            </w:tcMar>
          </w:tcPr>
          <w:p w14:paraId="780526E6" w14:textId="77777777" w:rsidR="002A1C24" w:rsidRDefault="00000000">
            <w:pPr>
              <w:jc w:val="center"/>
            </w:pPr>
            <w:r>
              <w:rPr>
                <w:b/>
                <w:bCs/>
                <w:color w:val="FFFFFF"/>
                <w:sz w:val="17"/>
                <w:szCs w:val="17"/>
              </w:rPr>
              <w:t>My Analysis Agrees / Qualifies</w:t>
            </w:r>
          </w:p>
        </w:tc>
      </w:tr>
      <w:tr w:rsidR="002A1C24" w14:paraId="3D666FA1" w14:textId="77777777">
        <w:tblPrEx>
          <w:tblCellMar>
            <w:top w:w="0" w:type="dxa"/>
            <w:bottom w:w="0" w:type="dxa"/>
          </w:tblCellMar>
        </w:tblPrEx>
        <w:tc>
          <w:tcPr>
            <w:tcW w:w="1800" w:type="dxa"/>
            <w:tcBorders>
              <w:top w:val="single" w:sz="2" w:space="0" w:color="D0D4D9"/>
              <w:left w:val="single" w:sz="2" w:space="0" w:color="D0D4D9"/>
              <w:bottom w:val="single" w:sz="2" w:space="0" w:color="D0D4D9"/>
              <w:right w:val="single" w:sz="2" w:space="0" w:color="D0D4D9"/>
            </w:tcBorders>
            <w:shd w:val="clear" w:color="auto" w:fill="FAFAFA"/>
            <w:tcMar>
              <w:top w:w="100" w:type="dxa"/>
              <w:left w:w="140" w:type="dxa"/>
              <w:bottom w:w="100" w:type="dxa"/>
              <w:right w:w="140" w:type="dxa"/>
            </w:tcMar>
          </w:tcPr>
          <w:p w14:paraId="69C9399E" w14:textId="77777777" w:rsidR="002A1C24" w:rsidRDefault="00000000">
            <w:r>
              <w:rPr>
                <w:b/>
                <w:bCs/>
              </w:rPr>
              <w:t>Revenue Growth</w:t>
            </w:r>
          </w:p>
        </w:tc>
        <w:tc>
          <w:tcPr>
            <w:tcW w:w="3780" w:type="dxa"/>
            <w:tcBorders>
              <w:top w:val="single" w:sz="2" w:space="0" w:color="D0D4D9"/>
              <w:left w:val="single" w:sz="2" w:space="0" w:color="D0D4D9"/>
              <w:bottom w:val="single" w:sz="2" w:space="0" w:color="D0D4D9"/>
              <w:right w:val="single" w:sz="2" w:space="0" w:color="D0D4D9"/>
            </w:tcBorders>
            <w:shd w:val="clear" w:color="auto" w:fill="FAFAFA"/>
            <w:tcMar>
              <w:top w:w="100" w:type="dxa"/>
              <w:left w:w="140" w:type="dxa"/>
              <w:bottom w:w="100" w:type="dxa"/>
              <w:right w:w="140" w:type="dxa"/>
            </w:tcMar>
          </w:tcPr>
          <w:p w14:paraId="67B45BDB" w14:textId="77777777" w:rsidR="002A1C24" w:rsidRDefault="00000000">
            <w:r>
              <w:rPr>
                <w:i/>
                <w:iCs/>
                <w:color w:val="6B7785"/>
              </w:rPr>
              <w:t>~11–12% YoY revenue growth (NTM)</w:t>
            </w:r>
          </w:p>
        </w:tc>
        <w:tc>
          <w:tcPr>
            <w:tcW w:w="3780" w:type="dxa"/>
            <w:tcBorders>
              <w:top w:val="single" w:sz="2" w:space="0" w:color="D0D4D9"/>
              <w:left w:val="single" w:sz="2" w:space="0" w:color="D0D4D9"/>
              <w:bottom w:val="single" w:sz="2" w:space="0" w:color="D0D4D9"/>
              <w:right w:val="single" w:sz="2" w:space="0" w:color="D0D4D9"/>
            </w:tcBorders>
            <w:shd w:val="clear" w:color="auto" w:fill="FAFAFA"/>
            <w:tcMar>
              <w:top w:w="100" w:type="dxa"/>
              <w:left w:w="140" w:type="dxa"/>
              <w:bottom w:w="100" w:type="dxa"/>
              <w:right w:w="140" w:type="dxa"/>
            </w:tcMar>
          </w:tcPr>
          <w:p w14:paraId="0D34CB43" w14:textId="77777777" w:rsidR="002A1C24" w:rsidRDefault="00000000">
            <w:r>
              <w:rPr>
                <w:i/>
                <w:iCs/>
                <w:color w:val="6B7785"/>
              </w:rPr>
              <w:t>Broadly agree. Revenue growth is well-supported by traffic, membership expansion, and international scaling. Qualification: domestic growth is gradually maturing and the rate may moderate over the next 2–3 years.</w:t>
            </w:r>
          </w:p>
        </w:tc>
      </w:tr>
      <w:tr w:rsidR="002A1C24" w14:paraId="09443B63" w14:textId="77777777">
        <w:tblPrEx>
          <w:tblCellMar>
            <w:top w:w="0" w:type="dxa"/>
            <w:bottom w:w="0" w:type="dxa"/>
          </w:tblCellMar>
        </w:tblPrEx>
        <w:tc>
          <w:tcPr>
            <w:tcW w:w="1800" w:type="dxa"/>
            <w:tcBorders>
              <w:top w:val="single" w:sz="2" w:space="0" w:color="D0D4D9"/>
              <w:left w:val="single" w:sz="2" w:space="0" w:color="D0D4D9"/>
              <w:bottom w:val="single" w:sz="2" w:space="0" w:color="D0D4D9"/>
              <w:right w:val="single" w:sz="2" w:space="0" w:color="D0D4D9"/>
            </w:tcBorders>
            <w:shd w:val="clear" w:color="auto" w:fill="F6F7F8"/>
            <w:tcMar>
              <w:top w:w="100" w:type="dxa"/>
              <w:left w:w="140" w:type="dxa"/>
              <w:bottom w:w="100" w:type="dxa"/>
              <w:right w:w="140" w:type="dxa"/>
            </w:tcMar>
          </w:tcPr>
          <w:p w14:paraId="1DD5465D" w14:textId="77777777" w:rsidR="002A1C24" w:rsidRDefault="00000000">
            <w:r>
              <w:rPr>
                <w:b/>
                <w:bCs/>
              </w:rPr>
              <w:t>Margins</w:t>
            </w:r>
          </w:p>
        </w:tc>
        <w:tc>
          <w:tcPr>
            <w:tcW w:w="3780" w:type="dxa"/>
            <w:tcBorders>
              <w:top w:val="single" w:sz="2" w:space="0" w:color="D0D4D9"/>
              <w:left w:val="single" w:sz="2" w:space="0" w:color="D0D4D9"/>
              <w:bottom w:val="single" w:sz="2" w:space="0" w:color="D0D4D9"/>
              <w:right w:val="single" w:sz="2" w:space="0" w:color="D0D4D9"/>
            </w:tcBorders>
            <w:shd w:val="clear" w:color="auto" w:fill="F6F7F8"/>
            <w:tcMar>
              <w:top w:w="100" w:type="dxa"/>
              <w:left w:w="140" w:type="dxa"/>
              <w:bottom w:w="100" w:type="dxa"/>
              <w:right w:w="140" w:type="dxa"/>
            </w:tcMar>
          </w:tcPr>
          <w:p w14:paraId="19F90D38" w14:textId="77777777" w:rsidR="002A1C24" w:rsidRDefault="00000000">
            <w:r>
              <w:rPr>
                <w:i/>
                <w:iCs/>
                <w:color w:val="6B7785"/>
              </w:rPr>
              <w:t>~5.1% EBITDA margin (NTM)</w:t>
            </w:r>
          </w:p>
        </w:tc>
        <w:tc>
          <w:tcPr>
            <w:tcW w:w="3780" w:type="dxa"/>
            <w:tcBorders>
              <w:top w:val="single" w:sz="2" w:space="0" w:color="D0D4D9"/>
              <w:left w:val="single" w:sz="2" w:space="0" w:color="D0D4D9"/>
              <w:bottom w:val="single" w:sz="2" w:space="0" w:color="D0D4D9"/>
              <w:right w:val="single" w:sz="2" w:space="0" w:color="D0D4D9"/>
            </w:tcBorders>
            <w:shd w:val="clear" w:color="auto" w:fill="F6F7F8"/>
            <w:tcMar>
              <w:top w:w="100" w:type="dxa"/>
              <w:left w:w="140" w:type="dxa"/>
              <w:bottom w:w="100" w:type="dxa"/>
              <w:right w:w="140" w:type="dxa"/>
            </w:tcMar>
          </w:tcPr>
          <w:p w14:paraId="027CD000" w14:textId="77777777" w:rsidR="002A1C24" w:rsidRDefault="00000000">
            <w:r>
              <w:rPr>
                <w:i/>
                <w:iCs/>
                <w:color w:val="6B7785"/>
              </w:rPr>
              <w:t>Broadly agree. Revenue growth is well-supported by traffic, membership expansion, and international scaling. Qualification: domestic growth is gradually maturing and the rate may moderate over the next 2–3 years.</w:t>
            </w:r>
          </w:p>
        </w:tc>
      </w:tr>
      <w:tr w:rsidR="002A1C24" w14:paraId="29432A98" w14:textId="77777777">
        <w:tblPrEx>
          <w:tblCellMar>
            <w:top w:w="0" w:type="dxa"/>
            <w:bottom w:w="0" w:type="dxa"/>
          </w:tblCellMar>
        </w:tblPrEx>
        <w:tc>
          <w:tcPr>
            <w:tcW w:w="1800" w:type="dxa"/>
            <w:tcBorders>
              <w:top w:val="single" w:sz="2" w:space="0" w:color="D0D4D9"/>
              <w:left w:val="single" w:sz="2" w:space="0" w:color="D0D4D9"/>
              <w:bottom w:val="single" w:sz="2" w:space="0" w:color="D0D4D9"/>
              <w:right w:val="single" w:sz="2" w:space="0" w:color="D0D4D9"/>
            </w:tcBorders>
            <w:shd w:val="clear" w:color="auto" w:fill="FAFAFA"/>
            <w:tcMar>
              <w:top w:w="100" w:type="dxa"/>
              <w:left w:w="140" w:type="dxa"/>
              <w:bottom w:w="100" w:type="dxa"/>
              <w:right w:w="140" w:type="dxa"/>
            </w:tcMar>
          </w:tcPr>
          <w:p w14:paraId="19A6FEF7" w14:textId="77777777" w:rsidR="002A1C24" w:rsidRDefault="00000000">
            <w:r>
              <w:rPr>
                <w:b/>
                <w:bCs/>
              </w:rPr>
              <w:t>Demand</w:t>
            </w:r>
          </w:p>
        </w:tc>
        <w:tc>
          <w:tcPr>
            <w:tcW w:w="3780" w:type="dxa"/>
            <w:tcBorders>
              <w:top w:val="single" w:sz="2" w:space="0" w:color="D0D4D9"/>
              <w:left w:val="single" w:sz="2" w:space="0" w:color="D0D4D9"/>
              <w:bottom w:val="single" w:sz="2" w:space="0" w:color="D0D4D9"/>
              <w:right w:val="single" w:sz="2" w:space="0" w:color="D0D4D9"/>
            </w:tcBorders>
            <w:shd w:val="clear" w:color="auto" w:fill="FAFAFA"/>
            <w:tcMar>
              <w:top w:w="100" w:type="dxa"/>
              <w:left w:w="140" w:type="dxa"/>
              <w:bottom w:w="100" w:type="dxa"/>
              <w:right w:w="140" w:type="dxa"/>
            </w:tcMar>
          </w:tcPr>
          <w:p w14:paraId="36900477" w14:textId="77777777" w:rsidR="002A1C24" w:rsidRDefault="00000000">
            <w:r>
              <w:rPr>
                <w:i/>
                <w:iCs/>
                <w:color w:val="6B7785"/>
              </w:rPr>
              <w:t>Stable with modest upward bias</w:t>
            </w:r>
          </w:p>
        </w:tc>
        <w:tc>
          <w:tcPr>
            <w:tcW w:w="3780" w:type="dxa"/>
            <w:tcBorders>
              <w:top w:val="single" w:sz="2" w:space="0" w:color="D0D4D9"/>
              <w:left w:val="single" w:sz="2" w:space="0" w:color="D0D4D9"/>
              <w:bottom w:val="single" w:sz="2" w:space="0" w:color="D0D4D9"/>
              <w:right w:val="single" w:sz="2" w:space="0" w:color="D0D4D9"/>
            </w:tcBorders>
            <w:shd w:val="clear" w:color="auto" w:fill="FAFAFA"/>
            <w:tcMar>
              <w:top w:w="100" w:type="dxa"/>
              <w:left w:w="140" w:type="dxa"/>
              <w:bottom w:w="100" w:type="dxa"/>
              <w:right w:w="140" w:type="dxa"/>
            </w:tcMar>
          </w:tcPr>
          <w:p w14:paraId="4E082368" w14:textId="77777777" w:rsidR="002A1C24" w:rsidRDefault="00000000">
            <w:r>
              <w:rPr>
                <w:i/>
                <w:iCs/>
                <w:color w:val="6B7785"/>
              </w:rPr>
              <w:t>Broadly agree. Revenue growth is well-supported by traffic, membership expansion, and international scaling. Qualification: domestic growth is gradually maturing and the rate may moderate over the next 2–3 years.</w:t>
            </w:r>
          </w:p>
        </w:tc>
      </w:tr>
      <w:tr w:rsidR="002A1C24" w14:paraId="3F5D6610" w14:textId="77777777">
        <w:tblPrEx>
          <w:tblCellMar>
            <w:top w:w="0" w:type="dxa"/>
            <w:bottom w:w="0" w:type="dxa"/>
          </w:tblCellMar>
        </w:tblPrEx>
        <w:tc>
          <w:tcPr>
            <w:tcW w:w="1800" w:type="dxa"/>
            <w:tcBorders>
              <w:top w:val="single" w:sz="2" w:space="0" w:color="D0D4D9"/>
              <w:left w:val="single" w:sz="2" w:space="0" w:color="D0D4D9"/>
              <w:bottom w:val="single" w:sz="2" w:space="0" w:color="D0D4D9"/>
              <w:right w:val="single" w:sz="2" w:space="0" w:color="D0D4D9"/>
            </w:tcBorders>
            <w:shd w:val="clear" w:color="auto" w:fill="F6F7F8"/>
            <w:tcMar>
              <w:top w:w="100" w:type="dxa"/>
              <w:left w:w="140" w:type="dxa"/>
              <w:bottom w:w="100" w:type="dxa"/>
              <w:right w:w="140" w:type="dxa"/>
            </w:tcMar>
          </w:tcPr>
          <w:p w14:paraId="10C5CC95" w14:textId="77777777" w:rsidR="002A1C24" w:rsidRDefault="00000000">
            <w:r>
              <w:rPr>
                <w:b/>
                <w:bCs/>
              </w:rPr>
              <w:t>Valuation</w:t>
            </w:r>
          </w:p>
        </w:tc>
        <w:tc>
          <w:tcPr>
            <w:tcW w:w="3780" w:type="dxa"/>
            <w:tcBorders>
              <w:top w:val="single" w:sz="2" w:space="0" w:color="D0D4D9"/>
              <w:left w:val="single" w:sz="2" w:space="0" w:color="D0D4D9"/>
              <w:bottom w:val="single" w:sz="2" w:space="0" w:color="D0D4D9"/>
              <w:right w:val="single" w:sz="2" w:space="0" w:color="D0D4D9"/>
            </w:tcBorders>
            <w:shd w:val="clear" w:color="auto" w:fill="F6F7F8"/>
            <w:tcMar>
              <w:top w:w="100" w:type="dxa"/>
              <w:left w:w="140" w:type="dxa"/>
              <w:bottom w:w="100" w:type="dxa"/>
              <w:right w:w="140" w:type="dxa"/>
            </w:tcMar>
          </w:tcPr>
          <w:p w14:paraId="0F462EEC" w14:textId="77777777" w:rsidR="002A1C24" w:rsidRDefault="00000000">
            <w:r>
              <w:rPr>
                <w:i/>
                <w:iCs/>
                <w:color w:val="6B7785"/>
              </w:rPr>
              <w:t>29.3x EV/EBITDA · 53.1x P/E — significant premium to peers</w:t>
            </w:r>
          </w:p>
        </w:tc>
        <w:tc>
          <w:tcPr>
            <w:tcW w:w="3780" w:type="dxa"/>
            <w:tcBorders>
              <w:top w:val="single" w:sz="2" w:space="0" w:color="D0D4D9"/>
              <w:left w:val="single" w:sz="2" w:space="0" w:color="D0D4D9"/>
              <w:bottom w:val="single" w:sz="2" w:space="0" w:color="D0D4D9"/>
              <w:right w:val="single" w:sz="2" w:space="0" w:color="D0D4D9"/>
            </w:tcBorders>
            <w:shd w:val="clear" w:color="auto" w:fill="F6F7F8"/>
            <w:tcMar>
              <w:top w:w="100" w:type="dxa"/>
              <w:left w:w="140" w:type="dxa"/>
              <w:bottom w:w="100" w:type="dxa"/>
              <w:right w:w="140" w:type="dxa"/>
            </w:tcMar>
          </w:tcPr>
          <w:p w14:paraId="1282CF75" w14:textId="77777777" w:rsidR="002A1C24" w:rsidRDefault="00000000">
            <w:r>
              <w:rPr>
                <w:i/>
                <w:iCs/>
                <w:color w:val="6B7785"/>
              </w:rPr>
              <w:t>Broadly agree. Revenue growth is well-supported by traffic, membership expansion, and international scaling. Qualification: domestic growth is gradually maturing and the rate may moderate over the next 2–3 years.</w:t>
            </w:r>
          </w:p>
        </w:tc>
      </w:tr>
    </w:tbl>
    <w:p w14:paraId="7D21543E" w14:textId="77777777" w:rsidR="002A1C24" w:rsidRDefault="002A1C24">
      <w:pPr>
        <w:spacing w:before="120"/>
      </w:pPr>
    </w:p>
    <w:p w14:paraId="02A9C5F7" w14:textId="77777777" w:rsidR="002A1C24" w:rsidRDefault="00000000">
      <w:r>
        <w:rPr>
          <w:b/>
          <w:bCs/>
        </w:rPr>
        <w:t xml:space="preserve">Bottom line:  </w:t>
      </w:r>
      <w:r>
        <w:rPr>
          <w:i/>
          <w:iCs/>
          <w:color w:val="6B7785"/>
        </w:rPr>
        <w:t>My analysis broadly confirms consensus on the business quality and operational trajectory. Where I qualify: the 53.1x P/E and 29.3x EV/EBITDA — nearly 2x the peer group average — already price in continued premium compounding. The stock reflects a best-case scenario with limited room for growth normalization.</w:t>
      </w:r>
    </w:p>
    <w:p w14:paraId="461C3686" w14:textId="77777777" w:rsidR="002A1C24" w:rsidRDefault="002A1C24">
      <w:pPr>
        <w:spacing w:before="220"/>
      </w:pPr>
    </w:p>
    <w:p w14:paraId="43648973" w14:textId="77777777" w:rsidR="002A1C24" w:rsidRDefault="00000000">
      <w:pPr>
        <w:pBdr>
          <w:bottom w:val="single" w:sz="12" w:space="6" w:color="A07830"/>
        </w:pBdr>
        <w:spacing w:before="280" w:after="100"/>
      </w:pPr>
      <w:r>
        <w:rPr>
          <w:b/>
          <w:bCs/>
          <w:caps/>
          <w:color w:val="0D1B2A"/>
          <w:sz w:val="20"/>
          <w:szCs w:val="20"/>
        </w:rPr>
        <w:t>03  ·  Upside / Downside Balance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A1C24" w14:paraId="79C30651"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0D1B2A"/>
            <w:tcMar>
              <w:top w:w="120" w:type="dxa"/>
              <w:left w:w="180" w:type="dxa"/>
              <w:bottom w:w="120" w:type="dxa"/>
              <w:right w:w="180" w:type="dxa"/>
            </w:tcMar>
          </w:tcPr>
          <w:p w14:paraId="02F9D84C" w14:textId="77777777" w:rsidR="002A1C24" w:rsidRDefault="00000000">
            <w:r>
              <w:rPr>
                <w:b/>
                <w:bCs/>
                <w:color w:val="FFFFFF"/>
                <w:sz w:val="17"/>
                <w:szCs w:val="17"/>
              </w:rPr>
              <w:t>Upside — What Could Improve</w:t>
            </w:r>
          </w:p>
        </w:tc>
        <w:tc>
          <w:tcPr>
            <w:tcW w:w="4680" w:type="dxa"/>
            <w:tcBorders>
              <w:top w:val="none" w:sz="0" w:space="0" w:color="FFFFFF"/>
              <w:left w:val="none" w:sz="0" w:space="0" w:color="FFFFFF"/>
              <w:bottom w:val="none" w:sz="0" w:space="0" w:color="FFFFFF"/>
              <w:right w:val="none" w:sz="0" w:space="0" w:color="FFFFFF"/>
            </w:tcBorders>
            <w:shd w:val="clear" w:color="auto" w:fill="0D1B2A"/>
            <w:tcMar>
              <w:top w:w="120" w:type="dxa"/>
              <w:left w:w="180" w:type="dxa"/>
              <w:bottom w:w="120" w:type="dxa"/>
              <w:right w:w="180" w:type="dxa"/>
            </w:tcMar>
          </w:tcPr>
          <w:p w14:paraId="45EB9514" w14:textId="77777777" w:rsidR="002A1C24" w:rsidRDefault="00000000">
            <w:r>
              <w:rPr>
                <w:b/>
                <w:bCs/>
                <w:color w:val="FFFFFF"/>
                <w:sz w:val="17"/>
                <w:szCs w:val="17"/>
              </w:rPr>
              <w:t>Downside — What Could Worsen</w:t>
            </w:r>
          </w:p>
        </w:tc>
      </w:tr>
      <w:tr w:rsidR="002A1C24" w14:paraId="68CEBF89" w14:textId="77777777">
        <w:tblPrEx>
          <w:tblCellMar>
            <w:top w:w="0" w:type="dxa"/>
            <w:bottom w:w="0" w:type="dxa"/>
          </w:tblCellMar>
        </w:tblPrEx>
        <w:tc>
          <w:tcPr>
            <w:tcW w:w="4680" w:type="dxa"/>
            <w:tcBorders>
              <w:top w:val="single" w:sz="2" w:space="0" w:color="D0D4D9"/>
              <w:left w:val="single" w:sz="2" w:space="0" w:color="D0D4D9"/>
              <w:bottom w:val="single" w:sz="2" w:space="0" w:color="D0D4D9"/>
              <w:right w:val="single" w:sz="2" w:space="0" w:color="D0D4D9"/>
            </w:tcBorders>
            <w:shd w:val="clear" w:color="auto" w:fill="FAFAFA"/>
            <w:tcMar>
              <w:top w:w="120" w:type="dxa"/>
              <w:left w:w="180" w:type="dxa"/>
              <w:bottom w:w="120" w:type="dxa"/>
              <w:right w:w="180" w:type="dxa"/>
            </w:tcMar>
          </w:tcPr>
          <w:p w14:paraId="49D65167" w14:textId="77777777" w:rsidR="002A1C24" w:rsidRDefault="00000000">
            <w:pPr>
              <w:spacing w:after="60"/>
            </w:pPr>
            <w:r>
              <w:rPr>
                <w:i/>
                <w:iCs/>
                <w:color w:val="6B7785"/>
              </w:rPr>
              <w:lastRenderedPageBreak/>
              <w:t>Membership growth, executive penetration, and international expansion continue compounding at rates above current expectations.</w:t>
            </w:r>
          </w:p>
          <w:p w14:paraId="3DFDBF8C" w14:textId="77777777" w:rsidR="002A1C24" w:rsidRDefault="00000000">
            <w:pPr>
              <w:spacing w:after="60"/>
            </w:pPr>
            <w:r>
              <w:rPr>
                <w:i/>
                <w:iCs/>
                <w:color w:val="6B7785"/>
              </w:rPr>
              <w:t>Strong Q3 FY2026 earnings print with accelerating comparable sales and membership fee income growth.</w:t>
            </w:r>
          </w:p>
          <w:p w14:paraId="4AAA439D" w14:textId="77777777" w:rsidR="002A1C24" w:rsidRDefault="00000000">
            <w:pPr>
              <w:spacing w:after="60"/>
            </w:pPr>
            <w:r>
              <w:rPr>
                <w:i/>
                <w:iCs/>
                <w:color w:val="6B7785"/>
              </w:rPr>
              <w:t>Evidence that Costco’s growth drivers are not maturing — that renewal rates and domestic productivity can re-accelerate.</w:t>
            </w:r>
          </w:p>
          <w:p w14:paraId="00F0AB24" w14:textId="77777777" w:rsidR="002A1C24" w:rsidRDefault="00000000">
            <w:r>
              <w:rPr>
                <w:b/>
                <w:bCs/>
              </w:rPr>
              <w:t xml:space="preserve">Why already priced in or low probability: </w:t>
            </w:r>
            <w:r>
              <w:rPr>
                <w:i/>
                <w:iCs/>
                <w:color w:val="6B7785"/>
              </w:rPr>
              <w:t>The current 53x P/E already assumes premium compounding continues. Upside would require re-rating above an already elevated multiple, demanding near-flawless execution with no room for deceleration.</w:t>
            </w:r>
          </w:p>
        </w:tc>
        <w:tc>
          <w:tcPr>
            <w:tcW w:w="4680" w:type="dxa"/>
            <w:tcBorders>
              <w:top w:val="single" w:sz="2" w:space="0" w:color="D0D4D9"/>
              <w:left w:val="single" w:sz="2" w:space="0" w:color="D0D4D9"/>
              <w:bottom w:val="single" w:sz="2" w:space="0" w:color="D0D4D9"/>
              <w:right w:val="single" w:sz="2" w:space="0" w:color="D0D4D9"/>
            </w:tcBorders>
            <w:shd w:val="clear" w:color="auto" w:fill="FAFAFA"/>
            <w:tcMar>
              <w:top w:w="120" w:type="dxa"/>
              <w:left w:w="180" w:type="dxa"/>
              <w:bottom w:w="120" w:type="dxa"/>
              <w:right w:w="180" w:type="dxa"/>
            </w:tcMar>
          </w:tcPr>
          <w:p w14:paraId="2BE23409" w14:textId="77777777" w:rsidR="002A1C24" w:rsidRDefault="00000000">
            <w:pPr>
              <w:spacing w:after="60"/>
            </w:pPr>
            <w:r>
              <w:rPr>
                <w:i/>
                <w:iCs/>
                <w:color w:val="6B7785"/>
              </w:rPr>
              <w:t>Comparable sales growth decelerates meaningfully, membership renewal rates plateau, or operating leverage disappoints despite revenue growth.</w:t>
            </w:r>
          </w:p>
          <w:p w14:paraId="1FF2FA57" w14:textId="77777777" w:rsidR="002A1C24" w:rsidRDefault="00000000">
            <w:pPr>
              <w:spacing w:after="60"/>
            </w:pPr>
            <w:r>
              <w:rPr>
                <w:i/>
                <w:iCs/>
                <w:color w:val="6B7785"/>
              </w:rPr>
              <w:t>Softer-than-expected Q3 FY2026 guidance commentary around membership momentum or comparable sales trajectory.</w:t>
            </w:r>
          </w:p>
          <w:p w14:paraId="477A9C02" w14:textId="77777777" w:rsidR="002A1C24" w:rsidRDefault="00000000">
            <w:pPr>
              <w:spacing w:after="60"/>
            </w:pPr>
            <w:r>
              <w:rPr>
                <w:i/>
                <w:iCs/>
                <w:color w:val="6B7785"/>
              </w:rPr>
              <w:t>Any signal that the long-duration growth story is compressing faster than expected would pressure a multiple that prices in perfection.</w:t>
            </w:r>
          </w:p>
          <w:p w14:paraId="45BFC3FE" w14:textId="77777777" w:rsidR="002A1C24" w:rsidRDefault="00000000">
            <w:r>
              <w:rPr>
                <w:b/>
                <w:bCs/>
              </w:rPr>
              <w:t xml:space="preserve">Why also priced in or similarly low probability: </w:t>
            </w:r>
            <w:r>
              <w:rPr>
                <w:i/>
                <w:iCs/>
                <w:color w:val="6B7785"/>
              </w:rPr>
              <w:t>Costco management has consistently delivered strong execution. A meaningful miss would require unusual operational deterioration, which the membership model’s structural stickiness makes unlikely in any single quarter.</w:t>
            </w:r>
          </w:p>
        </w:tc>
      </w:tr>
    </w:tbl>
    <w:p w14:paraId="5E96E9EC" w14:textId="77777777" w:rsidR="002A1C24" w:rsidRDefault="002A1C24">
      <w:pPr>
        <w:spacing w:before="120"/>
      </w:pPr>
    </w:p>
    <w:p w14:paraId="5E98E5F0" w14:textId="77777777" w:rsidR="002A1C24" w:rsidRDefault="00000000">
      <w:r>
        <w:rPr>
          <w:b/>
          <w:bCs/>
        </w:rPr>
        <w:t xml:space="preserve">Conclusion:  </w:t>
      </w:r>
      <w:r>
        <w:rPr>
          <w:i/>
          <w:iCs/>
          <w:color w:val="6B7785"/>
        </w:rPr>
        <w:t>Both scenarios exist but neither is imminent or unpriced. At a fair value estimate of ~$957 versus the current price of $1,028.88, the stock offers balanced risk/reward — upside is capped by an already-elevated multiple, and downside is cushioned by genuine business quality. This is a well-understood business with a well-understood premium. The edge here is not a mispricing but a patience question: how long can the multiple hold if growth gradually normalizes?</w:t>
      </w:r>
    </w:p>
    <w:p w14:paraId="2ABA14E9" w14:textId="77777777" w:rsidR="002A1C24" w:rsidRDefault="002A1C24">
      <w:pPr>
        <w:spacing w:before="220"/>
      </w:pPr>
    </w:p>
    <w:p w14:paraId="3FC0F7A0" w14:textId="77777777" w:rsidR="002A1C24" w:rsidRDefault="00000000">
      <w:pPr>
        <w:pBdr>
          <w:bottom w:val="single" w:sz="12" w:space="6" w:color="A07830"/>
        </w:pBdr>
        <w:spacing w:before="280" w:after="100"/>
      </w:pPr>
      <w:r>
        <w:rPr>
          <w:b/>
          <w:bCs/>
          <w:caps/>
          <w:color w:val="0D1B2A"/>
          <w:sz w:val="20"/>
          <w:szCs w:val="20"/>
        </w:rPr>
        <w:t>04  ·  Catalyst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A1C24" w14:paraId="4BB4C866"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0D1B2A"/>
            <w:tcMar>
              <w:top w:w="120" w:type="dxa"/>
              <w:left w:w="180" w:type="dxa"/>
              <w:bottom w:w="120" w:type="dxa"/>
              <w:right w:w="180" w:type="dxa"/>
            </w:tcMar>
          </w:tcPr>
          <w:p w14:paraId="68E88BD1" w14:textId="77777777" w:rsidR="002A1C24" w:rsidRDefault="00000000">
            <w:r>
              <w:rPr>
                <w:b/>
                <w:bCs/>
                <w:color w:val="FFFFFF"/>
                <w:sz w:val="17"/>
                <w:szCs w:val="17"/>
              </w:rPr>
              <w:t>Upcoming Events</w:t>
            </w:r>
          </w:p>
        </w:tc>
        <w:tc>
          <w:tcPr>
            <w:tcW w:w="4680" w:type="dxa"/>
            <w:tcBorders>
              <w:top w:val="none" w:sz="0" w:space="0" w:color="FFFFFF"/>
              <w:left w:val="none" w:sz="0" w:space="0" w:color="FFFFFF"/>
              <w:bottom w:val="none" w:sz="0" w:space="0" w:color="FFFFFF"/>
              <w:right w:val="none" w:sz="0" w:space="0" w:color="FFFFFF"/>
            </w:tcBorders>
            <w:shd w:val="clear" w:color="auto" w:fill="0D1B2A"/>
            <w:tcMar>
              <w:top w:w="120" w:type="dxa"/>
              <w:left w:w="180" w:type="dxa"/>
              <w:bottom w:w="120" w:type="dxa"/>
              <w:right w:w="180" w:type="dxa"/>
            </w:tcMar>
          </w:tcPr>
          <w:p w14:paraId="3C48B0D6" w14:textId="77777777" w:rsidR="002A1C24" w:rsidRDefault="00000000">
            <w:r>
              <w:rPr>
                <w:b/>
                <w:bCs/>
                <w:color w:val="FFFFFF"/>
                <w:sz w:val="17"/>
                <w:szCs w:val="17"/>
              </w:rPr>
              <w:t>Catalyst Verdict</w:t>
            </w:r>
          </w:p>
        </w:tc>
      </w:tr>
      <w:tr w:rsidR="002A1C24" w14:paraId="7DFD16AE" w14:textId="77777777">
        <w:tblPrEx>
          <w:tblCellMar>
            <w:top w:w="0" w:type="dxa"/>
            <w:bottom w:w="0" w:type="dxa"/>
          </w:tblCellMar>
        </w:tblPrEx>
        <w:tc>
          <w:tcPr>
            <w:tcW w:w="4680" w:type="dxa"/>
            <w:tcBorders>
              <w:top w:val="single" w:sz="2" w:space="0" w:color="D0D4D9"/>
              <w:left w:val="single" w:sz="2" w:space="0" w:color="D0D4D9"/>
              <w:bottom w:val="single" w:sz="2" w:space="0" w:color="D0D4D9"/>
              <w:right w:val="single" w:sz="2" w:space="0" w:color="D0D4D9"/>
            </w:tcBorders>
            <w:shd w:val="clear" w:color="auto" w:fill="FAFAFA"/>
            <w:tcMar>
              <w:top w:w="120" w:type="dxa"/>
              <w:left w:w="180" w:type="dxa"/>
              <w:bottom w:w="120" w:type="dxa"/>
              <w:right w:w="180" w:type="dxa"/>
            </w:tcMar>
          </w:tcPr>
          <w:p w14:paraId="7178D5E8" w14:textId="77777777" w:rsidR="002A1C24" w:rsidRDefault="00000000">
            <w:pPr>
              <w:spacing w:after="60"/>
            </w:pPr>
            <w:r>
              <w:rPr>
                <w:i/>
                <w:iCs/>
                <w:color w:val="6B7785"/>
              </w:rPr>
              <w:t>Next earnings: May 28, 2026 (Q3 FY2026) — consensus expects continued comparable sales growth and stable renewal rates. No major surprise expected, but commentary on membership momentum and forward traffic trends is the key variable to watch.</w:t>
            </w:r>
          </w:p>
          <w:p w14:paraId="43B311DA" w14:textId="77777777" w:rsidR="002A1C24" w:rsidRDefault="00000000">
            <w:pPr>
              <w:spacing w:after="60"/>
            </w:pPr>
            <w:r>
              <w:rPr>
                <w:i/>
                <w:iCs/>
                <w:color w:val="6B7785"/>
              </w:rPr>
              <w:t>Management guidance tone on international expansion pace and executive membership penetration will be closely watched as leading indicators for the medium-term thesis.</w:t>
            </w:r>
          </w:p>
          <w:p w14:paraId="47C0B9AD" w14:textId="77777777" w:rsidR="002A1C24" w:rsidRDefault="00000000">
            <w:r>
              <w:rPr>
                <w:i/>
                <w:iCs/>
                <w:color w:val="6B7785"/>
              </w:rPr>
              <w:t>Broader retail normalization: if consumer spending conditions stabilize for competitors, Costco’s relative outperformance premium may begin to compress even without any operational miss.</w:t>
            </w:r>
          </w:p>
        </w:tc>
        <w:tc>
          <w:tcPr>
            <w:tcW w:w="4680" w:type="dxa"/>
            <w:tcBorders>
              <w:top w:val="single" w:sz="2" w:space="0" w:color="D0D4D9"/>
              <w:left w:val="single" w:sz="2" w:space="0" w:color="D0D4D9"/>
              <w:bottom w:val="single" w:sz="2" w:space="0" w:color="D0D4D9"/>
              <w:right w:val="single" w:sz="2" w:space="0" w:color="D0D4D9"/>
            </w:tcBorders>
            <w:shd w:val="clear" w:color="auto" w:fill="FAFAFA"/>
            <w:tcMar>
              <w:top w:w="120" w:type="dxa"/>
              <w:left w:w="180" w:type="dxa"/>
              <w:bottom w:w="120" w:type="dxa"/>
              <w:right w:w="180" w:type="dxa"/>
            </w:tcMar>
          </w:tcPr>
          <w:p w14:paraId="47A007C0" w14:textId="77777777" w:rsidR="002A1C24" w:rsidRDefault="00000000">
            <w:pPr>
              <w:spacing w:after="60"/>
            </w:pPr>
            <w:r>
              <w:rPr>
                <w:i/>
                <w:iCs/>
                <w:color w:val="6B7785"/>
              </w:rPr>
              <w:t>No strong re-rating catalyst visible near-term. The next event that could change this stance:</w:t>
            </w:r>
          </w:p>
          <w:p w14:paraId="61562BC9" w14:textId="77777777" w:rsidR="002A1C24" w:rsidRDefault="00000000">
            <w:pPr>
              <w:spacing w:after="60"/>
            </w:pPr>
            <w:r>
              <w:rPr>
                <w:i/>
                <w:iCs/>
                <w:color w:val="6B7785"/>
              </w:rPr>
              <w:t>Q3 FY2026 earnings on May 28 — if comparable sales decelerate materially or management signals slowing membership momentum, this note would be revised toward a cautious bearish view.</w:t>
            </w:r>
          </w:p>
          <w:p w14:paraId="41DAB275" w14:textId="77777777" w:rsidR="002A1C24" w:rsidRDefault="00000000">
            <w:r>
              <w:rPr>
                <w:i/>
                <w:iCs/>
                <w:color w:val="6B7785"/>
              </w:rPr>
              <w:t>Conversely, a meaningful acceleration in executive membership penetration or international productivity above expectations could justify revisiting the multiple and revising toward neutral-positive.</w:t>
            </w:r>
          </w:p>
        </w:tc>
      </w:tr>
    </w:tbl>
    <w:p w14:paraId="715C0BCA" w14:textId="77777777" w:rsidR="002A1C24" w:rsidRDefault="002A1C24">
      <w:pPr>
        <w:spacing w:before="220"/>
      </w:pPr>
    </w:p>
    <w:p w14:paraId="733D4AE0" w14:textId="77777777" w:rsidR="002A1C24" w:rsidRDefault="00000000">
      <w:pPr>
        <w:pBdr>
          <w:bottom w:val="single" w:sz="12" w:space="6" w:color="A07830"/>
        </w:pBdr>
        <w:spacing w:before="280" w:after="100"/>
      </w:pPr>
      <w:r>
        <w:rPr>
          <w:b/>
          <w:bCs/>
          <w:caps/>
          <w:color w:val="0D1B2A"/>
          <w:sz w:val="20"/>
          <w:szCs w:val="20"/>
        </w:rPr>
        <w:t>05  ·  Variant Insight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C24" w14:paraId="5599C368" w14:textId="77777777">
        <w:tblPrEx>
          <w:tblCellMar>
            <w:top w:w="0" w:type="dxa"/>
            <w:bottom w:w="0" w:type="dxa"/>
          </w:tblCellMar>
        </w:tblPrEx>
        <w:tc>
          <w:tcPr>
            <w:tcW w:w="9360" w:type="dxa"/>
            <w:tcBorders>
              <w:top w:val="single" w:sz="2" w:space="0" w:color="D0D4D9"/>
              <w:left w:val="single" w:sz="2" w:space="0" w:color="D0D4D9"/>
              <w:bottom w:val="single" w:sz="2" w:space="0" w:color="D0D4D9"/>
              <w:right w:val="single" w:sz="2" w:space="0" w:color="D0D4D9"/>
            </w:tcBorders>
            <w:shd w:val="clear" w:color="auto" w:fill="F5F6F7"/>
            <w:tcMar>
              <w:top w:w="160" w:type="dxa"/>
              <w:left w:w="200" w:type="dxa"/>
              <w:bottom w:w="160" w:type="dxa"/>
              <w:right w:w="200" w:type="dxa"/>
            </w:tcMar>
          </w:tcPr>
          <w:p w14:paraId="116E7561" w14:textId="77777777" w:rsidR="002A1C24" w:rsidRDefault="00000000">
            <w:r>
              <w:rPr>
                <w:i/>
                <w:iCs/>
                <w:color w:val="6B7785"/>
              </w:rPr>
              <w:t>The market is implicitly pricing Costco as if its operating leverage profile resembles a platform or membership software business — where fixed costs allow profits to scale faster than revenue. In reality, Costco’s cost structure is predominantly variable (labor, freight, inventory), and the company deliberately reinvests efficiency gains into lower prices rather than margin expansion. This means earnings growth will continue tracking revenue growth roughly 1:1 rather than accelerating beyond it. This does not break the thesis — it simply means the multiple must be justified by revenue growth alone, with no operating leverage kicker. At 53x P/E, that’s a high bar.</w:t>
            </w:r>
          </w:p>
        </w:tc>
      </w:tr>
    </w:tbl>
    <w:p w14:paraId="06EA5D54" w14:textId="77777777" w:rsidR="002A1C24" w:rsidRDefault="002A1C24">
      <w:pPr>
        <w:spacing w:before="220"/>
      </w:pPr>
    </w:p>
    <w:p w14:paraId="680B0C3F" w14:textId="77777777" w:rsidR="002A1C24" w:rsidRDefault="00000000">
      <w:pPr>
        <w:pBdr>
          <w:bottom w:val="single" w:sz="12" w:space="6" w:color="A07830"/>
        </w:pBdr>
        <w:spacing w:before="280" w:after="100"/>
      </w:pPr>
      <w:r>
        <w:rPr>
          <w:b/>
          <w:bCs/>
          <w:caps/>
          <w:color w:val="0D1B2A"/>
          <w:sz w:val="20"/>
          <w:szCs w:val="20"/>
        </w:rPr>
        <w:t>06  ·  Monitoring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960"/>
        <w:gridCol w:w="4200"/>
      </w:tblGrid>
      <w:tr w:rsidR="002A1C24" w14:paraId="60374ADB" w14:textId="77777777">
        <w:tblPrEx>
          <w:tblCellMar>
            <w:top w:w="0" w:type="dxa"/>
            <w:bottom w:w="0" w:type="dxa"/>
          </w:tblCellMar>
        </w:tblPrEx>
        <w:tc>
          <w:tcPr>
            <w:tcW w:w="2200" w:type="dxa"/>
            <w:tcBorders>
              <w:top w:val="single" w:sz="6" w:space="0" w:color="A07830"/>
              <w:left w:val="single" w:sz="2" w:space="0" w:color="444444"/>
              <w:bottom w:val="single" w:sz="2" w:space="0" w:color="A07830"/>
              <w:right w:val="single" w:sz="2" w:space="0" w:color="444444"/>
            </w:tcBorders>
            <w:shd w:val="clear" w:color="auto" w:fill="0D1B2A"/>
            <w:tcMar>
              <w:top w:w="120" w:type="dxa"/>
              <w:left w:w="140" w:type="dxa"/>
              <w:bottom w:w="120" w:type="dxa"/>
              <w:right w:w="140" w:type="dxa"/>
            </w:tcMar>
          </w:tcPr>
          <w:p w14:paraId="0AE1B797" w14:textId="77777777" w:rsidR="002A1C24" w:rsidRDefault="00000000">
            <w:r>
              <w:rPr>
                <w:b/>
                <w:bCs/>
                <w:color w:val="FFFFFF"/>
                <w:sz w:val="17"/>
                <w:szCs w:val="17"/>
              </w:rPr>
              <w:t>What to Monitor</w:t>
            </w:r>
          </w:p>
        </w:tc>
        <w:tc>
          <w:tcPr>
            <w:tcW w:w="2960" w:type="dxa"/>
            <w:tcBorders>
              <w:top w:val="single" w:sz="6" w:space="0" w:color="A07830"/>
              <w:left w:val="single" w:sz="2" w:space="0" w:color="444444"/>
              <w:bottom w:val="single" w:sz="2" w:space="0" w:color="A07830"/>
              <w:right w:val="single" w:sz="2" w:space="0" w:color="444444"/>
            </w:tcBorders>
            <w:shd w:val="clear" w:color="auto" w:fill="0D1B2A"/>
            <w:tcMar>
              <w:top w:w="120" w:type="dxa"/>
              <w:left w:w="140" w:type="dxa"/>
              <w:bottom w:w="120" w:type="dxa"/>
              <w:right w:w="140" w:type="dxa"/>
            </w:tcMar>
          </w:tcPr>
          <w:p w14:paraId="104CC226" w14:textId="77777777" w:rsidR="002A1C24" w:rsidRDefault="00000000">
            <w:pPr>
              <w:jc w:val="center"/>
            </w:pPr>
            <w:r>
              <w:rPr>
                <w:b/>
                <w:bCs/>
                <w:color w:val="FFFFFF"/>
                <w:sz w:val="17"/>
                <w:szCs w:val="17"/>
              </w:rPr>
              <w:t>Metric / Signal</w:t>
            </w:r>
          </w:p>
        </w:tc>
        <w:tc>
          <w:tcPr>
            <w:tcW w:w="4200" w:type="dxa"/>
            <w:tcBorders>
              <w:top w:val="single" w:sz="6" w:space="0" w:color="A07830"/>
              <w:left w:val="single" w:sz="2" w:space="0" w:color="444444"/>
              <w:bottom w:val="single" w:sz="2" w:space="0" w:color="A07830"/>
              <w:right w:val="single" w:sz="2" w:space="0" w:color="444444"/>
            </w:tcBorders>
            <w:shd w:val="clear" w:color="auto" w:fill="0D1B2A"/>
            <w:tcMar>
              <w:top w:w="120" w:type="dxa"/>
              <w:left w:w="140" w:type="dxa"/>
              <w:bottom w:w="120" w:type="dxa"/>
              <w:right w:w="140" w:type="dxa"/>
            </w:tcMar>
          </w:tcPr>
          <w:p w14:paraId="6BC0D84F" w14:textId="77777777" w:rsidR="002A1C24" w:rsidRDefault="00000000">
            <w:pPr>
              <w:jc w:val="center"/>
            </w:pPr>
            <w:r>
              <w:rPr>
                <w:b/>
                <w:bCs/>
                <w:color w:val="FFFFFF"/>
                <w:sz w:val="17"/>
                <w:szCs w:val="17"/>
              </w:rPr>
              <w:t>Threshold That Changes the Call</w:t>
            </w:r>
          </w:p>
        </w:tc>
      </w:tr>
      <w:tr w:rsidR="002A1C24" w14:paraId="03F98C92" w14:textId="77777777">
        <w:tblPrEx>
          <w:tblCellMar>
            <w:top w:w="0" w:type="dxa"/>
            <w:bottom w:w="0" w:type="dxa"/>
          </w:tblCellMar>
        </w:tblPrEx>
        <w:tc>
          <w:tcPr>
            <w:tcW w:w="2200" w:type="dxa"/>
            <w:tcBorders>
              <w:top w:val="single" w:sz="2" w:space="0" w:color="D0D4D9"/>
              <w:left w:val="single" w:sz="2" w:space="0" w:color="D0D4D9"/>
              <w:bottom w:val="single" w:sz="2" w:space="0" w:color="D0D4D9"/>
              <w:right w:val="single" w:sz="2" w:space="0" w:color="D0D4D9"/>
            </w:tcBorders>
            <w:shd w:val="clear" w:color="auto" w:fill="FAFAFA"/>
            <w:tcMar>
              <w:top w:w="100" w:type="dxa"/>
              <w:left w:w="140" w:type="dxa"/>
              <w:bottom w:w="100" w:type="dxa"/>
              <w:right w:w="140" w:type="dxa"/>
            </w:tcMar>
          </w:tcPr>
          <w:p w14:paraId="443F8CA6" w14:textId="77777777" w:rsidR="002A1C24" w:rsidRDefault="00000000">
            <w:r>
              <w:rPr>
                <w:b/>
                <w:bCs/>
              </w:rPr>
              <w:t>Revenue driver metric</w:t>
            </w:r>
          </w:p>
        </w:tc>
        <w:tc>
          <w:tcPr>
            <w:tcW w:w="2960" w:type="dxa"/>
            <w:tcBorders>
              <w:top w:val="single" w:sz="2" w:space="0" w:color="D0D4D9"/>
              <w:left w:val="single" w:sz="2" w:space="0" w:color="D0D4D9"/>
              <w:bottom w:val="single" w:sz="2" w:space="0" w:color="D0D4D9"/>
              <w:right w:val="single" w:sz="2" w:space="0" w:color="D0D4D9"/>
            </w:tcBorders>
            <w:shd w:val="clear" w:color="auto" w:fill="FAFAFA"/>
            <w:tcMar>
              <w:top w:w="100" w:type="dxa"/>
              <w:left w:w="140" w:type="dxa"/>
              <w:bottom w:w="100" w:type="dxa"/>
              <w:right w:w="140" w:type="dxa"/>
            </w:tcMar>
          </w:tcPr>
          <w:p w14:paraId="55039505" w14:textId="77777777" w:rsidR="002A1C24" w:rsidRDefault="00000000">
            <w:r>
              <w:rPr>
                <w:i/>
                <w:iCs/>
                <w:color w:val="6B7785"/>
              </w:rPr>
              <w:t>Comparable sales growth (ex-FX) and membership renewal rate</w:t>
            </w:r>
          </w:p>
        </w:tc>
        <w:tc>
          <w:tcPr>
            <w:tcW w:w="4200" w:type="dxa"/>
            <w:tcBorders>
              <w:top w:val="single" w:sz="2" w:space="0" w:color="D0D4D9"/>
              <w:left w:val="single" w:sz="2" w:space="0" w:color="D0D4D9"/>
              <w:bottom w:val="single" w:sz="2" w:space="0" w:color="D0D4D9"/>
              <w:right w:val="single" w:sz="2" w:space="0" w:color="D0D4D9"/>
            </w:tcBorders>
            <w:shd w:val="clear" w:color="auto" w:fill="FAFAFA"/>
            <w:tcMar>
              <w:top w:w="100" w:type="dxa"/>
              <w:left w:w="140" w:type="dxa"/>
              <w:bottom w:w="100" w:type="dxa"/>
              <w:right w:w="140" w:type="dxa"/>
            </w:tcMar>
          </w:tcPr>
          <w:p w14:paraId="0578BD0F" w14:textId="77777777" w:rsidR="002A1C24" w:rsidRDefault="00000000">
            <w:r>
              <w:rPr>
                <w:i/>
                <w:iCs/>
                <w:color w:val="6B7785"/>
              </w:rPr>
              <w:t>Comparable sales below ~4% YoY or renewal rate declines — would signal structural growth normalization</w:t>
            </w:r>
          </w:p>
        </w:tc>
      </w:tr>
      <w:tr w:rsidR="002A1C24" w14:paraId="2A2C7F8B" w14:textId="77777777">
        <w:tblPrEx>
          <w:tblCellMar>
            <w:top w:w="0" w:type="dxa"/>
            <w:bottom w:w="0" w:type="dxa"/>
          </w:tblCellMar>
        </w:tblPrEx>
        <w:tc>
          <w:tcPr>
            <w:tcW w:w="2200" w:type="dxa"/>
            <w:tcBorders>
              <w:top w:val="single" w:sz="2" w:space="0" w:color="D0D4D9"/>
              <w:left w:val="single" w:sz="2" w:space="0" w:color="D0D4D9"/>
              <w:bottom w:val="single" w:sz="2" w:space="0" w:color="D0D4D9"/>
              <w:right w:val="single" w:sz="2" w:space="0" w:color="D0D4D9"/>
            </w:tcBorders>
            <w:shd w:val="clear" w:color="auto" w:fill="F6F7F8"/>
            <w:tcMar>
              <w:top w:w="100" w:type="dxa"/>
              <w:left w:w="140" w:type="dxa"/>
              <w:bottom w:w="100" w:type="dxa"/>
              <w:right w:w="140" w:type="dxa"/>
            </w:tcMar>
          </w:tcPr>
          <w:p w14:paraId="17925F49" w14:textId="77777777" w:rsidR="002A1C24" w:rsidRDefault="00000000">
            <w:r>
              <w:rPr>
                <w:b/>
                <w:bCs/>
              </w:rPr>
              <w:t>Margin trend</w:t>
            </w:r>
          </w:p>
        </w:tc>
        <w:tc>
          <w:tcPr>
            <w:tcW w:w="2960" w:type="dxa"/>
            <w:tcBorders>
              <w:top w:val="single" w:sz="2" w:space="0" w:color="D0D4D9"/>
              <w:left w:val="single" w:sz="2" w:space="0" w:color="D0D4D9"/>
              <w:bottom w:val="single" w:sz="2" w:space="0" w:color="D0D4D9"/>
              <w:right w:val="single" w:sz="2" w:space="0" w:color="D0D4D9"/>
            </w:tcBorders>
            <w:shd w:val="clear" w:color="auto" w:fill="F6F7F8"/>
            <w:tcMar>
              <w:top w:w="100" w:type="dxa"/>
              <w:left w:w="140" w:type="dxa"/>
              <w:bottom w:w="100" w:type="dxa"/>
              <w:right w:w="140" w:type="dxa"/>
            </w:tcMar>
          </w:tcPr>
          <w:p w14:paraId="655E275E" w14:textId="77777777" w:rsidR="002A1C24" w:rsidRDefault="00000000">
            <w:r>
              <w:rPr>
                <w:i/>
                <w:iCs/>
                <w:color w:val="6B7785"/>
              </w:rPr>
              <w:t>EBITDA margin and membership fee income growth YoY</w:t>
            </w:r>
          </w:p>
        </w:tc>
        <w:tc>
          <w:tcPr>
            <w:tcW w:w="4200" w:type="dxa"/>
            <w:tcBorders>
              <w:top w:val="single" w:sz="2" w:space="0" w:color="D0D4D9"/>
              <w:left w:val="single" w:sz="2" w:space="0" w:color="D0D4D9"/>
              <w:bottom w:val="single" w:sz="2" w:space="0" w:color="D0D4D9"/>
              <w:right w:val="single" w:sz="2" w:space="0" w:color="D0D4D9"/>
            </w:tcBorders>
            <w:shd w:val="clear" w:color="auto" w:fill="F6F7F8"/>
            <w:tcMar>
              <w:top w:w="100" w:type="dxa"/>
              <w:left w:w="140" w:type="dxa"/>
              <w:bottom w:w="100" w:type="dxa"/>
              <w:right w:w="140" w:type="dxa"/>
            </w:tcMar>
          </w:tcPr>
          <w:p w14:paraId="681935A9" w14:textId="77777777" w:rsidR="002A1C24" w:rsidRDefault="00000000">
            <w:r>
              <w:rPr>
                <w:i/>
                <w:iCs/>
                <w:color w:val="6B7785"/>
              </w:rPr>
              <w:t>Would prompt cautious bearish revision if EBITDA margin stalls and membership income growth decelerates below ~8% YoY</w:t>
            </w:r>
          </w:p>
        </w:tc>
      </w:tr>
      <w:tr w:rsidR="002A1C24" w14:paraId="6F96C7EB" w14:textId="77777777">
        <w:tblPrEx>
          <w:tblCellMar>
            <w:top w:w="0" w:type="dxa"/>
            <w:bottom w:w="0" w:type="dxa"/>
          </w:tblCellMar>
        </w:tblPrEx>
        <w:tc>
          <w:tcPr>
            <w:tcW w:w="2200" w:type="dxa"/>
            <w:tcBorders>
              <w:top w:val="single" w:sz="2" w:space="0" w:color="D0D4D9"/>
              <w:left w:val="single" w:sz="2" w:space="0" w:color="D0D4D9"/>
              <w:bottom w:val="single" w:sz="2" w:space="0" w:color="D0D4D9"/>
              <w:right w:val="single" w:sz="2" w:space="0" w:color="D0D4D9"/>
            </w:tcBorders>
            <w:shd w:val="clear" w:color="auto" w:fill="FAFAFA"/>
            <w:tcMar>
              <w:top w:w="100" w:type="dxa"/>
              <w:left w:w="140" w:type="dxa"/>
              <w:bottom w:w="100" w:type="dxa"/>
              <w:right w:w="140" w:type="dxa"/>
            </w:tcMar>
          </w:tcPr>
          <w:p w14:paraId="0825C799" w14:textId="77777777" w:rsidR="002A1C24" w:rsidRDefault="00000000">
            <w:r>
              <w:rPr>
                <w:b/>
                <w:bCs/>
              </w:rPr>
              <w:t>Demand signal</w:t>
            </w:r>
          </w:p>
        </w:tc>
        <w:tc>
          <w:tcPr>
            <w:tcW w:w="2960" w:type="dxa"/>
            <w:tcBorders>
              <w:top w:val="single" w:sz="2" w:space="0" w:color="D0D4D9"/>
              <w:left w:val="single" w:sz="2" w:space="0" w:color="D0D4D9"/>
              <w:bottom w:val="single" w:sz="2" w:space="0" w:color="D0D4D9"/>
              <w:right w:val="single" w:sz="2" w:space="0" w:color="D0D4D9"/>
            </w:tcBorders>
            <w:shd w:val="clear" w:color="auto" w:fill="FAFAFA"/>
            <w:tcMar>
              <w:top w:w="100" w:type="dxa"/>
              <w:left w:w="140" w:type="dxa"/>
              <w:bottom w:w="100" w:type="dxa"/>
              <w:right w:w="140" w:type="dxa"/>
            </w:tcMar>
          </w:tcPr>
          <w:p w14:paraId="2C66F2BA" w14:textId="77777777" w:rsidR="002A1C24" w:rsidRDefault="00000000">
            <w:r>
              <w:rPr>
                <w:i/>
                <w:iCs/>
                <w:color w:val="6B7785"/>
              </w:rPr>
              <w:t>Executive membership penetration as % of total members, and traffic growth per warehouse</w:t>
            </w:r>
          </w:p>
        </w:tc>
        <w:tc>
          <w:tcPr>
            <w:tcW w:w="4200" w:type="dxa"/>
            <w:tcBorders>
              <w:top w:val="single" w:sz="2" w:space="0" w:color="D0D4D9"/>
              <w:left w:val="single" w:sz="2" w:space="0" w:color="D0D4D9"/>
              <w:bottom w:val="single" w:sz="2" w:space="0" w:color="D0D4D9"/>
              <w:right w:val="single" w:sz="2" w:space="0" w:color="D0D4D9"/>
            </w:tcBorders>
            <w:shd w:val="clear" w:color="auto" w:fill="FAFAFA"/>
            <w:tcMar>
              <w:top w:w="100" w:type="dxa"/>
              <w:left w:w="140" w:type="dxa"/>
              <w:bottom w:w="100" w:type="dxa"/>
              <w:right w:w="140" w:type="dxa"/>
            </w:tcMar>
          </w:tcPr>
          <w:p w14:paraId="047AA19D" w14:textId="77777777" w:rsidR="002A1C24" w:rsidRDefault="00000000">
            <w:r>
              <w:rPr>
                <w:i/>
                <w:iCs/>
                <w:color w:val="6B7785"/>
              </w:rPr>
              <w:t>Re-rates positively if executive penetration meaningfully exceeds current pace; negatively if traffic growth stalls</w:t>
            </w:r>
          </w:p>
        </w:tc>
      </w:tr>
      <w:tr w:rsidR="002A1C24" w14:paraId="71F47D58" w14:textId="77777777">
        <w:tblPrEx>
          <w:tblCellMar>
            <w:top w:w="0" w:type="dxa"/>
            <w:bottom w:w="0" w:type="dxa"/>
          </w:tblCellMar>
        </w:tblPrEx>
        <w:tc>
          <w:tcPr>
            <w:tcW w:w="2200" w:type="dxa"/>
            <w:tcBorders>
              <w:top w:val="single" w:sz="2" w:space="0" w:color="D0D4D9"/>
              <w:left w:val="single" w:sz="2" w:space="0" w:color="D0D4D9"/>
              <w:bottom w:val="single" w:sz="2" w:space="0" w:color="D0D4D9"/>
              <w:right w:val="single" w:sz="2" w:space="0" w:color="D0D4D9"/>
            </w:tcBorders>
            <w:shd w:val="clear" w:color="auto" w:fill="F6F7F8"/>
            <w:tcMar>
              <w:top w:w="100" w:type="dxa"/>
              <w:left w:w="140" w:type="dxa"/>
              <w:bottom w:w="100" w:type="dxa"/>
              <w:right w:w="140" w:type="dxa"/>
            </w:tcMar>
          </w:tcPr>
          <w:p w14:paraId="068071F1" w14:textId="77777777" w:rsidR="002A1C24" w:rsidRDefault="00000000">
            <w:r>
              <w:rPr>
                <w:b/>
                <w:bCs/>
              </w:rPr>
              <w:t>Catalyst calendar</w:t>
            </w:r>
          </w:p>
        </w:tc>
        <w:tc>
          <w:tcPr>
            <w:tcW w:w="2960" w:type="dxa"/>
            <w:tcBorders>
              <w:top w:val="single" w:sz="2" w:space="0" w:color="D0D4D9"/>
              <w:left w:val="single" w:sz="2" w:space="0" w:color="D0D4D9"/>
              <w:bottom w:val="single" w:sz="2" w:space="0" w:color="D0D4D9"/>
              <w:right w:val="single" w:sz="2" w:space="0" w:color="D0D4D9"/>
            </w:tcBorders>
            <w:shd w:val="clear" w:color="auto" w:fill="F6F7F8"/>
            <w:tcMar>
              <w:top w:w="100" w:type="dxa"/>
              <w:left w:w="140" w:type="dxa"/>
              <w:bottom w:w="100" w:type="dxa"/>
              <w:right w:w="140" w:type="dxa"/>
            </w:tcMar>
          </w:tcPr>
          <w:p w14:paraId="089FEFDD" w14:textId="77777777" w:rsidR="002A1C24" w:rsidRDefault="00000000">
            <w:r>
              <w:rPr>
                <w:i/>
                <w:iCs/>
                <w:color w:val="6B7785"/>
              </w:rPr>
              <w:t>May 28, 2026 — Q3 FY2026 earnings</w:t>
            </w:r>
          </w:p>
        </w:tc>
        <w:tc>
          <w:tcPr>
            <w:tcW w:w="4200" w:type="dxa"/>
            <w:tcBorders>
              <w:top w:val="single" w:sz="2" w:space="0" w:color="D0D4D9"/>
              <w:left w:val="single" w:sz="2" w:space="0" w:color="D0D4D9"/>
              <w:bottom w:val="single" w:sz="2" w:space="0" w:color="D0D4D9"/>
              <w:right w:val="single" w:sz="2" w:space="0" w:color="D0D4D9"/>
            </w:tcBorders>
            <w:shd w:val="clear" w:color="auto" w:fill="F6F7F8"/>
            <w:tcMar>
              <w:top w:w="100" w:type="dxa"/>
              <w:left w:w="140" w:type="dxa"/>
              <w:bottom w:w="100" w:type="dxa"/>
              <w:right w:w="140" w:type="dxa"/>
            </w:tcMar>
          </w:tcPr>
          <w:p w14:paraId="7AC1A56F" w14:textId="77777777" w:rsidR="002A1C24" w:rsidRDefault="00000000">
            <w:r>
              <w:rPr>
                <w:i/>
                <w:iCs/>
                <w:color w:val="6B7785"/>
              </w:rPr>
              <w:t>Management commentary on membership trajectory and international productivity — the two variables most likely to shift this call</w:t>
            </w:r>
          </w:p>
        </w:tc>
      </w:tr>
    </w:tbl>
    <w:p w14:paraId="4B799A12" w14:textId="77777777" w:rsidR="002A1C2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C24" w14:paraId="2D8722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80" w:type="dxa"/>
              <w:left w:w="240" w:type="dxa"/>
              <w:bottom w:w="180" w:type="dxa"/>
              <w:right w:w="240" w:type="dxa"/>
            </w:tcMar>
          </w:tcPr>
          <w:p w14:paraId="13187D2F" w14:textId="77777777" w:rsidR="002A1C24" w:rsidRDefault="00000000">
            <w:r>
              <w:rPr>
                <w:b/>
                <w:bCs/>
                <w:color w:val="C09848"/>
                <w:sz w:val="22"/>
                <w:szCs w:val="22"/>
              </w:rPr>
              <w:lastRenderedPageBreak/>
              <w:t>Nexus Research</w:t>
            </w:r>
            <w:r>
              <w:rPr>
                <w:b/>
                <w:bCs/>
                <w:color w:val="FFFFFF"/>
                <w:sz w:val="22"/>
                <w:szCs w:val="22"/>
              </w:rPr>
              <w:t xml:space="preserve">  —  Disclaimer &amp; Legal Notice</w:t>
            </w:r>
          </w:p>
        </w:tc>
      </w:tr>
    </w:tbl>
    <w:p w14:paraId="3455C5C9" w14:textId="77777777" w:rsidR="002A1C24" w:rsidRDefault="002A1C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C24" w14:paraId="678D6DB9" w14:textId="77777777">
        <w:tblPrEx>
          <w:tblCellMar>
            <w:top w:w="0" w:type="dxa"/>
            <w:bottom w:w="0" w:type="dxa"/>
          </w:tblCellMar>
        </w:tblPrEx>
        <w:tc>
          <w:tcPr>
            <w:tcW w:w="9360" w:type="dxa"/>
            <w:tcBorders>
              <w:top w:val="single" w:sz="2" w:space="0" w:color="D0D4D9"/>
              <w:left w:val="single" w:sz="2" w:space="0" w:color="D0D4D9"/>
              <w:bottom w:val="single" w:sz="2" w:space="0" w:color="D0D4D9"/>
              <w:right w:val="single" w:sz="2" w:space="0" w:color="D0D4D9"/>
            </w:tcBorders>
            <w:shd w:val="clear" w:color="auto" w:fill="F2F3F5"/>
            <w:tcMar>
              <w:top w:w="220" w:type="dxa"/>
              <w:left w:w="260" w:type="dxa"/>
              <w:bottom w:w="220" w:type="dxa"/>
              <w:right w:w="260" w:type="dxa"/>
            </w:tcMar>
          </w:tcPr>
          <w:p w14:paraId="59917840" w14:textId="77777777" w:rsidR="002A1C24" w:rsidRDefault="00000000">
            <w:pPr>
              <w:spacing w:before="100" w:after="24"/>
            </w:pPr>
            <w:r>
              <w:rPr>
                <w:b/>
                <w:bCs/>
                <w:color w:val="0D1B2A"/>
                <w:sz w:val="18"/>
                <w:szCs w:val="18"/>
              </w:rPr>
              <w:t>Who I Am</w:t>
            </w:r>
          </w:p>
          <w:p w14:paraId="3CBF0CFC" w14:textId="77777777" w:rsidR="002A1C24" w:rsidRDefault="00000000">
            <w:pPr>
              <w:spacing w:after="80"/>
            </w:pPr>
            <w:r>
              <w:rPr>
                <w:color w:val="3D4852"/>
                <w:sz w:val="17"/>
                <w:szCs w:val="17"/>
              </w:rPr>
              <w:t>My name is Mary Scott. I am an independent researcher building a body of equity analysis under the name Nexus Research. I am not a licensed financial advisor, broker, investment adviser, or any other regulated financial professional. I do not manage money on behalf of others. Nothing in this document should be construed as professional financial advice of any kind.</w:t>
            </w:r>
          </w:p>
          <w:p w14:paraId="0862024E" w14:textId="77777777" w:rsidR="002A1C24" w:rsidRDefault="00000000">
            <w:pPr>
              <w:spacing w:before="100" w:after="24"/>
            </w:pPr>
            <w:r>
              <w:rPr>
                <w:b/>
                <w:bCs/>
                <w:color w:val="0D1B2A"/>
                <w:sz w:val="18"/>
                <w:szCs w:val="18"/>
              </w:rPr>
              <w:t>What Nexus Research Is</w:t>
            </w:r>
          </w:p>
          <w:p w14:paraId="32FF2D3F" w14:textId="4B0925AD" w:rsidR="002A1C24" w:rsidRDefault="001E51C6">
            <w:pPr>
              <w:spacing w:after="80"/>
            </w:pPr>
            <w:r>
              <w:rPr>
                <w:color w:val="3D4852"/>
                <w:sz w:val="17"/>
                <w:szCs w:val="17"/>
              </w:rPr>
              <w:t>Nexus Research is a self-directed body of equity research focused on building and testing investment theses. Each note is an original, rigorous investment memo built around a single publicly traded company — a stated thesis, a mapped set of drivers, a defined falsification test, and a tracked outcome. The goal is to learn what it actually takes to find an edge: to identify where the market is wrong, explain why, and be specific enough that the passage of time proves or disproves the argument. Every note is written as if it will be read professionally, because the habit of that standard is the point.</w:t>
            </w:r>
          </w:p>
          <w:p w14:paraId="0277AB99" w14:textId="77777777" w:rsidR="002A1C24" w:rsidRDefault="00000000">
            <w:pPr>
              <w:spacing w:before="100" w:after="24"/>
            </w:pPr>
            <w:r>
              <w:rPr>
                <w:b/>
                <w:bCs/>
                <w:color w:val="0D1B2A"/>
                <w:sz w:val="18"/>
                <w:szCs w:val="18"/>
              </w:rPr>
              <w:t>What This Research Is Not</w:t>
            </w:r>
          </w:p>
          <w:p w14:paraId="43FEBAAA" w14:textId="77777777" w:rsidR="002A1C24" w:rsidRDefault="00000000">
            <w:pPr>
              <w:spacing w:after="80"/>
            </w:pPr>
            <w:r>
              <w:rPr>
                <w:color w:val="3D4852"/>
                <w:sz w:val="17"/>
                <w:szCs w:val="17"/>
              </w:rPr>
              <w:t>Nothing published under Nexus Research constitutes investment advice, a solicitation to buy or sell any security, or a recommendation of any kind. These notes represent personal analytical views at the time of writing. They are not audited, not independently verified, and not guaranteed to be accurate or complete. Views may change as new information becomes available.</w:t>
            </w:r>
          </w:p>
          <w:p w14:paraId="1E4BDA70" w14:textId="77777777" w:rsidR="002A1C24" w:rsidRDefault="00000000">
            <w:pPr>
              <w:spacing w:before="100" w:after="24"/>
            </w:pPr>
            <w:r>
              <w:rPr>
                <w:b/>
                <w:bCs/>
                <w:color w:val="0D1B2A"/>
                <w:sz w:val="18"/>
                <w:szCs w:val="18"/>
              </w:rPr>
              <w:t>Outcome Tracking</w:t>
            </w:r>
          </w:p>
          <w:p w14:paraId="5F07BA86" w14:textId="77777777" w:rsidR="002A1C24" w:rsidRDefault="00000000">
            <w:pPr>
              <w:spacing w:after="80"/>
            </w:pPr>
            <w:r>
              <w:rPr>
                <w:color w:val="3D4852"/>
                <w:sz w:val="17"/>
                <w:szCs w:val="17"/>
              </w:rPr>
              <w:t>Each Nexus Research note includes a defined falsification test — specific conditions under which the thesis is confirmed or invalidated. Where prior notes exist on a company, a Thesis Check-In note documents what actually happened: whether the thesis played out, where the analysis was wrong, and what the market ultimately priced in. This public record of outcomes is intentional. The only way to know if the analytical process works is to check.</w:t>
            </w:r>
          </w:p>
          <w:p w14:paraId="468B9D97" w14:textId="77777777" w:rsidR="002A1C24" w:rsidRDefault="00000000">
            <w:pPr>
              <w:spacing w:before="100" w:after="24"/>
            </w:pPr>
            <w:r>
              <w:rPr>
                <w:b/>
                <w:bCs/>
                <w:color w:val="0D1B2A"/>
                <w:sz w:val="18"/>
                <w:szCs w:val="18"/>
              </w:rPr>
              <w:t>No Reliance</w:t>
            </w:r>
          </w:p>
          <w:p w14:paraId="75298DCF" w14:textId="77777777" w:rsidR="002A1C24" w:rsidRDefault="00000000">
            <w:pPr>
              <w:spacing w:after="80"/>
            </w:pPr>
            <w:r>
              <w:rPr>
                <w:color w:val="3D4852"/>
                <w:sz w:val="17"/>
                <w:szCs w:val="17"/>
              </w:rPr>
              <w:t>You should not make any investment decision based on anything written in these notes. Always do your own research and consult a qualified financial professional before making any investment decision. Past analytical accuracy, where it exists, is not indicative of future results.</w:t>
            </w:r>
          </w:p>
          <w:p w14:paraId="563223E0" w14:textId="77777777" w:rsidR="002A1C24" w:rsidRDefault="00000000">
            <w:pPr>
              <w:spacing w:before="100" w:after="24"/>
            </w:pPr>
            <w:r>
              <w:rPr>
                <w:b/>
                <w:bCs/>
                <w:color w:val="0D1B2A"/>
                <w:sz w:val="18"/>
                <w:szCs w:val="18"/>
              </w:rPr>
              <w:t>Data Sources</w:t>
            </w:r>
          </w:p>
          <w:p w14:paraId="5C9734F2" w14:textId="77777777" w:rsidR="002A1C24" w:rsidRDefault="00000000">
            <w:pPr>
              <w:spacing w:after="80"/>
            </w:pPr>
            <w:r>
              <w:rPr>
                <w:color w:val="3D4852"/>
                <w:sz w:val="17"/>
                <w:szCs w:val="17"/>
              </w:rPr>
              <w:t>Financial data, estimates, and market information referenced in Nexus Research notes are sourced from one or more of the following: SEC EDGAR filings (10-K, 10-Q, 8-K), company investor relations materials and earnings call transcripts, fiscal.ai, Yahoo Finance, Koyfin, Seeking Alpha, and FactSet or S&amp;P Global data accessed through third-party platforms. Consensus estimates reflect publicly available analyst data as of the report date. Nexus Research does not independently verify third-party data and makes no representation as to its accuracy or completeness.</w:t>
            </w:r>
          </w:p>
          <w:p w14:paraId="2FD70952" w14:textId="77777777" w:rsidR="002A1C24" w:rsidRDefault="00000000">
            <w:pPr>
              <w:spacing w:before="80"/>
            </w:pPr>
            <w:r>
              <w:rPr>
                <w:i/>
                <w:iCs/>
                <w:color w:val="6B7785"/>
                <w:sz w:val="17"/>
                <w:szCs w:val="17"/>
              </w:rPr>
              <w:t>© Mary Scott  ·  Nexus Research  ·  All notes are for educational and informational purposes only</w:t>
            </w:r>
          </w:p>
        </w:tc>
      </w:tr>
    </w:tbl>
    <w:p w14:paraId="37B7315E" w14:textId="77777777" w:rsidR="00473928" w:rsidRDefault="00473928"/>
    <w:sectPr w:rsidR="00473928">
      <w:headerReference w:type="default" r:id="rId7"/>
      <w:footerReference w:type="default" r:id="rId8"/>
      <w:pgSz w:w="12240" w:h="15840"/>
      <w:pgMar w:top="1008" w:right="1080" w:bottom="1008"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54B35" w14:textId="77777777" w:rsidR="00473928" w:rsidRDefault="00473928">
      <w:r>
        <w:separator/>
      </w:r>
    </w:p>
  </w:endnote>
  <w:endnote w:type="continuationSeparator" w:id="0">
    <w:p w14:paraId="62A45E2E" w14:textId="77777777" w:rsidR="00473928" w:rsidRDefault="00473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5E800" w14:textId="77777777" w:rsidR="00996442" w:rsidRDefault="00000000">
    <w:pPr>
      <w:pBdr>
        <w:top w:val="single" w:sz="4" w:space="6" w:color="D0D4D9"/>
      </w:pBdr>
      <w:tabs>
        <w:tab w:val="right" w:pos="9026"/>
      </w:tabs>
      <w:spacing w:before="80"/>
    </w:pPr>
    <w:r>
      <w:rPr>
        <w:color w:val="6B7785"/>
        <w:sz w:val="15"/>
        <w:szCs w:val="15"/>
      </w:rPr>
      <w:t>Nexus Research  ·  Independent Equity Analysis by Mary Scott</w:t>
    </w:r>
    <w:r>
      <w:tab/>
    </w:r>
    <w:r>
      <w:rPr>
        <w:b/>
        <w:bCs/>
        <w:color w:val="1C2B3A"/>
        <w:sz w:val="15"/>
        <w:szCs w:val="15"/>
      </w:rPr>
      <w:t>Nexus Research  ·  Neutral / Hold Memo</w:t>
    </w:r>
    <w:r>
      <w:rPr>
        <w:color w:val="6B7785"/>
        <w:sz w:val="15"/>
        <w:szCs w:val="15"/>
      </w:rPr>
      <w:t xml:space="preserve">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62B2A" w14:textId="77777777" w:rsidR="00473928" w:rsidRDefault="00473928">
      <w:r>
        <w:separator/>
      </w:r>
    </w:p>
  </w:footnote>
  <w:footnote w:type="continuationSeparator" w:id="0">
    <w:p w14:paraId="1D6139F3" w14:textId="77777777" w:rsidR="00473928" w:rsidRDefault="00473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5BAF0" w14:textId="77777777" w:rsidR="00996442" w:rsidRDefault="00000000">
    <w:pPr>
      <w:pBdr>
        <w:bottom w:val="single" w:sz="6" w:space="6" w:color="A07830"/>
      </w:pBdr>
      <w:tabs>
        <w:tab w:val="right" w:pos="9026"/>
      </w:tabs>
      <w:spacing w:after="100"/>
    </w:pPr>
    <w:r>
      <w:rPr>
        <w:b/>
        <w:bCs/>
        <w:caps/>
        <w:color w:val="0D1B2A"/>
        <w:sz w:val="15"/>
        <w:szCs w:val="15"/>
      </w:rPr>
      <w:t>Costco Wholesale Corp.  (COST)  //  Neutral / Hold</w:t>
    </w:r>
    <w:r>
      <w:tab/>
    </w:r>
    <w:r>
      <w:rPr>
        <w:color w:val="6B7785"/>
        <w:sz w:val="15"/>
        <w:szCs w:val="15"/>
      </w:rPr>
      <w:t>Mary Scott  ·  raptor8600.github.io/Portfolio-Site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9F4D66"/>
    <w:multiLevelType w:val="hybridMultilevel"/>
    <w:tmpl w:val="EE942576"/>
    <w:lvl w:ilvl="0" w:tplc="A7B8CD98">
      <w:start w:val="1"/>
      <w:numFmt w:val="bullet"/>
      <w:lvlText w:val="●"/>
      <w:lvlJc w:val="left"/>
      <w:pPr>
        <w:ind w:left="720" w:hanging="360"/>
      </w:pPr>
    </w:lvl>
    <w:lvl w:ilvl="1" w:tplc="FEF475AE">
      <w:start w:val="1"/>
      <w:numFmt w:val="bullet"/>
      <w:lvlText w:val="○"/>
      <w:lvlJc w:val="left"/>
      <w:pPr>
        <w:ind w:left="1440" w:hanging="360"/>
      </w:pPr>
    </w:lvl>
    <w:lvl w:ilvl="2" w:tplc="1C6823C4">
      <w:start w:val="1"/>
      <w:numFmt w:val="bullet"/>
      <w:lvlText w:val="■"/>
      <w:lvlJc w:val="left"/>
      <w:pPr>
        <w:ind w:left="2160" w:hanging="360"/>
      </w:pPr>
    </w:lvl>
    <w:lvl w:ilvl="3" w:tplc="68726EBC">
      <w:start w:val="1"/>
      <w:numFmt w:val="bullet"/>
      <w:lvlText w:val="●"/>
      <w:lvlJc w:val="left"/>
      <w:pPr>
        <w:ind w:left="2880" w:hanging="360"/>
      </w:pPr>
    </w:lvl>
    <w:lvl w:ilvl="4" w:tplc="93E68234">
      <w:start w:val="1"/>
      <w:numFmt w:val="bullet"/>
      <w:lvlText w:val="○"/>
      <w:lvlJc w:val="left"/>
      <w:pPr>
        <w:ind w:left="3600" w:hanging="360"/>
      </w:pPr>
    </w:lvl>
    <w:lvl w:ilvl="5" w:tplc="8544EA7C">
      <w:start w:val="1"/>
      <w:numFmt w:val="bullet"/>
      <w:lvlText w:val="■"/>
      <w:lvlJc w:val="left"/>
      <w:pPr>
        <w:ind w:left="4320" w:hanging="360"/>
      </w:pPr>
    </w:lvl>
    <w:lvl w:ilvl="6" w:tplc="2814DCDE">
      <w:start w:val="1"/>
      <w:numFmt w:val="bullet"/>
      <w:lvlText w:val="●"/>
      <w:lvlJc w:val="left"/>
      <w:pPr>
        <w:ind w:left="5040" w:hanging="360"/>
      </w:pPr>
    </w:lvl>
    <w:lvl w:ilvl="7" w:tplc="DD4434CC">
      <w:start w:val="1"/>
      <w:numFmt w:val="bullet"/>
      <w:lvlText w:val="●"/>
      <w:lvlJc w:val="left"/>
      <w:pPr>
        <w:ind w:left="5760" w:hanging="360"/>
      </w:pPr>
    </w:lvl>
    <w:lvl w:ilvl="8" w:tplc="F1140AEA">
      <w:start w:val="1"/>
      <w:numFmt w:val="bullet"/>
      <w:lvlText w:val="●"/>
      <w:lvlJc w:val="left"/>
      <w:pPr>
        <w:ind w:left="6480" w:hanging="360"/>
      </w:pPr>
    </w:lvl>
  </w:abstractNum>
  <w:num w:numId="1" w16cid:durableId="19594888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C24"/>
    <w:rsid w:val="000F1EA0"/>
    <w:rsid w:val="001E51C6"/>
    <w:rsid w:val="002A1C24"/>
    <w:rsid w:val="00473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CD736"/>
  <w15:docId w15:val="{9C208602-5F11-434A-94CF-0D17841FE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41414"/>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1062</Words>
  <Characters>6057</Characters>
  <Application>Microsoft Office Word</Application>
  <DocSecurity>0</DocSecurity>
  <Lines>50</Lines>
  <Paragraphs>14</Paragraphs>
  <ScaleCrop>false</ScaleCrop>
  <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Mary Grace Scott</cp:lastModifiedBy>
  <cp:revision>2</cp:revision>
  <dcterms:created xsi:type="dcterms:W3CDTF">2026-05-10T21:49:00Z</dcterms:created>
  <dcterms:modified xsi:type="dcterms:W3CDTF">2026-05-10T23:38:00Z</dcterms:modified>
</cp:coreProperties>
</file>