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7"/>
        <w:gridCol w:w="8923"/>
      </w:tblGrid>
      <w:tr w:rsidR="00D60688" w14:paraId="2DA0501B" w14:textId="77777777">
        <w:tc>
          <w:tcPr>
            <w:tcW w:w="1900" w:type="dxa"/>
            <w:tcBorders>
              <w:top w:val="none" w:sz="0" w:space="0" w:color="FFFFFF"/>
              <w:left w:val="none" w:sz="0" w:space="0" w:color="FFFFFF"/>
              <w:bottom w:val="none" w:sz="0" w:space="0" w:color="FFFFFF"/>
              <w:right w:val="single" w:sz="2" w:space="0" w:color="E8E4DC"/>
            </w:tcBorders>
            <w:shd w:val="clear" w:color="auto" w:fill="FAF9F6"/>
            <w:tcMar>
              <w:top w:w="200" w:type="dxa"/>
              <w:left w:w="360" w:type="dxa"/>
              <w:bottom w:w="0" w:type="dxa"/>
              <w:right w:w="280" w:type="dxa"/>
            </w:tcMar>
          </w:tcPr>
          <w:p w14:paraId="61543045" w14:textId="77777777" w:rsidR="00D60688" w:rsidRDefault="00000000">
            <w:pPr>
              <w:spacing w:after="60" w:line="276" w:lineRule="auto"/>
            </w:pPr>
            <w:r>
              <w:rPr>
                <w:rFonts w:ascii="Calibri" w:eastAsia="Calibri" w:hAnsi="Calibri" w:cs="Calibri"/>
                <w:b/>
                <w:bCs/>
                <w:caps/>
                <w:color w:val="9BAABE"/>
                <w:sz w:val="14"/>
                <w:szCs w:val="14"/>
              </w:rPr>
              <w:t>Report Type</w:t>
            </w:r>
          </w:p>
          <w:p w14:paraId="75CCAE17" w14:textId="77777777" w:rsidR="00D60688" w:rsidRDefault="00000000">
            <w:pPr>
              <w:spacing w:after="120" w:line="276" w:lineRule="auto"/>
            </w:pPr>
            <w:r>
              <w:rPr>
                <w:rFonts w:ascii="Calibri" w:eastAsia="Calibri" w:hAnsi="Calibri" w:cs="Calibri"/>
                <w:b/>
                <w:bCs/>
                <w:color w:val="1B2A4A"/>
                <w:sz w:val="18"/>
                <w:szCs w:val="18"/>
              </w:rPr>
              <w:t>Thematic Note</w:t>
            </w:r>
          </w:p>
          <w:p w14:paraId="483F9F31" w14:textId="77777777" w:rsidR="00D60688" w:rsidRDefault="00000000">
            <w:pPr>
              <w:spacing w:line="276" w:lineRule="auto"/>
            </w:pPr>
            <w:r>
              <w:rPr>
                <w:rFonts w:ascii="Calibri" w:eastAsia="Calibri" w:hAnsi="Calibri" w:cs="Calibri"/>
                <w:color w:val="9BAABE"/>
                <w:sz w:val="15"/>
                <w:szCs w:val="15"/>
              </w:rPr>
              <w:t>Macro / Energy</w:t>
            </w:r>
          </w:p>
          <w:p w14:paraId="4BCAF7F0" w14:textId="77777777" w:rsidR="00D60688" w:rsidRDefault="00D60688">
            <w:pPr>
              <w:spacing w:after="80" w:line="276" w:lineRule="auto"/>
            </w:pPr>
          </w:p>
          <w:p w14:paraId="4496838F" w14:textId="77777777" w:rsidR="00D60688" w:rsidRDefault="00000000">
            <w:pPr>
              <w:spacing w:after="60" w:line="276" w:lineRule="auto"/>
            </w:pPr>
            <w:r>
              <w:rPr>
                <w:rFonts w:ascii="Calibri" w:eastAsia="Calibri" w:hAnsi="Calibri" w:cs="Calibri"/>
                <w:b/>
                <w:bCs/>
                <w:caps/>
                <w:color w:val="9BAABE"/>
                <w:sz w:val="14"/>
                <w:szCs w:val="14"/>
              </w:rPr>
              <w:t>Conviction</w:t>
            </w:r>
          </w:p>
          <w:p w14:paraId="5D41E8D4" w14:textId="5848F15B" w:rsidR="00D60688" w:rsidRDefault="00234F8E">
            <w:pPr>
              <w:spacing w:after="120" w:line="276" w:lineRule="auto"/>
            </w:pPr>
            <w:r>
              <w:rPr>
                <w:rFonts w:ascii="Calibri" w:eastAsia="Calibri" w:hAnsi="Calibri" w:cs="Calibri"/>
                <w:b/>
                <w:bCs/>
                <w:color w:val="C9A84C"/>
                <w:sz w:val="18"/>
                <w:szCs w:val="18"/>
              </w:rPr>
              <w:t>Medium</w:t>
            </w:r>
          </w:p>
          <w:p w14:paraId="448DEBBA" w14:textId="77777777" w:rsidR="00D60688" w:rsidRDefault="00D60688">
            <w:pPr>
              <w:spacing w:after="80" w:line="276" w:lineRule="auto"/>
            </w:pPr>
          </w:p>
          <w:p w14:paraId="139908D4" w14:textId="77777777" w:rsidR="00D60688" w:rsidRDefault="00000000">
            <w:pPr>
              <w:spacing w:after="60" w:line="276" w:lineRule="auto"/>
            </w:pPr>
            <w:r>
              <w:rPr>
                <w:rFonts w:ascii="Calibri" w:eastAsia="Calibri" w:hAnsi="Calibri" w:cs="Calibri"/>
                <w:b/>
                <w:bCs/>
                <w:caps/>
                <w:color w:val="9BAABE"/>
                <w:sz w:val="14"/>
                <w:szCs w:val="14"/>
              </w:rPr>
              <w:t>Resolution</w:t>
            </w:r>
          </w:p>
          <w:p w14:paraId="70F460B7" w14:textId="77777777" w:rsidR="00D60688" w:rsidRDefault="00000000">
            <w:pPr>
              <w:spacing w:after="120" w:line="276" w:lineRule="auto"/>
            </w:pPr>
            <w:r>
              <w:rPr>
                <w:rFonts w:ascii="Calibri" w:eastAsia="Calibri" w:hAnsi="Calibri" w:cs="Calibri"/>
                <w:b/>
                <w:bCs/>
                <w:color w:val="1B2A4A"/>
                <w:sz w:val="18"/>
                <w:szCs w:val="18"/>
              </w:rPr>
              <w:t>2–3 quarters</w:t>
            </w:r>
          </w:p>
          <w:p w14:paraId="6A2F330E" w14:textId="77777777" w:rsidR="00D60688" w:rsidRDefault="00D60688">
            <w:pPr>
              <w:spacing w:after="80" w:line="276" w:lineRule="auto"/>
            </w:pPr>
          </w:p>
          <w:p w14:paraId="2FC6938D" w14:textId="77777777" w:rsidR="00D60688" w:rsidRDefault="00000000">
            <w:pPr>
              <w:spacing w:after="60" w:line="276" w:lineRule="auto"/>
            </w:pPr>
            <w:r>
              <w:rPr>
                <w:rFonts w:ascii="Calibri" w:eastAsia="Calibri" w:hAnsi="Calibri" w:cs="Calibri"/>
                <w:b/>
                <w:bCs/>
                <w:caps/>
                <w:color w:val="9BAABE"/>
                <w:sz w:val="14"/>
                <w:szCs w:val="14"/>
              </w:rPr>
              <w:t>Sector Focus</w:t>
            </w:r>
          </w:p>
          <w:p w14:paraId="70175E8A" w14:textId="77777777" w:rsidR="00D60688" w:rsidRDefault="00000000">
            <w:pPr>
              <w:spacing w:after="120" w:line="276" w:lineRule="auto"/>
            </w:pPr>
            <w:r>
              <w:rPr>
                <w:rFonts w:ascii="Calibri" w:eastAsia="Calibri" w:hAnsi="Calibri" w:cs="Calibri"/>
                <w:b/>
                <w:bCs/>
                <w:color w:val="1B2A4A"/>
                <w:sz w:val="18"/>
                <w:szCs w:val="18"/>
              </w:rPr>
              <w:t>Energy / Geopolitics</w:t>
            </w:r>
          </w:p>
          <w:p w14:paraId="4B92B790" w14:textId="77777777" w:rsidR="00D60688" w:rsidRDefault="00000000">
            <w:pPr>
              <w:spacing w:line="276" w:lineRule="auto"/>
            </w:pPr>
            <w:r>
              <w:rPr>
                <w:rFonts w:ascii="Calibri" w:eastAsia="Calibri" w:hAnsi="Calibri" w:cs="Calibri"/>
                <w:color w:val="9BAABE"/>
                <w:sz w:val="15"/>
                <w:szCs w:val="15"/>
              </w:rPr>
              <w:t>Macro / Rates</w:t>
            </w:r>
          </w:p>
          <w:p w14:paraId="5698EAA6" w14:textId="77777777" w:rsidR="00D60688" w:rsidRDefault="00D60688">
            <w:pPr>
              <w:pBdr>
                <w:bottom w:val="single" w:sz="2" w:space="0" w:color="E8E4DC"/>
              </w:pBdr>
              <w:spacing w:before="100" w:after="100" w:line="276" w:lineRule="auto"/>
            </w:pPr>
          </w:p>
          <w:p w14:paraId="436ECC41" w14:textId="77777777" w:rsidR="00D60688" w:rsidRDefault="00000000">
            <w:pPr>
              <w:spacing w:after="60" w:line="276" w:lineRule="auto"/>
            </w:pPr>
            <w:r>
              <w:rPr>
                <w:rFonts w:ascii="Calibri" w:eastAsia="Calibri" w:hAnsi="Calibri" w:cs="Calibri"/>
                <w:b/>
                <w:bCs/>
                <w:caps/>
                <w:color w:val="9BAABE"/>
                <w:sz w:val="14"/>
                <w:szCs w:val="14"/>
              </w:rPr>
              <w:t>In this note</w:t>
            </w:r>
          </w:p>
          <w:p w14:paraId="0C9EAD50" w14:textId="77777777"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01  </w:t>
            </w:r>
            <w:r>
              <w:rPr>
                <w:rFonts w:ascii="Calibri" w:eastAsia="Calibri" w:hAnsi="Calibri" w:cs="Calibri"/>
                <w:color w:val="9BAABE"/>
                <w:sz w:val="16"/>
                <w:szCs w:val="16"/>
              </w:rPr>
              <w:t>Macro Setup &amp; Context</w:t>
            </w:r>
          </w:p>
          <w:p w14:paraId="3E6B856B" w14:textId="77777777"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02  </w:t>
            </w:r>
            <w:r>
              <w:rPr>
                <w:rFonts w:ascii="Calibri" w:eastAsia="Calibri" w:hAnsi="Calibri" w:cs="Calibri"/>
                <w:color w:val="9BAABE"/>
                <w:sz w:val="16"/>
                <w:szCs w:val="16"/>
              </w:rPr>
              <w:t>Transmission Mechanism</w:t>
            </w:r>
          </w:p>
          <w:p w14:paraId="3DEA2BEB" w14:textId="77777777"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03  </w:t>
            </w:r>
            <w:r>
              <w:rPr>
                <w:rFonts w:ascii="Calibri" w:eastAsia="Calibri" w:hAnsi="Calibri" w:cs="Calibri"/>
                <w:color w:val="9BAABE"/>
                <w:sz w:val="16"/>
                <w:szCs w:val="16"/>
              </w:rPr>
              <w:t>Industry Impact Map</w:t>
            </w:r>
          </w:p>
          <w:p w14:paraId="5BA3AC3D" w14:textId="77777777"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04  </w:t>
            </w:r>
            <w:r>
              <w:rPr>
                <w:rFonts w:ascii="Calibri" w:eastAsia="Calibri" w:hAnsi="Calibri" w:cs="Calibri"/>
                <w:color w:val="9BAABE"/>
                <w:sz w:val="16"/>
                <w:szCs w:val="16"/>
              </w:rPr>
              <w:t>Duration &amp; Scenarios</w:t>
            </w:r>
          </w:p>
          <w:p w14:paraId="31138025" w14:textId="74DDCD17" w:rsidR="00D60688" w:rsidRDefault="00000000">
            <w:pPr>
              <w:pBdr>
                <w:bottom w:val="single" w:sz="2" w:space="0" w:color="E8E4DC"/>
              </w:pBdr>
              <w:spacing w:line="276" w:lineRule="auto"/>
            </w:pPr>
            <w:proofErr w:type="gramStart"/>
            <w:r>
              <w:rPr>
                <w:rFonts w:ascii="Calibri" w:eastAsia="Calibri" w:hAnsi="Calibri" w:cs="Calibri"/>
                <w:b/>
                <w:bCs/>
                <w:color w:val="C9A84C"/>
                <w:sz w:val="16"/>
                <w:szCs w:val="16"/>
              </w:rPr>
              <w:t xml:space="preserve">05  </w:t>
            </w:r>
            <w:r w:rsidR="0024161E">
              <w:rPr>
                <w:rFonts w:ascii="Calibri" w:eastAsia="Calibri" w:hAnsi="Calibri" w:cs="Calibri"/>
                <w:color w:val="9BAABE"/>
                <w:sz w:val="16"/>
                <w:szCs w:val="16"/>
              </w:rPr>
              <w:t>Public</w:t>
            </w:r>
            <w:proofErr w:type="gramEnd"/>
            <w:r w:rsidR="0024161E">
              <w:rPr>
                <w:rFonts w:ascii="Calibri" w:eastAsia="Calibri" w:hAnsi="Calibri" w:cs="Calibri"/>
                <w:color w:val="9BAABE"/>
                <w:sz w:val="16"/>
                <w:szCs w:val="16"/>
              </w:rPr>
              <w:t xml:space="preserve"> Market Exposure</w:t>
            </w:r>
          </w:p>
          <w:p w14:paraId="5427D911" w14:textId="77777777"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06  </w:t>
            </w:r>
            <w:r>
              <w:rPr>
                <w:rFonts w:ascii="Calibri" w:eastAsia="Calibri" w:hAnsi="Calibri" w:cs="Calibri"/>
                <w:color w:val="9BAABE"/>
                <w:sz w:val="16"/>
                <w:szCs w:val="16"/>
              </w:rPr>
              <w:t>Risks &amp; Falsification</w:t>
            </w:r>
          </w:p>
          <w:p w14:paraId="17BF41E9" w14:textId="77777777"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07  </w:t>
            </w:r>
            <w:r>
              <w:rPr>
                <w:rFonts w:ascii="Calibri" w:eastAsia="Calibri" w:hAnsi="Calibri" w:cs="Calibri"/>
                <w:color w:val="9BAABE"/>
                <w:sz w:val="16"/>
                <w:szCs w:val="16"/>
              </w:rPr>
              <w:t>Data Sources &amp; Citations</w:t>
            </w:r>
          </w:p>
          <w:p w14:paraId="1F504E3B" w14:textId="77777777" w:rsidR="00D60688" w:rsidRDefault="00D60688">
            <w:pPr>
              <w:spacing w:after="200" w:line="276" w:lineRule="auto"/>
            </w:pPr>
          </w:p>
          <w:p w14:paraId="66D5E4F4" w14:textId="77777777" w:rsidR="00D60688" w:rsidRDefault="00000000">
            <w:pPr>
              <w:spacing w:before="120" w:after="30" w:line="276" w:lineRule="auto"/>
            </w:pPr>
            <w:r>
              <w:rPr>
                <w:rFonts w:ascii="Palatino Linotype" w:eastAsia="Palatino Linotype" w:hAnsi="Palatino Linotype" w:cs="Palatino Linotype"/>
                <w:b/>
                <w:bCs/>
                <w:color w:val="1B2A4A"/>
              </w:rPr>
              <w:t>Mary Scott</w:t>
            </w:r>
          </w:p>
          <w:p w14:paraId="36BD5555" w14:textId="77777777" w:rsidR="00D60688" w:rsidRDefault="00000000">
            <w:pPr>
              <w:spacing w:line="276" w:lineRule="auto"/>
            </w:pPr>
            <w:r>
              <w:rPr>
                <w:rFonts w:ascii="Calibri" w:eastAsia="Calibri" w:hAnsi="Calibri" w:cs="Calibri"/>
                <w:color w:val="9BAABE"/>
                <w:sz w:val="16"/>
                <w:szCs w:val="16"/>
              </w:rPr>
              <w:t>Nexus Research</w:t>
            </w:r>
          </w:p>
        </w:tc>
        <w:tc>
          <w:tcPr>
            <w:tcW w:w="8900" w:type="dxa"/>
            <w:tcBorders>
              <w:top w:val="none" w:sz="0" w:space="0" w:color="FFFFFF"/>
              <w:left w:val="none" w:sz="0" w:space="0" w:color="FFFFFF"/>
              <w:bottom w:val="none" w:sz="0" w:space="0" w:color="FFFFFF"/>
              <w:right w:val="none" w:sz="0" w:space="0" w:color="FFFFFF"/>
            </w:tcBorders>
            <w:tcMar>
              <w:top w:w="200" w:type="dxa"/>
              <w:left w:w="360" w:type="dxa"/>
              <w:bottom w:w="200" w:type="dxa"/>
              <w:right w:w="360" w:type="dxa"/>
            </w:tcMar>
          </w:tcPr>
          <w:p w14:paraId="187F7EEA" w14:textId="152BBF9C" w:rsidR="00D60688" w:rsidRDefault="00000000">
            <w:pPr>
              <w:spacing w:after="120" w:line="276" w:lineRule="auto"/>
            </w:pPr>
            <w:r>
              <w:rPr>
                <w:rFonts w:ascii="Calibri" w:eastAsia="Calibri" w:hAnsi="Calibri" w:cs="Calibri"/>
                <w:i/>
                <w:iCs/>
                <w:color w:val="9BAABE"/>
                <w:sz w:val="16"/>
                <w:szCs w:val="16"/>
              </w:rPr>
              <w:t>Vol. I, No. 1  ·  Energy / Macro  ·  June 8, 2026</w:t>
            </w:r>
          </w:p>
          <w:p w14:paraId="6E349319" w14:textId="77777777" w:rsidR="00D60688" w:rsidRDefault="00000000">
            <w:pPr>
              <w:spacing w:after="80" w:line="350" w:lineRule="auto"/>
            </w:pPr>
            <w:r>
              <w:rPr>
                <w:rFonts w:ascii="Palatino Linotype" w:eastAsia="Palatino Linotype" w:hAnsi="Palatino Linotype" w:cs="Palatino Linotype"/>
                <w:b/>
                <w:bCs/>
                <w:color w:val="1B2A4A"/>
                <w:sz w:val="52"/>
                <w:szCs w:val="52"/>
              </w:rPr>
              <w:t xml:space="preserve">Running on </w:t>
            </w:r>
            <w:r>
              <w:rPr>
                <w:rFonts w:ascii="Palatino Linotype" w:eastAsia="Palatino Linotype" w:hAnsi="Palatino Linotype" w:cs="Palatino Linotype"/>
                <w:b/>
                <w:bCs/>
                <w:i/>
                <w:iCs/>
                <w:color w:val="C9A84C"/>
                <w:sz w:val="52"/>
                <w:szCs w:val="52"/>
              </w:rPr>
              <w:t>Empty</w:t>
            </w:r>
          </w:p>
          <w:p w14:paraId="71FC19D8" w14:textId="77777777" w:rsidR="00D60688" w:rsidRDefault="00000000">
            <w:pPr>
              <w:pBdr>
                <w:bottom w:val="single" w:sz="2" w:space="0" w:color="E8E4DC"/>
              </w:pBdr>
              <w:spacing w:after="200" w:line="276" w:lineRule="auto"/>
            </w:pPr>
            <w:r>
              <w:rPr>
                <w:rFonts w:ascii="Calibri" w:eastAsia="Calibri" w:hAnsi="Calibri" w:cs="Calibri"/>
                <w:i/>
                <w:iCs/>
                <w:color w:val="2A2A2A"/>
              </w:rPr>
              <w:t>The Strait of Hormuz closure is not a supply crisis, but a time problem. Whether the world runs out of buffer before it runs out of patience is the only question that matters.</w:t>
            </w:r>
          </w:p>
          <w:tbl>
            <w:tblPr>
              <w:tblW w:w="81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0"/>
            </w:tblGrid>
            <w:tr w:rsidR="00D60688" w14:paraId="0D80E216" w14:textId="77777777">
              <w:tc>
                <w:tcPr>
                  <w:tcW w:w="8180" w:type="dxa"/>
                  <w:tcBorders>
                    <w:top w:val="none" w:sz="0" w:space="0" w:color="FFFFFF"/>
                    <w:left w:val="single" w:sz="18" w:space="0" w:color="C9A84C"/>
                    <w:bottom w:val="none" w:sz="0" w:space="0" w:color="FFFFFF"/>
                    <w:right w:val="none" w:sz="0" w:space="0" w:color="FFFFFF"/>
                  </w:tcBorders>
                  <w:shd w:val="clear" w:color="auto" w:fill="FAF8F3"/>
                  <w:tcMar>
                    <w:top w:w="160" w:type="dxa"/>
                    <w:left w:w="280" w:type="dxa"/>
                    <w:bottom w:w="160" w:type="dxa"/>
                    <w:right w:w="280" w:type="dxa"/>
                  </w:tcMar>
                </w:tcPr>
                <w:p w14:paraId="6F7865BB" w14:textId="77777777" w:rsidR="00D60688" w:rsidRDefault="00000000">
                  <w:pPr>
                    <w:spacing w:after="80" w:line="276" w:lineRule="auto"/>
                  </w:pPr>
                  <w:r>
                    <w:rPr>
                      <w:rFonts w:ascii="Calibri" w:eastAsia="Calibri" w:hAnsi="Calibri" w:cs="Calibri"/>
                      <w:b/>
                      <w:bCs/>
                      <w:caps/>
                      <w:color w:val="C9A84C"/>
                      <w:sz w:val="14"/>
                      <w:szCs w:val="14"/>
                    </w:rPr>
                    <w:t>Thesis</w:t>
                  </w:r>
                </w:p>
                <w:p w14:paraId="78E3B748" w14:textId="77777777" w:rsidR="00D60688" w:rsidRDefault="00000000">
                  <w:pPr>
                    <w:spacing w:after="100" w:line="320" w:lineRule="auto"/>
                  </w:pPr>
                  <w:r>
                    <w:rPr>
                      <w:rFonts w:ascii="Palatino Linotype" w:eastAsia="Palatino Linotype" w:hAnsi="Palatino Linotype" w:cs="Palatino Linotype"/>
                      <w:i/>
                      <w:iCs/>
                      <w:color w:val="2A2A2A"/>
                      <w:sz w:val="22"/>
                      <w:szCs w:val="22"/>
                    </w:rPr>
                    <w:t>The global oil system has the physical supply to absorb a short closure. What it lacks is the buffer depth to absorb a long one. Strategic reserves entered this crisis already depleted, drawn down by policy releases and monetized through export sales during the disruption itself, which means the cushion consensus is relying on is thinner than it appears. Duration is the variable everything else is a function of: a two-month closure is a price event; a six-month closure is a structural one. The market is currently pricing the former. The evidence points toward the latter.</w:t>
                  </w:r>
                </w:p>
                <w:p w14:paraId="52FB4B34" w14:textId="37CD9F1F" w:rsidR="00D60688" w:rsidRDefault="00000000">
                  <w:pPr>
                    <w:spacing w:line="276" w:lineRule="auto"/>
                  </w:pPr>
                  <w:r>
                    <w:rPr>
                      <w:rFonts w:ascii="Calibri" w:eastAsia="Calibri" w:hAnsi="Calibri" w:cs="Calibri"/>
                      <w:b/>
                      <w:bCs/>
                      <w:caps/>
                      <w:color w:val="9BAABE"/>
                      <w:sz w:val="16"/>
                      <w:szCs w:val="16"/>
                    </w:rPr>
                    <w:t xml:space="preserve">Catalyst:  </w:t>
                  </w:r>
                  <w:r>
                    <w:rPr>
                      <w:rFonts w:ascii="Calibri" w:eastAsia="Calibri" w:hAnsi="Calibri" w:cs="Calibri"/>
                      <w:i/>
                      <w:iCs/>
                      <w:color w:val="2A2A2A"/>
                      <w:sz w:val="16"/>
                      <w:szCs w:val="16"/>
                    </w:rPr>
                    <w:t xml:space="preserve">This thesis has three near-term triggers that individually or collectively force resolution. First, Trump's approval or rejection of the tentative 60-day MOU, negotiated but unsigned as of publication, is the binary diplomatic event the market is watching; every day it remains unsigned, the buffer narrows. Second, the weekly EIA inventory report (released every Wednesday) is now the most important recurring data point: Cushing just fell to </w:t>
                  </w:r>
                  <w:r w:rsidR="00E75B11">
                    <w:rPr>
                      <w:rFonts w:ascii="Calibri" w:eastAsia="Calibri" w:hAnsi="Calibri" w:cs="Calibri"/>
                      <w:i/>
                      <w:iCs/>
                      <w:color w:val="2A2A2A"/>
                      <w:sz w:val="16"/>
                      <w:szCs w:val="16"/>
                    </w:rPr>
                    <w:t xml:space="preserve">approximately </w:t>
                  </w:r>
                  <w:r>
                    <w:rPr>
                      <w:rFonts w:ascii="Calibri" w:eastAsia="Calibri" w:hAnsi="Calibri" w:cs="Calibri"/>
                      <w:i/>
                      <w:iCs/>
                      <w:color w:val="2A2A2A"/>
                      <w:sz w:val="16"/>
                      <w:szCs w:val="16"/>
                    </w:rPr>
                    <w:t xml:space="preserve">22.4 million barrels on its sixth consecutive weekly decline, approaching the roughly </w:t>
                  </w:r>
                  <w:proofErr w:type="gramStart"/>
                  <w:r>
                    <w:rPr>
                      <w:rFonts w:ascii="Calibri" w:eastAsia="Calibri" w:hAnsi="Calibri" w:cs="Calibri"/>
                      <w:i/>
                      <w:iCs/>
                      <w:color w:val="2A2A2A"/>
                      <w:sz w:val="16"/>
                      <w:szCs w:val="16"/>
                    </w:rPr>
                    <w:t>20 million barrel</w:t>
                  </w:r>
                  <w:proofErr w:type="gramEnd"/>
                  <w:r>
                    <w:rPr>
                      <w:rFonts w:ascii="Calibri" w:eastAsia="Calibri" w:hAnsi="Calibri" w:cs="Calibri"/>
                      <w:i/>
                      <w:iCs/>
                      <w:color w:val="2A2A2A"/>
                      <w:sz w:val="16"/>
                      <w:szCs w:val="16"/>
                    </w:rPr>
                    <w:t xml:space="preserve"> operational floor that constrains WTI futures mechanics. Third, peak summer demand arrives in July, the worst possible moment for inventories to be at these levels. The thesis resolves when one of these three pressures breaks first: a deal, a floor, or a crunch.</w:t>
                  </w:r>
                  <w:r w:rsidR="00BB7AF6">
                    <w:rPr>
                      <w:rFonts w:ascii="Calibri" w:eastAsia="Calibri" w:hAnsi="Calibri" w:cs="Calibri"/>
                      <w:i/>
                      <w:iCs/>
                      <w:color w:val="2A2A2A"/>
                      <w:sz w:val="16"/>
                      <w:szCs w:val="16"/>
                    </w:rPr>
                    <w:t xml:space="preserve"> </w:t>
                  </w:r>
                  <w:r w:rsidR="00BB7AF6" w:rsidRPr="00BB7AF6">
                    <w:rPr>
                      <w:rFonts w:ascii="Calibri" w:eastAsia="Calibri" w:hAnsi="Calibri" w:cs="Calibri"/>
                      <w:i/>
                      <w:iCs/>
                      <w:color w:val="2A2A2A"/>
                      <w:sz w:val="16"/>
                      <w:szCs w:val="16"/>
                    </w:rPr>
                    <w:t>While the MOU represents the most visible diplomatic catalyst, the thesis is not dependent on any specific political actor or agreement. The underlying question is duration. Any development that materially shortens disruption duration, including negotiated reopening, military escort operations, partial transit restoration, or rapid expansion of alternative routing capacity, would weaken the thesis. Conversely, any development that prolongs logistics impairment strengthens it.</w:t>
                  </w:r>
                </w:p>
              </w:tc>
            </w:tr>
          </w:tbl>
          <w:p w14:paraId="246E1174" w14:textId="77777777" w:rsidR="00D60688" w:rsidRDefault="00D60688"/>
        </w:tc>
      </w:tr>
    </w:tbl>
    <w:p w14:paraId="7A2DE1CA" w14:textId="77777777" w:rsidR="00D60688" w:rsidRDefault="00D60688">
      <w:pPr>
        <w:sectPr w:rsidR="00D60688">
          <w:headerReference w:type="default" r:id="rId7"/>
          <w:footerReference w:type="default" r:id="rId8"/>
          <w:pgSz w:w="12240" w:h="15840"/>
          <w:pgMar w:top="720" w:right="720" w:bottom="720" w:left="720" w:header="708" w:footer="708" w:gutter="0"/>
          <w:cols w:space="720"/>
          <w:docGrid w:linePitch="360"/>
        </w:sectPr>
      </w:pPr>
    </w:p>
    <w:tbl>
      <w:tblPr>
        <w:tblW w:w="10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8900"/>
      </w:tblGrid>
      <w:tr w:rsidR="00D60688" w14:paraId="6236AA6A" w14:textId="77777777">
        <w:tc>
          <w:tcPr>
            <w:tcW w:w="1900" w:type="dxa"/>
            <w:tcBorders>
              <w:top w:val="none" w:sz="0" w:space="0" w:color="FFFFFF"/>
              <w:left w:val="none" w:sz="0" w:space="0" w:color="FFFFFF"/>
              <w:bottom w:val="none" w:sz="0" w:space="0" w:color="FFFFFF"/>
              <w:right w:val="single" w:sz="2" w:space="0" w:color="E8E4DC"/>
            </w:tcBorders>
            <w:shd w:val="clear" w:color="auto" w:fill="FAF9F6"/>
            <w:tcMar>
              <w:top w:w="200" w:type="dxa"/>
              <w:left w:w="360" w:type="dxa"/>
              <w:bottom w:w="0" w:type="dxa"/>
              <w:right w:w="280" w:type="dxa"/>
            </w:tcMar>
          </w:tcPr>
          <w:p w14:paraId="4D3BF53F" w14:textId="77777777" w:rsidR="00D60688" w:rsidRDefault="00000000">
            <w:pPr>
              <w:spacing w:after="40" w:line="276" w:lineRule="auto"/>
            </w:pPr>
            <w:r>
              <w:rPr>
                <w:rFonts w:ascii="Calibri" w:eastAsia="Calibri" w:hAnsi="Calibri" w:cs="Calibri"/>
                <w:b/>
                <w:bCs/>
                <w:caps/>
                <w:color w:val="C9A84C"/>
                <w:sz w:val="14"/>
                <w:szCs w:val="14"/>
              </w:rPr>
              <w:lastRenderedPageBreak/>
              <w:t>Currently reading</w:t>
            </w:r>
          </w:p>
          <w:p w14:paraId="103C5D43" w14:textId="77777777" w:rsidR="00D60688" w:rsidRDefault="00000000">
            <w:pPr>
              <w:spacing w:line="276" w:lineRule="auto"/>
            </w:pPr>
            <w:r>
              <w:rPr>
                <w:rFonts w:ascii="Calibri" w:eastAsia="Calibri" w:hAnsi="Calibri" w:cs="Calibri"/>
                <w:b/>
                <w:bCs/>
                <w:color w:val="1B2A4A"/>
                <w:sz w:val="18"/>
                <w:szCs w:val="18"/>
              </w:rPr>
              <w:t>Sections 01 &amp; 02</w:t>
            </w:r>
          </w:p>
          <w:p w14:paraId="76D291FA" w14:textId="77777777" w:rsidR="00D60688" w:rsidRDefault="00D60688">
            <w:pPr>
              <w:pBdr>
                <w:bottom w:val="single" w:sz="2" w:space="0" w:color="E8E4DC"/>
              </w:pBdr>
              <w:spacing w:before="100" w:after="100" w:line="276" w:lineRule="auto"/>
            </w:pPr>
          </w:p>
          <w:p w14:paraId="07371E55" w14:textId="77777777"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01  </w:t>
            </w:r>
            <w:r>
              <w:rPr>
                <w:rFonts w:ascii="Calibri" w:eastAsia="Calibri" w:hAnsi="Calibri" w:cs="Calibri"/>
                <w:b/>
                <w:bCs/>
                <w:color w:val="1B2A4A"/>
                <w:sz w:val="16"/>
                <w:szCs w:val="16"/>
              </w:rPr>
              <w:t>Macro Setup &amp; Context</w:t>
            </w:r>
          </w:p>
          <w:p w14:paraId="689355C1" w14:textId="77777777"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02  </w:t>
            </w:r>
            <w:r>
              <w:rPr>
                <w:rFonts w:ascii="Calibri" w:eastAsia="Calibri" w:hAnsi="Calibri" w:cs="Calibri"/>
                <w:b/>
                <w:bCs/>
                <w:color w:val="1B2A4A"/>
                <w:sz w:val="16"/>
                <w:szCs w:val="16"/>
              </w:rPr>
              <w:t>Transmission Mechanism</w:t>
            </w:r>
          </w:p>
          <w:p w14:paraId="774DB3C3" w14:textId="77777777"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03  </w:t>
            </w:r>
            <w:r>
              <w:rPr>
                <w:rFonts w:ascii="Calibri" w:eastAsia="Calibri" w:hAnsi="Calibri" w:cs="Calibri"/>
                <w:color w:val="9BAABE"/>
                <w:sz w:val="16"/>
                <w:szCs w:val="16"/>
              </w:rPr>
              <w:t>Industry Impact Map</w:t>
            </w:r>
          </w:p>
          <w:p w14:paraId="7AF63A32" w14:textId="77777777"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04  </w:t>
            </w:r>
            <w:r>
              <w:rPr>
                <w:rFonts w:ascii="Calibri" w:eastAsia="Calibri" w:hAnsi="Calibri" w:cs="Calibri"/>
                <w:color w:val="9BAABE"/>
                <w:sz w:val="16"/>
                <w:szCs w:val="16"/>
              </w:rPr>
              <w:t>Duration &amp; Scenarios</w:t>
            </w:r>
          </w:p>
          <w:p w14:paraId="532381D4" w14:textId="6AE8E92E"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05 </w:t>
            </w:r>
            <w:r w:rsidR="0024161E">
              <w:rPr>
                <w:rFonts w:ascii="Calibri" w:eastAsia="Calibri" w:hAnsi="Calibri" w:cs="Calibri"/>
                <w:color w:val="9BAABE"/>
                <w:sz w:val="16"/>
                <w:szCs w:val="16"/>
              </w:rPr>
              <w:t>Public Market Exposure</w:t>
            </w:r>
          </w:p>
          <w:p w14:paraId="143890FD" w14:textId="77777777"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06  </w:t>
            </w:r>
            <w:r>
              <w:rPr>
                <w:rFonts w:ascii="Calibri" w:eastAsia="Calibri" w:hAnsi="Calibri" w:cs="Calibri"/>
                <w:color w:val="9BAABE"/>
                <w:sz w:val="16"/>
                <w:szCs w:val="16"/>
              </w:rPr>
              <w:t>Risks &amp; Falsification</w:t>
            </w:r>
          </w:p>
          <w:p w14:paraId="591EEDC2" w14:textId="77777777"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07  </w:t>
            </w:r>
            <w:r>
              <w:rPr>
                <w:rFonts w:ascii="Calibri" w:eastAsia="Calibri" w:hAnsi="Calibri" w:cs="Calibri"/>
                <w:color w:val="9BAABE"/>
                <w:sz w:val="16"/>
                <w:szCs w:val="16"/>
              </w:rPr>
              <w:t>Data Sources &amp; Citations</w:t>
            </w:r>
          </w:p>
          <w:p w14:paraId="12941FFE" w14:textId="77777777" w:rsidR="00D60688" w:rsidRDefault="00D60688">
            <w:pPr>
              <w:spacing w:after="200" w:line="276" w:lineRule="auto"/>
            </w:pPr>
          </w:p>
          <w:p w14:paraId="579C180E" w14:textId="77777777" w:rsidR="00D60688" w:rsidRDefault="00000000">
            <w:pPr>
              <w:spacing w:before="120" w:after="30" w:line="276" w:lineRule="auto"/>
            </w:pPr>
            <w:r>
              <w:rPr>
                <w:rFonts w:ascii="Palatino Linotype" w:eastAsia="Palatino Linotype" w:hAnsi="Palatino Linotype" w:cs="Palatino Linotype"/>
                <w:b/>
                <w:bCs/>
                <w:color w:val="1B2A4A"/>
              </w:rPr>
              <w:t>Mary Scott</w:t>
            </w:r>
          </w:p>
          <w:p w14:paraId="1A53C78D" w14:textId="77777777" w:rsidR="00D60688" w:rsidRDefault="00000000">
            <w:pPr>
              <w:spacing w:line="276" w:lineRule="auto"/>
            </w:pPr>
            <w:r>
              <w:rPr>
                <w:rFonts w:ascii="Calibri" w:eastAsia="Calibri" w:hAnsi="Calibri" w:cs="Calibri"/>
                <w:color w:val="9BAABE"/>
                <w:sz w:val="16"/>
                <w:szCs w:val="16"/>
              </w:rPr>
              <w:t>Nexus Research</w:t>
            </w:r>
          </w:p>
        </w:tc>
        <w:tc>
          <w:tcPr>
            <w:tcW w:w="8900" w:type="dxa"/>
            <w:tcBorders>
              <w:top w:val="none" w:sz="0" w:space="0" w:color="FFFFFF"/>
              <w:left w:val="none" w:sz="0" w:space="0" w:color="FFFFFF"/>
              <w:bottom w:val="none" w:sz="0" w:space="0" w:color="FFFFFF"/>
              <w:right w:val="none" w:sz="0" w:space="0" w:color="FFFFFF"/>
            </w:tcBorders>
            <w:tcMar>
              <w:top w:w="200" w:type="dxa"/>
              <w:left w:w="360" w:type="dxa"/>
              <w:bottom w:w="200" w:type="dxa"/>
              <w:right w:w="360" w:type="dxa"/>
            </w:tcMar>
          </w:tcPr>
          <w:p w14:paraId="1B1B265F" w14:textId="77777777" w:rsidR="00D60688" w:rsidRDefault="00000000">
            <w:pPr>
              <w:spacing w:before="120" w:after="40" w:line="276" w:lineRule="auto"/>
            </w:pPr>
            <w:r>
              <w:rPr>
                <w:rFonts w:ascii="Calibri" w:eastAsia="Calibri" w:hAnsi="Calibri" w:cs="Calibri"/>
                <w:b/>
                <w:bCs/>
                <w:color w:val="C9A84C"/>
                <w:sz w:val="16"/>
                <w:szCs w:val="16"/>
              </w:rPr>
              <w:t>01 · MACRO SETUP &amp; CONTEXT</w:t>
            </w:r>
          </w:p>
          <w:p w14:paraId="7B9BBC30" w14:textId="77777777" w:rsidR="00D60688" w:rsidRDefault="00000000">
            <w:pPr>
              <w:pBdr>
                <w:bottom w:val="single" w:sz="2" w:space="0" w:color="E8E4DC"/>
              </w:pBdr>
              <w:spacing w:after="120" w:line="276" w:lineRule="auto"/>
            </w:pPr>
            <w:r>
              <w:rPr>
                <w:rFonts w:ascii="Palatino Linotype" w:eastAsia="Palatino Linotype" w:hAnsi="Palatino Linotype" w:cs="Palatino Linotype"/>
                <w:b/>
                <w:bCs/>
                <w:color w:val="1B2A4A"/>
                <w:sz w:val="28"/>
                <w:szCs w:val="28"/>
              </w:rPr>
              <w:t>Macro Setup &amp; Context</w:t>
            </w:r>
          </w:p>
          <w:p w14:paraId="208F67B0" w14:textId="77777777" w:rsidR="00D60688" w:rsidRDefault="00000000">
            <w:pPr>
              <w:spacing w:after="140" w:line="320" w:lineRule="auto"/>
            </w:pPr>
            <w:r>
              <w:rPr>
                <w:rFonts w:ascii="Calibri" w:eastAsia="Calibri" w:hAnsi="Calibri" w:cs="Calibri"/>
                <w:color w:val="2A2A2A"/>
              </w:rPr>
              <w:t>The U.S. economy entered the Strait of Hormuz crisis in a structurally exposed position. Growth was tracking between 1.7% and 2.2% for 2026, supported by fiscal expansion and residual momentum from late 2025 (Conference Board, May 2026), but the Conference Board leading indicators had already turned negative on a six and twelve month basis, signaling fragile conditions ahead. The Federal Reserve had cut rates by 175 basis points since September 2024, moving policy from restrictive to neutral, leaving limited room for further emergency easing if the energy shock deepens (St. Louis Fed, January 2026). Credit conditions remained broadly available, but higher gasoline prices and energy costs were already eroding household purchasing power, particularly for lower and middle income consumers. This is not an economy entering a supply shock from a position of strength; it is an economy in mid-cycle, running on policy support, with its main emergency buffer, the Strategic Petroleum Reserve, already drawn down to levels not seen since the 1980s (EIA, June 2026).</w:t>
            </w:r>
          </w:p>
          <w:tbl>
            <w:tblPr>
              <w:tblW w:w="81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5"/>
              <w:gridCol w:w="2045"/>
              <w:gridCol w:w="2045"/>
              <w:gridCol w:w="2045"/>
            </w:tblGrid>
            <w:tr w:rsidR="00D60688" w14:paraId="66E23A4B" w14:textId="77777777">
              <w:tc>
                <w:tcPr>
                  <w:tcW w:w="2045" w:type="dxa"/>
                  <w:tcBorders>
                    <w:top w:val="single" w:sz="2" w:space="0" w:color="2A2A2A"/>
                    <w:left w:val="none" w:sz="0" w:space="0" w:color="FFFFFF"/>
                    <w:bottom w:val="single" w:sz="2" w:space="0" w:color="2A2A2A"/>
                    <w:right w:val="none" w:sz="0" w:space="0" w:color="FFFFFF"/>
                  </w:tcBorders>
                  <w:tcMar>
                    <w:top w:w="120" w:type="dxa"/>
                    <w:left w:w="0" w:type="dxa"/>
                    <w:bottom w:w="120" w:type="dxa"/>
                    <w:right w:w="120" w:type="dxa"/>
                  </w:tcMar>
                </w:tcPr>
                <w:p w14:paraId="3889944B" w14:textId="37CE8B86" w:rsidR="00D60688" w:rsidRDefault="00DA6BC5">
                  <w:pPr>
                    <w:spacing w:after="40" w:line="276" w:lineRule="auto"/>
                  </w:pPr>
                  <w:r>
                    <w:rPr>
                      <w:rFonts w:ascii="Calibri" w:eastAsia="Calibri" w:hAnsi="Calibri" w:cs="Calibri"/>
                      <w:b/>
                      <w:bCs/>
                      <w:caps/>
                      <w:color w:val="9BAABE"/>
                      <w:sz w:val="14"/>
                      <w:szCs w:val="14"/>
                    </w:rPr>
                    <w:t>WTI Price</w:t>
                  </w:r>
                </w:p>
                <w:p w14:paraId="110AD46B" w14:textId="19629AD2" w:rsidR="00D60688" w:rsidRDefault="00DA6BC5">
                  <w:pPr>
                    <w:spacing w:after="40" w:line="276" w:lineRule="auto"/>
                  </w:pPr>
                  <w:r>
                    <w:rPr>
                      <w:rFonts w:ascii="Palatino Linotype" w:eastAsia="Palatino Linotype" w:hAnsi="Palatino Linotype" w:cs="Palatino Linotype"/>
                      <w:b/>
                      <w:bCs/>
                      <w:i/>
                      <w:iCs/>
                      <w:color w:val="2A2A2A"/>
                      <w:sz w:val="36"/>
                      <w:szCs w:val="36"/>
                    </w:rPr>
                    <w:t>$91.16/bbl</w:t>
                  </w:r>
                </w:p>
                <w:p w14:paraId="6783D82C" w14:textId="69BCBB6A" w:rsidR="00D60688" w:rsidRDefault="00DA6BC5">
                  <w:pPr>
                    <w:spacing w:line="276" w:lineRule="auto"/>
                  </w:pPr>
                  <w:r>
                    <w:rPr>
                      <w:rFonts w:ascii="Calibri" w:eastAsia="Calibri" w:hAnsi="Calibri" w:cs="Calibri"/>
                      <w:color w:val="9BAABE"/>
                      <w:sz w:val="14"/>
                      <w:szCs w:val="14"/>
                    </w:rPr>
                    <w:t>EIA Weekly, May 29, 2026</w:t>
                  </w:r>
                </w:p>
              </w:tc>
              <w:tc>
                <w:tcPr>
                  <w:tcW w:w="2045" w:type="dxa"/>
                  <w:tcBorders>
                    <w:top w:val="single" w:sz="2" w:space="0" w:color="2A2A2A"/>
                    <w:left w:val="none" w:sz="0" w:space="0" w:color="FFFFFF"/>
                    <w:bottom w:val="single" w:sz="2" w:space="0" w:color="2A2A2A"/>
                    <w:right w:val="none" w:sz="0" w:space="0" w:color="FFFFFF"/>
                  </w:tcBorders>
                  <w:tcMar>
                    <w:top w:w="120" w:type="dxa"/>
                    <w:left w:w="0" w:type="dxa"/>
                    <w:bottom w:w="120" w:type="dxa"/>
                    <w:right w:w="120" w:type="dxa"/>
                  </w:tcMar>
                </w:tcPr>
                <w:p w14:paraId="4808FEE1" w14:textId="16CDAB02" w:rsidR="00D60688" w:rsidRDefault="00DA6BC5">
                  <w:pPr>
                    <w:spacing w:after="40" w:line="276" w:lineRule="auto"/>
                  </w:pPr>
                  <w:r>
                    <w:rPr>
                      <w:rFonts w:ascii="Calibri" w:eastAsia="Calibri" w:hAnsi="Calibri" w:cs="Calibri"/>
                      <w:b/>
                      <w:bCs/>
                      <w:caps/>
                      <w:color w:val="9BAABE"/>
                      <w:sz w:val="14"/>
                      <w:szCs w:val="14"/>
                    </w:rPr>
                    <w:t xml:space="preserve">Commercial Crude </w:t>
                  </w:r>
                  <w:r w:rsidR="0024161E">
                    <w:rPr>
                      <w:rFonts w:ascii="Calibri" w:eastAsia="Calibri" w:hAnsi="Calibri" w:cs="Calibri"/>
                      <w:b/>
                      <w:bCs/>
                      <w:caps/>
                      <w:color w:val="9BAABE"/>
                      <w:sz w:val="14"/>
                      <w:szCs w:val="14"/>
                    </w:rPr>
                    <w:t>Inventories</w:t>
                  </w:r>
                </w:p>
                <w:p w14:paraId="1C26D0FC" w14:textId="769F1385" w:rsidR="00D60688" w:rsidRDefault="00DA6BC5">
                  <w:pPr>
                    <w:spacing w:after="40" w:line="276" w:lineRule="auto"/>
                  </w:pPr>
                  <w:r>
                    <w:rPr>
                      <w:rFonts w:ascii="Palatino Linotype" w:eastAsia="Palatino Linotype" w:hAnsi="Palatino Linotype" w:cs="Palatino Linotype"/>
                      <w:b/>
                      <w:bCs/>
                      <w:i/>
                      <w:iCs/>
                      <w:color w:val="2A2A2A"/>
                      <w:sz w:val="36"/>
                      <w:szCs w:val="36"/>
                    </w:rPr>
                    <w:t>$</w:t>
                  </w:r>
                  <w:r w:rsidR="0024161E" w:rsidRPr="0024161E">
                    <w:rPr>
                      <w:rFonts w:ascii="Palatino Linotype" w:eastAsia="Palatino Linotype" w:hAnsi="Palatino Linotype" w:cs="Palatino Linotype"/>
                      <w:b/>
                      <w:bCs/>
                      <w:i/>
                      <w:iCs/>
                      <w:color w:val="2A2A2A"/>
                      <w:sz w:val="36"/>
                      <w:szCs w:val="36"/>
                    </w:rPr>
                    <w:t>433.7M barrels</w:t>
                  </w:r>
                </w:p>
                <w:p w14:paraId="182C25D2" w14:textId="576AD3AD" w:rsidR="00D60688" w:rsidRDefault="00DA6BC5">
                  <w:pPr>
                    <w:spacing w:line="276" w:lineRule="auto"/>
                  </w:pPr>
                  <w:r>
                    <w:rPr>
                      <w:rFonts w:ascii="Calibri" w:eastAsia="Calibri" w:hAnsi="Calibri" w:cs="Calibri"/>
                      <w:color w:val="9BAABE"/>
                      <w:sz w:val="14"/>
                      <w:szCs w:val="14"/>
                    </w:rPr>
                    <w:t>EIA Weekly, May 29, 2026</w:t>
                  </w:r>
                </w:p>
              </w:tc>
              <w:tc>
                <w:tcPr>
                  <w:tcW w:w="2045" w:type="dxa"/>
                  <w:tcBorders>
                    <w:top w:val="single" w:sz="2" w:space="0" w:color="2A2A2A"/>
                    <w:left w:val="none" w:sz="0" w:space="0" w:color="FFFFFF"/>
                    <w:bottom w:val="single" w:sz="2" w:space="0" w:color="2A2A2A"/>
                    <w:right w:val="none" w:sz="0" w:space="0" w:color="FFFFFF"/>
                  </w:tcBorders>
                  <w:tcMar>
                    <w:top w:w="120" w:type="dxa"/>
                    <w:left w:w="0" w:type="dxa"/>
                    <w:bottom w:w="120" w:type="dxa"/>
                    <w:right w:w="120" w:type="dxa"/>
                  </w:tcMar>
                </w:tcPr>
                <w:p w14:paraId="70B3ADB2" w14:textId="4412D06A" w:rsidR="00D60688" w:rsidRDefault="00DA6BC5">
                  <w:pPr>
                    <w:spacing w:after="40" w:line="276" w:lineRule="auto"/>
                  </w:pPr>
                  <w:r>
                    <w:rPr>
                      <w:rFonts w:ascii="Calibri" w:eastAsia="Calibri" w:hAnsi="Calibri" w:cs="Calibri"/>
                      <w:b/>
                      <w:bCs/>
                      <w:caps/>
                      <w:color w:val="9BAABE"/>
                      <w:sz w:val="14"/>
                      <w:szCs w:val="14"/>
                    </w:rPr>
                    <w:t>SPR Level</w:t>
                  </w:r>
                </w:p>
                <w:p w14:paraId="381B7FA6" w14:textId="39CB5683" w:rsidR="00D60688" w:rsidRDefault="00000000">
                  <w:pPr>
                    <w:spacing w:after="40" w:line="276" w:lineRule="auto"/>
                  </w:pPr>
                  <w:r>
                    <w:rPr>
                      <w:rFonts w:ascii="Palatino Linotype" w:eastAsia="Palatino Linotype" w:hAnsi="Palatino Linotype" w:cs="Palatino Linotype"/>
                      <w:b/>
                      <w:bCs/>
                      <w:i/>
                      <w:iCs/>
                      <w:color w:val="2A2A2A"/>
                      <w:sz w:val="36"/>
                      <w:szCs w:val="36"/>
                    </w:rPr>
                    <w:t>$</w:t>
                  </w:r>
                  <w:r w:rsidR="0024161E" w:rsidRPr="0024161E">
                    <w:rPr>
                      <w:rFonts w:ascii="Palatino Linotype" w:eastAsia="Palatino Linotype" w:hAnsi="Palatino Linotype" w:cs="Palatino Linotype"/>
                      <w:b/>
                      <w:bCs/>
                      <w:i/>
                      <w:iCs/>
                      <w:color w:val="2A2A2A"/>
                      <w:sz w:val="36"/>
                      <w:szCs w:val="36"/>
                    </w:rPr>
                    <w:t>387.1M barrels</w:t>
                  </w:r>
                </w:p>
                <w:p w14:paraId="11FCD20F" w14:textId="20C1CFF5" w:rsidR="00D60688" w:rsidRDefault="00DA6BC5">
                  <w:pPr>
                    <w:spacing w:line="276" w:lineRule="auto"/>
                  </w:pPr>
                  <w:r>
                    <w:rPr>
                      <w:rFonts w:ascii="Calibri" w:eastAsia="Calibri" w:hAnsi="Calibri" w:cs="Calibri"/>
                      <w:color w:val="9BAABE"/>
                      <w:sz w:val="14"/>
                      <w:szCs w:val="14"/>
                    </w:rPr>
                    <w:t>EIA Weekly, May 29, 2026</w:t>
                  </w:r>
                </w:p>
              </w:tc>
              <w:tc>
                <w:tcPr>
                  <w:tcW w:w="2045" w:type="dxa"/>
                  <w:tcBorders>
                    <w:top w:val="single" w:sz="2" w:space="0" w:color="2A2A2A"/>
                    <w:left w:val="none" w:sz="0" w:space="0" w:color="FFFFFF"/>
                    <w:bottom w:val="single" w:sz="2" w:space="0" w:color="2A2A2A"/>
                    <w:right w:val="none" w:sz="0" w:space="0" w:color="FFFFFF"/>
                  </w:tcBorders>
                  <w:tcMar>
                    <w:top w:w="120" w:type="dxa"/>
                    <w:left w:w="0" w:type="dxa"/>
                    <w:bottom w:w="120" w:type="dxa"/>
                    <w:right w:w="120" w:type="dxa"/>
                  </w:tcMar>
                </w:tcPr>
                <w:p w14:paraId="2B133941" w14:textId="7A340AF7" w:rsidR="00D60688" w:rsidRDefault="00DA6BC5">
                  <w:pPr>
                    <w:spacing w:after="40" w:line="276" w:lineRule="auto"/>
                  </w:pPr>
                  <w:r>
                    <w:rPr>
                      <w:rFonts w:ascii="Calibri" w:eastAsia="Calibri" w:hAnsi="Calibri" w:cs="Calibri"/>
                      <w:b/>
                      <w:bCs/>
                      <w:caps/>
                      <w:color w:val="9BAABE"/>
                      <w:sz w:val="14"/>
                      <w:szCs w:val="14"/>
                    </w:rPr>
                    <w:t>Cushing Storage</w:t>
                  </w:r>
                </w:p>
                <w:p w14:paraId="1B88481C" w14:textId="23FDD9F9" w:rsidR="00D60688" w:rsidRDefault="0024161E">
                  <w:pPr>
                    <w:spacing w:after="40" w:line="276" w:lineRule="auto"/>
                  </w:pPr>
                  <w:r w:rsidRPr="0024161E">
                    <w:rPr>
                      <w:rFonts w:ascii="Palatino Linotype" w:eastAsia="Palatino Linotype" w:hAnsi="Palatino Linotype" w:cs="Palatino Linotype"/>
                      <w:b/>
                      <w:bCs/>
                      <w:i/>
                      <w:iCs/>
                      <w:color w:val="2A2A2A"/>
                      <w:sz w:val="36"/>
                      <w:szCs w:val="36"/>
                    </w:rPr>
                    <w:t>~22.4M barrels</w:t>
                  </w:r>
                </w:p>
                <w:p w14:paraId="56431750" w14:textId="2CCF03ED" w:rsidR="00D60688" w:rsidRDefault="00DA6BC5">
                  <w:pPr>
                    <w:spacing w:line="276" w:lineRule="auto"/>
                  </w:pPr>
                  <w:r>
                    <w:rPr>
                      <w:rFonts w:ascii="Calibri" w:eastAsia="Calibri" w:hAnsi="Calibri" w:cs="Calibri"/>
                      <w:color w:val="9BAABE"/>
                      <w:sz w:val="14"/>
                      <w:szCs w:val="14"/>
                    </w:rPr>
                    <w:t>EIA Weekly, May 29, 2026</w:t>
                  </w:r>
                </w:p>
              </w:tc>
            </w:tr>
          </w:tbl>
          <w:p w14:paraId="06ACAA27" w14:textId="77777777" w:rsidR="00895C07" w:rsidRDefault="000B2921" w:rsidP="00895C07">
            <w:pPr>
              <w:keepNext/>
              <w:spacing w:after="120" w:line="276" w:lineRule="auto"/>
            </w:pPr>
            <w:r>
              <w:rPr>
                <w:noProof/>
              </w:rPr>
              <w:drawing>
                <wp:inline distT="0" distB="0" distL="0" distR="0" wp14:anchorId="51836BB1" wp14:editId="5A530974">
                  <wp:extent cx="5179325" cy="2251710"/>
                  <wp:effectExtent l="0" t="0" r="2540" b="0"/>
                  <wp:docPr id="992697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97454" name="Picture 992697454"/>
                          <pic:cNvPicPr/>
                        </pic:nvPicPr>
                        <pic:blipFill>
                          <a:blip r:embed="rId9">
                            <a:extLst>
                              <a:ext uri="{28A0092B-C50C-407E-A947-70E740481C1C}">
                                <a14:useLocalDpi xmlns:a14="http://schemas.microsoft.com/office/drawing/2010/main" val="0"/>
                              </a:ext>
                            </a:extLst>
                          </a:blip>
                          <a:stretch>
                            <a:fillRect/>
                          </a:stretch>
                        </pic:blipFill>
                        <pic:spPr>
                          <a:xfrm>
                            <a:off x="0" y="0"/>
                            <a:ext cx="5315194" cy="2310779"/>
                          </a:xfrm>
                          <a:prstGeom prst="rect">
                            <a:avLst/>
                          </a:prstGeom>
                        </pic:spPr>
                      </pic:pic>
                    </a:graphicData>
                  </a:graphic>
                </wp:inline>
              </w:drawing>
            </w:r>
          </w:p>
          <w:p w14:paraId="0FE32E1C" w14:textId="080408ED" w:rsidR="00D60688" w:rsidRPr="003E0A16" w:rsidRDefault="00895C07" w:rsidP="00895C07">
            <w:pPr>
              <w:pStyle w:val="Caption"/>
              <w:jc w:val="center"/>
              <w:rPr>
                <w:sz w:val="14"/>
                <w:szCs w:val="14"/>
              </w:rPr>
            </w:pPr>
            <w:r w:rsidRPr="003E0A16">
              <w:rPr>
                <w:sz w:val="14"/>
                <w:szCs w:val="14"/>
              </w:rPr>
              <w:t xml:space="preserve">Figure </w:t>
            </w:r>
            <w:r w:rsidRPr="003E0A16">
              <w:rPr>
                <w:sz w:val="14"/>
                <w:szCs w:val="14"/>
              </w:rPr>
              <w:fldChar w:fldCharType="begin"/>
            </w:r>
            <w:r w:rsidRPr="003E0A16">
              <w:rPr>
                <w:sz w:val="14"/>
                <w:szCs w:val="14"/>
              </w:rPr>
              <w:instrText xml:space="preserve"> SEQ Figure \* ARABIC </w:instrText>
            </w:r>
            <w:r w:rsidRPr="003E0A16">
              <w:rPr>
                <w:sz w:val="14"/>
                <w:szCs w:val="14"/>
              </w:rPr>
              <w:fldChar w:fldCharType="separate"/>
            </w:r>
            <w:r w:rsidR="002711CA">
              <w:rPr>
                <w:noProof/>
                <w:sz w:val="14"/>
                <w:szCs w:val="14"/>
              </w:rPr>
              <w:t>1</w:t>
            </w:r>
            <w:r w:rsidRPr="003E0A16">
              <w:rPr>
                <w:sz w:val="14"/>
                <w:szCs w:val="14"/>
              </w:rPr>
              <w:fldChar w:fldCharType="end"/>
            </w:r>
            <w:r w:rsidRPr="003E0A16">
              <w:rPr>
                <w:sz w:val="14"/>
                <w:szCs w:val="14"/>
              </w:rPr>
              <w:t>. Weekly Cushing, Oklahoma Crude Oil Inventories (Excluding SPR)</w:t>
            </w:r>
            <w:r w:rsidRPr="003E0A16">
              <w:rPr>
                <w:sz w:val="14"/>
                <w:szCs w:val="14"/>
              </w:rPr>
              <w:br/>
            </w:r>
            <w:r w:rsidRPr="003E0A16">
              <w:rPr>
                <w:sz w:val="12"/>
                <w:szCs w:val="12"/>
              </w:rPr>
              <w:t>Source: U.S. Energy Information Administration (EIA), Weekly Cushing, OK Ending Stocks Excluding SPR of Crude Oil. Accessed June 8, 2026.</w:t>
            </w:r>
          </w:p>
          <w:p w14:paraId="196C9A00" w14:textId="26020C06" w:rsidR="00D60688" w:rsidRDefault="007A2B17">
            <w:pPr>
              <w:pBdr>
                <w:left w:val="single" w:sz="12" w:space="0" w:color="E8E4DC"/>
              </w:pBdr>
              <w:spacing w:after="140" w:line="276" w:lineRule="auto"/>
              <w:ind w:left="180"/>
            </w:pPr>
            <w:r w:rsidRPr="007A2B17">
              <w:rPr>
                <w:rFonts w:ascii="Calibri" w:eastAsia="Calibri" w:hAnsi="Calibri" w:cs="Calibri"/>
                <w:i/>
                <w:iCs/>
                <w:color w:val="2A2A2A"/>
                <w:sz w:val="19"/>
                <w:szCs w:val="19"/>
              </w:rPr>
              <w:t>Commercial crude inventories fell 8.0 million barrels in the week ending May 29, leaving total stocks at 433.7 million barrels, approximately 3% below the five-year average for this time of year. The Strategic Petroleum Reserve stands at 3</w:t>
            </w:r>
            <w:r w:rsidR="00E6624C">
              <w:rPr>
                <w:rFonts w:ascii="Calibri" w:eastAsia="Calibri" w:hAnsi="Calibri" w:cs="Calibri"/>
                <w:i/>
                <w:iCs/>
                <w:color w:val="2A2A2A"/>
                <w:sz w:val="19"/>
                <w:szCs w:val="19"/>
              </w:rPr>
              <w:t>8</w:t>
            </w:r>
            <w:r w:rsidRPr="007A2B17">
              <w:rPr>
                <w:rFonts w:ascii="Calibri" w:eastAsia="Calibri" w:hAnsi="Calibri" w:cs="Calibri"/>
                <w:i/>
                <w:iCs/>
                <w:color w:val="2A2A2A"/>
                <w:sz w:val="19"/>
                <w:szCs w:val="19"/>
              </w:rPr>
              <w:t xml:space="preserve">7.1 million barrels following sustained drawdowns in recent years, while Cushing inventories have fallen to approximately 22.4 million barrels, approaching </w:t>
            </w:r>
            <w:r w:rsidRPr="007A2B17">
              <w:rPr>
                <w:rFonts w:ascii="Calibri" w:eastAsia="Calibri" w:hAnsi="Calibri" w:cs="Calibri"/>
                <w:i/>
                <w:iCs/>
                <w:color w:val="2A2A2A"/>
                <w:sz w:val="19"/>
                <w:szCs w:val="19"/>
              </w:rPr>
              <w:t>operational</w:t>
            </w:r>
            <w:r w:rsidRPr="007A2B17">
              <w:rPr>
                <w:rFonts w:ascii="Calibri" w:eastAsia="Calibri" w:hAnsi="Calibri" w:cs="Calibri"/>
                <w:i/>
                <w:iCs/>
                <w:color w:val="2A2A2A"/>
                <w:sz w:val="19"/>
                <w:szCs w:val="19"/>
              </w:rPr>
              <w:t xml:space="preserve"> levels closely watched by the market. WTI crude closed at $91.16 per barrel, nearly $30 higher than a year ago, reflecting continued tightness in physical crude markets despite elevated prices</w:t>
            </w:r>
            <w:r w:rsidR="00051FA8">
              <w:rPr>
                <w:rFonts w:ascii="Calibri" w:eastAsia="Calibri" w:hAnsi="Calibri" w:cs="Calibri"/>
                <w:i/>
                <w:iCs/>
                <w:color w:val="2A2A2A"/>
                <w:sz w:val="19"/>
                <w:szCs w:val="19"/>
              </w:rPr>
              <w:t>.</w:t>
            </w:r>
          </w:p>
          <w:p w14:paraId="765CC3D2" w14:textId="77777777" w:rsidR="00D60688" w:rsidRDefault="00D60688">
            <w:pPr>
              <w:spacing w:after="80" w:line="276" w:lineRule="auto"/>
            </w:pPr>
          </w:p>
          <w:p w14:paraId="5FD1369D" w14:textId="77777777" w:rsidR="00D60688" w:rsidRDefault="00000000">
            <w:pPr>
              <w:spacing w:before="120" w:after="40" w:line="276" w:lineRule="auto"/>
            </w:pPr>
            <w:r>
              <w:rPr>
                <w:rFonts w:ascii="Calibri" w:eastAsia="Calibri" w:hAnsi="Calibri" w:cs="Calibri"/>
                <w:b/>
                <w:bCs/>
                <w:color w:val="C9A84C"/>
                <w:sz w:val="16"/>
                <w:szCs w:val="16"/>
              </w:rPr>
              <w:t>02 · TRANSMISSION MECHANISM</w:t>
            </w:r>
          </w:p>
          <w:p w14:paraId="78291174" w14:textId="77777777" w:rsidR="00D60688" w:rsidRDefault="00000000">
            <w:pPr>
              <w:pBdr>
                <w:bottom w:val="single" w:sz="2" w:space="0" w:color="E8E4DC"/>
              </w:pBdr>
              <w:spacing w:after="120" w:line="276" w:lineRule="auto"/>
            </w:pPr>
            <w:r>
              <w:rPr>
                <w:rFonts w:ascii="Palatino Linotype" w:eastAsia="Palatino Linotype" w:hAnsi="Palatino Linotype" w:cs="Palatino Linotype"/>
                <w:b/>
                <w:bCs/>
                <w:color w:val="1B2A4A"/>
                <w:sz w:val="28"/>
                <w:szCs w:val="28"/>
              </w:rPr>
              <w:t>Transmission Mechanism</w:t>
            </w:r>
          </w:p>
          <w:p w14:paraId="5A8F88F9" w14:textId="569FB57E" w:rsidR="00D60688" w:rsidRDefault="0055066E">
            <w:pPr>
              <w:pBdr>
                <w:left w:val="single" w:sz="12" w:space="0" w:color="E8E4DC"/>
              </w:pBdr>
              <w:spacing w:after="140" w:line="276" w:lineRule="auto"/>
              <w:ind w:left="180"/>
            </w:pPr>
            <w:r>
              <w:rPr>
                <w:rFonts w:ascii="Calibri" w:eastAsia="Calibri" w:hAnsi="Calibri" w:cs="Calibri"/>
                <w:i/>
                <w:iCs/>
                <w:color w:val="2A2A2A"/>
                <w:sz w:val="19"/>
                <w:szCs w:val="19"/>
              </w:rPr>
              <w:t>The Strait of Hormuz closure does not destroy oil supply; it interrupts the logistics chain that moves it. Approximately 21% of global petroleum has no equivalent alternative route, which means a sustained closure forces a global rerouting through the Cape of Good Hope, adding transit time, cost, and friction at every link in the supply chain. That friction does not hit all sectors at once or equally; it transmits through input costs at different speeds depending on hedging capacity, contract structure, and how directly each sector touches energy as a cost input.</w:t>
            </w:r>
          </w:p>
          <w:p w14:paraId="4F869FC8" w14:textId="603055B1" w:rsidR="00D60688" w:rsidRDefault="00000000">
            <w:pPr>
              <w:pBdr>
                <w:bottom w:val="single" w:sz="2" w:space="0" w:color="E8E4DC"/>
              </w:pBdr>
              <w:spacing w:after="60" w:line="276" w:lineRule="auto"/>
            </w:pPr>
            <w:proofErr w:type="gramStart"/>
            <w:r>
              <w:rPr>
                <w:rFonts w:ascii="Calibri" w:eastAsia="Calibri" w:hAnsi="Calibri" w:cs="Calibri"/>
                <w:color w:val="C9A84C"/>
                <w:sz w:val="14"/>
                <w:szCs w:val="14"/>
              </w:rPr>
              <w:t xml:space="preserve">■  </w:t>
            </w:r>
            <w:r>
              <w:rPr>
                <w:rFonts w:ascii="Calibri" w:eastAsia="Calibri" w:hAnsi="Calibri" w:cs="Calibri"/>
                <w:color w:val="2A2A2A"/>
                <w:sz w:val="19"/>
                <w:szCs w:val="19"/>
              </w:rPr>
              <w:t>Link</w:t>
            </w:r>
            <w:proofErr w:type="gramEnd"/>
            <w:r>
              <w:rPr>
                <w:rFonts w:ascii="Calibri" w:eastAsia="Calibri" w:hAnsi="Calibri" w:cs="Calibri"/>
                <w:color w:val="2A2A2A"/>
                <w:sz w:val="19"/>
                <w:szCs w:val="19"/>
              </w:rPr>
              <w:t xml:space="preserve"> A </w:t>
            </w:r>
            <w:r w:rsidR="00AC47A0">
              <w:rPr>
                <w:rFonts w:ascii="Calibri" w:eastAsia="Calibri" w:hAnsi="Calibri" w:cs="Calibri"/>
                <w:color w:val="2A2A2A"/>
                <w:sz w:val="19"/>
                <w:szCs w:val="19"/>
              </w:rPr>
              <w:t>&gt;</w:t>
            </w:r>
            <w:r>
              <w:rPr>
                <w:rFonts w:ascii="Calibri" w:eastAsia="Calibri" w:hAnsi="Calibri" w:cs="Calibri"/>
                <w:color w:val="2A2A2A"/>
                <w:sz w:val="19"/>
                <w:szCs w:val="19"/>
              </w:rPr>
              <w:t xml:space="preserve"> B — Oil supply tightens globally: ~21% of global petroleum has no equivalent alternative route; a sustained disruption removes that volume from seaborne supply until alternative routings (Cape of Good Hope) can ramp, adding 2+ weeks transit time and significant cost.</w:t>
            </w:r>
          </w:p>
          <w:p w14:paraId="7AACA800" w14:textId="77777777" w:rsidR="00D60688" w:rsidRDefault="00000000">
            <w:pPr>
              <w:pBdr>
                <w:bottom w:val="single" w:sz="2" w:space="0" w:color="E8E4DC"/>
              </w:pBdr>
              <w:spacing w:after="60" w:line="276" w:lineRule="auto"/>
            </w:pPr>
            <w:proofErr w:type="gramStart"/>
            <w:r>
              <w:rPr>
                <w:rFonts w:ascii="Calibri" w:eastAsia="Calibri" w:hAnsi="Calibri" w:cs="Calibri"/>
                <w:color w:val="C9A84C"/>
                <w:sz w:val="14"/>
                <w:szCs w:val="14"/>
              </w:rPr>
              <w:t xml:space="preserve">■  </w:t>
            </w:r>
            <w:r>
              <w:rPr>
                <w:rFonts w:ascii="Calibri" w:eastAsia="Calibri" w:hAnsi="Calibri" w:cs="Calibri"/>
                <w:color w:val="2A2A2A"/>
                <w:sz w:val="19"/>
                <w:szCs w:val="19"/>
              </w:rPr>
              <w:t>Link</w:t>
            </w:r>
            <w:proofErr w:type="gramEnd"/>
            <w:r>
              <w:rPr>
                <w:rFonts w:ascii="Calibri" w:eastAsia="Calibri" w:hAnsi="Calibri" w:cs="Calibri"/>
                <w:color w:val="2A2A2A"/>
                <w:sz w:val="19"/>
                <w:szCs w:val="19"/>
              </w:rPr>
              <w:t xml:space="preserve"> B &gt; C — Brent / WTI price spikes: oil is globally priced at the margin; a supply shock of this scale immediately tightens the physical market, triggering futures market repricing. Verify current IEA/EIA spare capacity estimates to size the spike.</w:t>
            </w:r>
          </w:p>
          <w:p w14:paraId="4CB5FADD" w14:textId="77777777" w:rsidR="00D60688" w:rsidRDefault="00000000">
            <w:pPr>
              <w:pBdr>
                <w:bottom w:val="single" w:sz="2" w:space="0" w:color="E8E4DC"/>
              </w:pBdr>
              <w:spacing w:after="60" w:line="276" w:lineRule="auto"/>
            </w:pPr>
            <w:proofErr w:type="gramStart"/>
            <w:r>
              <w:rPr>
                <w:rFonts w:ascii="Calibri" w:eastAsia="Calibri" w:hAnsi="Calibri" w:cs="Calibri"/>
                <w:color w:val="C9A84C"/>
                <w:sz w:val="14"/>
                <w:szCs w:val="14"/>
              </w:rPr>
              <w:t xml:space="preserve">■  </w:t>
            </w:r>
            <w:r>
              <w:rPr>
                <w:rFonts w:ascii="Calibri" w:eastAsia="Calibri" w:hAnsi="Calibri" w:cs="Calibri"/>
                <w:color w:val="2A2A2A"/>
                <w:sz w:val="19"/>
                <w:szCs w:val="19"/>
              </w:rPr>
              <w:t>Link</w:t>
            </w:r>
            <w:proofErr w:type="gramEnd"/>
            <w:r>
              <w:rPr>
                <w:rFonts w:ascii="Calibri" w:eastAsia="Calibri" w:hAnsi="Calibri" w:cs="Calibri"/>
                <w:color w:val="2A2A2A"/>
                <w:sz w:val="19"/>
                <w:szCs w:val="19"/>
              </w:rPr>
              <w:t xml:space="preserve"> C &gt; D — Input costs rise across sectors: higher oil prices flow directly into jet fuel (airlines), bunker fuel (shipping), feedstock costs (petrochemicals / plastics), diesel (logistics / agriculture) and utilities. Each sector has different pass-through timing and hedging capacity.</w:t>
            </w:r>
          </w:p>
          <w:p w14:paraId="7C65DBA7" w14:textId="77777777" w:rsidR="00D60688" w:rsidRDefault="00000000">
            <w:pPr>
              <w:pBdr>
                <w:bottom w:val="single" w:sz="2" w:space="0" w:color="E8E4DC"/>
              </w:pBdr>
              <w:spacing w:after="60" w:line="276" w:lineRule="auto"/>
            </w:pPr>
            <w:proofErr w:type="gramStart"/>
            <w:r>
              <w:rPr>
                <w:rFonts w:ascii="Calibri" w:eastAsia="Calibri" w:hAnsi="Calibri" w:cs="Calibri"/>
                <w:color w:val="C9A84C"/>
                <w:sz w:val="14"/>
                <w:szCs w:val="14"/>
              </w:rPr>
              <w:t xml:space="preserve">■  </w:t>
            </w:r>
            <w:r>
              <w:rPr>
                <w:rFonts w:ascii="Calibri" w:eastAsia="Calibri" w:hAnsi="Calibri" w:cs="Calibri"/>
                <w:color w:val="2A2A2A"/>
                <w:sz w:val="19"/>
                <w:szCs w:val="19"/>
              </w:rPr>
              <w:t>Link</w:t>
            </w:r>
            <w:proofErr w:type="gramEnd"/>
            <w:r>
              <w:rPr>
                <w:rFonts w:ascii="Calibri" w:eastAsia="Calibri" w:hAnsi="Calibri" w:cs="Calibri"/>
                <w:color w:val="2A2A2A"/>
                <w:sz w:val="19"/>
                <w:szCs w:val="19"/>
              </w:rPr>
              <w:t xml:space="preserve"> D &gt; Market Impact — Earnings cuts, multiple contraction: unhedged or under-hedged exposed companies face margin compression that flows into earnings estimate cuts; the resulting uncertainty also compresses multiples on cyclical names even before earnings land.</w:t>
            </w:r>
          </w:p>
          <w:p w14:paraId="6AA8A108" w14:textId="77777777" w:rsidR="00D60688" w:rsidRDefault="00000000">
            <w:pPr>
              <w:pBdr>
                <w:bottom w:val="single" w:sz="2" w:space="0" w:color="E8E4DC"/>
              </w:pBdr>
              <w:spacing w:after="60" w:line="276" w:lineRule="auto"/>
            </w:pPr>
            <w:r>
              <w:rPr>
                <w:rFonts w:ascii="Calibri" w:eastAsia="Calibri" w:hAnsi="Calibri" w:cs="Calibri"/>
                <w:color w:val="C9A84C"/>
                <w:sz w:val="14"/>
                <w:szCs w:val="14"/>
              </w:rPr>
              <w:t xml:space="preserve">■  </w:t>
            </w:r>
            <w:r>
              <w:rPr>
                <w:rFonts w:ascii="Calibri" w:eastAsia="Calibri" w:hAnsi="Calibri" w:cs="Calibri"/>
                <w:i/>
                <w:iCs/>
                <w:color w:val="4A5D7A"/>
                <w:sz w:val="19"/>
                <w:szCs w:val="19"/>
              </w:rPr>
              <w:t>Variant view: The market is treating this as a near-term spike that reverts when the ceasefire holds — but the strait has been effectively closed 3 months, 1,550+ vessels are stranded, and war-risk insurance sits at 8x pre-crisis. The duration thesis: rerouting costs are not temporary friction but a structural repricing of energy transport that persists even after nominal reopening because shippers and buyers have now built alternative supply chains. Key question: are airline and chemical hedge books sized for 3 months or 6? If the former, Q3 guidance is the first clean read on unhedged exposure.</w:t>
            </w:r>
          </w:p>
        </w:tc>
      </w:tr>
    </w:tbl>
    <w:p w14:paraId="66347DAC" w14:textId="77777777" w:rsidR="00D60688" w:rsidRDefault="00D60688">
      <w:pPr>
        <w:sectPr w:rsidR="00D60688">
          <w:headerReference w:type="default" r:id="rId10"/>
          <w:footerReference w:type="default" r:id="rId11"/>
          <w:pgSz w:w="12240" w:h="15840"/>
          <w:pgMar w:top="720" w:right="720" w:bottom="720" w:left="720" w:header="708" w:footer="708" w:gutter="0"/>
          <w:cols w:space="720"/>
          <w:docGrid w:linePitch="360"/>
        </w:sectPr>
      </w:pPr>
    </w:p>
    <w:tbl>
      <w:tblPr>
        <w:tblW w:w="10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0"/>
        <w:gridCol w:w="8920"/>
      </w:tblGrid>
      <w:tr w:rsidR="00D60688" w14:paraId="25CE6AAA" w14:textId="77777777">
        <w:tc>
          <w:tcPr>
            <w:tcW w:w="1900" w:type="dxa"/>
            <w:tcBorders>
              <w:top w:val="none" w:sz="0" w:space="0" w:color="FFFFFF"/>
              <w:left w:val="none" w:sz="0" w:space="0" w:color="FFFFFF"/>
              <w:bottom w:val="none" w:sz="0" w:space="0" w:color="FFFFFF"/>
              <w:right w:val="single" w:sz="2" w:space="0" w:color="E8E4DC"/>
            </w:tcBorders>
            <w:shd w:val="clear" w:color="auto" w:fill="FAF9F6"/>
            <w:tcMar>
              <w:top w:w="200" w:type="dxa"/>
              <w:left w:w="360" w:type="dxa"/>
              <w:bottom w:w="0" w:type="dxa"/>
              <w:right w:w="280" w:type="dxa"/>
            </w:tcMar>
          </w:tcPr>
          <w:p w14:paraId="06C60F2C" w14:textId="77777777" w:rsidR="00D60688" w:rsidRDefault="00000000">
            <w:pPr>
              <w:spacing w:after="40" w:line="276" w:lineRule="auto"/>
            </w:pPr>
            <w:r>
              <w:rPr>
                <w:rFonts w:ascii="Calibri" w:eastAsia="Calibri" w:hAnsi="Calibri" w:cs="Calibri"/>
                <w:b/>
                <w:bCs/>
                <w:caps/>
                <w:color w:val="C9A84C"/>
                <w:sz w:val="14"/>
                <w:szCs w:val="14"/>
              </w:rPr>
              <w:lastRenderedPageBreak/>
              <w:t>Currently reading</w:t>
            </w:r>
          </w:p>
          <w:p w14:paraId="7740BCBC" w14:textId="77777777" w:rsidR="00D60688" w:rsidRDefault="00000000">
            <w:pPr>
              <w:spacing w:line="276" w:lineRule="auto"/>
            </w:pPr>
            <w:r>
              <w:rPr>
                <w:rFonts w:ascii="Calibri" w:eastAsia="Calibri" w:hAnsi="Calibri" w:cs="Calibri"/>
                <w:b/>
                <w:bCs/>
                <w:color w:val="1B2A4A"/>
                <w:sz w:val="18"/>
                <w:szCs w:val="18"/>
              </w:rPr>
              <w:t>Sections 03 &amp; 04</w:t>
            </w:r>
          </w:p>
          <w:p w14:paraId="09956984" w14:textId="77777777" w:rsidR="00D60688" w:rsidRDefault="00D60688">
            <w:pPr>
              <w:pBdr>
                <w:bottom w:val="single" w:sz="2" w:space="0" w:color="E8E4DC"/>
              </w:pBdr>
              <w:spacing w:before="100" w:after="100" w:line="276" w:lineRule="auto"/>
            </w:pPr>
          </w:p>
          <w:p w14:paraId="43FDB21D" w14:textId="77777777"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01  </w:t>
            </w:r>
            <w:r>
              <w:rPr>
                <w:rFonts w:ascii="Calibri" w:eastAsia="Calibri" w:hAnsi="Calibri" w:cs="Calibri"/>
                <w:color w:val="9BAABE"/>
                <w:sz w:val="16"/>
                <w:szCs w:val="16"/>
              </w:rPr>
              <w:t>Macro Setup &amp; Context</w:t>
            </w:r>
          </w:p>
          <w:p w14:paraId="76A6CF1C" w14:textId="77777777"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02  </w:t>
            </w:r>
            <w:r>
              <w:rPr>
                <w:rFonts w:ascii="Calibri" w:eastAsia="Calibri" w:hAnsi="Calibri" w:cs="Calibri"/>
                <w:color w:val="9BAABE"/>
                <w:sz w:val="16"/>
                <w:szCs w:val="16"/>
              </w:rPr>
              <w:t>Transmission Mechanism</w:t>
            </w:r>
          </w:p>
          <w:p w14:paraId="7864576F" w14:textId="77777777"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03  </w:t>
            </w:r>
            <w:r>
              <w:rPr>
                <w:rFonts w:ascii="Calibri" w:eastAsia="Calibri" w:hAnsi="Calibri" w:cs="Calibri"/>
                <w:b/>
                <w:bCs/>
                <w:color w:val="1B2A4A"/>
                <w:sz w:val="16"/>
                <w:szCs w:val="16"/>
              </w:rPr>
              <w:t>Industry Impact Map</w:t>
            </w:r>
          </w:p>
          <w:p w14:paraId="3C7B3DAD" w14:textId="77777777"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04  </w:t>
            </w:r>
            <w:r>
              <w:rPr>
                <w:rFonts w:ascii="Calibri" w:eastAsia="Calibri" w:hAnsi="Calibri" w:cs="Calibri"/>
                <w:b/>
                <w:bCs/>
                <w:color w:val="1B2A4A"/>
                <w:sz w:val="16"/>
                <w:szCs w:val="16"/>
              </w:rPr>
              <w:t>Duration &amp; Scenarios</w:t>
            </w:r>
          </w:p>
          <w:p w14:paraId="5EF9F588" w14:textId="04467144"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05 </w:t>
            </w:r>
            <w:r w:rsidR="0024161E">
              <w:rPr>
                <w:rFonts w:ascii="Calibri" w:eastAsia="Calibri" w:hAnsi="Calibri" w:cs="Calibri"/>
                <w:color w:val="9BAABE"/>
                <w:sz w:val="16"/>
                <w:szCs w:val="16"/>
              </w:rPr>
              <w:t>Public Market Exposure</w:t>
            </w:r>
          </w:p>
          <w:p w14:paraId="364D3A86" w14:textId="77777777"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06  </w:t>
            </w:r>
            <w:r>
              <w:rPr>
                <w:rFonts w:ascii="Calibri" w:eastAsia="Calibri" w:hAnsi="Calibri" w:cs="Calibri"/>
                <w:color w:val="9BAABE"/>
                <w:sz w:val="16"/>
                <w:szCs w:val="16"/>
              </w:rPr>
              <w:t>Risks &amp; Falsification</w:t>
            </w:r>
          </w:p>
          <w:p w14:paraId="4BCAF188" w14:textId="77777777"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07  </w:t>
            </w:r>
            <w:r>
              <w:rPr>
                <w:rFonts w:ascii="Calibri" w:eastAsia="Calibri" w:hAnsi="Calibri" w:cs="Calibri"/>
                <w:color w:val="9BAABE"/>
                <w:sz w:val="16"/>
                <w:szCs w:val="16"/>
              </w:rPr>
              <w:t>Data Sources &amp; Citations</w:t>
            </w:r>
          </w:p>
          <w:p w14:paraId="43A0D9DB" w14:textId="77777777" w:rsidR="00D60688" w:rsidRDefault="00D60688">
            <w:pPr>
              <w:spacing w:after="200" w:line="276" w:lineRule="auto"/>
            </w:pPr>
          </w:p>
          <w:p w14:paraId="0CD26C2C" w14:textId="77777777" w:rsidR="00D60688" w:rsidRDefault="00000000">
            <w:pPr>
              <w:spacing w:before="120" w:after="30" w:line="276" w:lineRule="auto"/>
            </w:pPr>
            <w:r>
              <w:rPr>
                <w:rFonts w:ascii="Palatino Linotype" w:eastAsia="Palatino Linotype" w:hAnsi="Palatino Linotype" w:cs="Palatino Linotype"/>
                <w:b/>
                <w:bCs/>
                <w:color w:val="1B2A4A"/>
              </w:rPr>
              <w:t>Mary Scott</w:t>
            </w:r>
          </w:p>
          <w:p w14:paraId="7F8C7DA4" w14:textId="77777777" w:rsidR="00D60688" w:rsidRDefault="00000000">
            <w:pPr>
              <w:spacing w:line="276" w:lineRule="auto"/>
            </w:pPr>
            <w:r>
              <w:rPr>
                <w:rFonts w:ascii="Calibri" w:eastAsia="Calibri" w:hAnsi="Calibri" w:cs="Calibri"/>
                <w:color w:val="9BAABE"/>
                <w:sz w:val="16"/>
                <w:szCs w:val="16"/>
              </w:rPr>
              <w:t>Nexus Research</w:t>
            </w:r>
          </w:p>
        </w:tc>
        <w:tc>
          <w:tcPr>
            <w:tcW w:w="8900" w:type="dxa"/>
            <w:tcBorders>
              <w:top w:val="none" w:sz="0" w:space="0" w:color="FFFFFF"/>
              <w:left w:val="none" w:sz="0" w:space="0" w:color="FFFFFF"/>
              <w:bottom w:val="none" w:sz="0" w:space="0" w:color="FFFFFF"/>
              <w:right w:val="none" w:sz="0" w:space="0" w:color="FFFFFF"/>
            </w:tcBorders>
            <w:tcMar>
              <w:top w:w="200" w:type="dxa"/>
              <w:left w:w="360" w:type="dxa"/>
              <w:bottom w:w="200" w:type="dxa"/>
              <w:right w:w="360" w:type="dxa"/>
            </w:tcMar>
          </w:tcPr>
          <w:p w14:paraId="4BBCFC7B" w14:textId="77777777" w:rsidR="00D60688" w:rsidRDefault="00000000">
            <w:pPr>
              <w:spacing w:before="120" w:after="40" w:line="276" w:lineRule="auto"/>
            </w:pPr>
            <w:r>
              <w:rPr>
                <w:rFonts w:ascii="Calibri" w:eastAsia="Calibri" w:hAnsi="Calibri" w:cs="Calibri"/>
                <w:b/>
                <w:bCs/>
                <w:color w:val="C9A84C"/>
                <w:sz w:val="16"/>
                <w:szCs w:val="16"/>
              </w:rPr>
              <w:t>03 · INDUSTRY IMPACT MAP</w:t>
            </w:r>
          </w:p>
          <w:p w14:paraId="2C2ED6EC" w14:textId="77777777" w:rsidR="00D60688" w:rsidRDefault="00000000">
            <w:pPr>
              <w:pBdr>
                <w:bottom w:val="single" w:sz="2" w:space="0" w:color="E8E4DC"/>
              </w:pBdr>
              <w:spacing w:after="120" w:line="276" w:lineRule="auto"/>
            </w:pPr>
            <w:r>
              <w:rPr>
                <w:rFonts w:ascii="Palatino Linotype" w:eastAsia="Palatino Linotype" w:hAnsi="Palatino Linotype" w:cs="Palatino Linotype"/>
                <w:b/>
                <w:bCs/>
                <w:color w:val="1B2A4A"/>
                <w:sz w:val="28"/>
                <w:szCs w:val="28"/>
              </w:rPr>
              <w:t>Industry Impact Map</w:t>
            </w:r>
          </w:p>
          <w:tbl>
            <w:tblPr>
              <w:tblW w:w="81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7"/>
              <w:gridCol w:w="1099"/>
              <w:gridCol w:w="2864"/>
              <w:gridCol w:w="2320"/>
            </w:tblGrid>
            <w:tr w:rsidR="00D60688" w14:paraId="2EA57A11" w14:textId="77777777" w:rsidTr="00FE3F98">
              <w:tc>
                <w:tcPr>
                  <w:tcW w:w="1897" w:type="dxa"/>
                  <w:tcBorders>
                    <w:top w:val="none" w:sz="0" w:space="0" w:color="FFFFFF"/>
                    <w:left w:val="none" w:sz="0" w:space="0" w:color="FFFFFF"/>
                    <w:bottom w:val="single" w:sz="8" w:space="0" w:color="1B2A4A"/>
                    <w:right w:val="none" w:sz="0" w:space="0" w:color="FFFFFF"/>
                  </w:tcBorders>
                  <w:tcMar>
                    <w:top w:w="80" w:type="dxa"/>
                    <w:left w:w="0" w:type="dxa"/>
                    <w:bottom w:w="80" w:type="dxa"/>
                    <w:right w:w="80" w:type="dxa"/>
                  </w:tcMar>
                </w:tcPr>
                <w:p w14:paraId="1BF7E637" w14:textId="77777777" w:rsidR="00D60688" w:rsidRDefault="00000000">
                  <w:pPr>
                    <w:spacing w:line="276" w:lineRule="auto"/>
                  </w:pPr>
                  <w:r>
                    <w:rPr>
                      <w:rFonts w:ascii="Calibri" w:eastAsia="Calibri" w:hAnsi="Calibri" w:cs="Calibri"/>
                      <w:b/>
                      <w:bCs/>
                      <w:caps/>
                      <w:color w:val="9BAABE"/>
                      <w:sz w:val="14"/>
                      <w:szCs w:val="14"/>
                    </w:rPr>
                    <w:t>Industry</w:t>
                  </w:r>
                </w:p>
              </w:tc>
              <w:tc>
                <w:tcPr>
                  <w:tcW w:w="1099" w:type="dxa"/>
                  <w:tcBorders>
                    <w:top w:val="none" w:sz="0" w:space="0" w:color="FFFFFF"/>
                    <w:left w:val="none" w:sz="0" w:space="0" w:color="FFFFFF"/>
                    <w:bottom w:val="single" w:sz="8" w:space="0" w:color="1B2A4A"/>
                    <w:right w:val="none" w:sz="0" w:space="0" w:color="FFFFFF"/>
                  </w:tcBorders>
                  <w:tcMar>
                    <w:top w:w="80" w:type="dxa"/>
                    <w:left w:w="0" w:type="dxa"/>
                    <w:bottom w:w="80" w:type="dxa"/>
                    <w:right w:w="80" w:type="dxa"/>
                  </w:tcMar>
                </w:tcPr>
                <w:p w14:paraId="10479497" w14:textId="77777777" w:rsidR="00D60688" w:rsidRDefault="00000000">
                  <w:pPr>
                    <w:spacing w:line="276" w:lineRule="auto"/>
                  </w:pPr>
                  <w:r>
                    <w:rPr>
                      <w:rFonts w:ascii="Calibri" w:eastAsia="Calibri" w:hAnsi="Calibri" w:cs="Calibri"/>
                      <w:b/>
                      <w:bCs/>
                      <w:caps/>
                      <w:color w:val="9BAABE"/>
                      <w:sz w:val="14"/>
                      <w:szCs w:val="14"/>
                    </w:rPr>
                    <w:t>Exposure</w:t>
                  </w:r>
                </w:p>
              </w:tc>
              <w:tc>
                <w:tcPr>
                  <w:tcW w:w="2864" w:type="dxa"/>
                  <w:tcBorders>
                    <w:top w:val="none" w:sz="0" w:space="0" w:color="FFFFFF"/>
                    <w:left w:val="none" w:sz="0" w:space="0" w:color="FFFFFF"/>
                    <w:bottom w:val="single" w:sz="8" w:space="0" w:color="1B2A4A"/>
                    <w:right w:val="none" w:sz="0" w:space="0" w:color="FFFFFF"/>
                  </w:tcBorders>
                  <w:tcMar>
                    <w:top w:w="80" w:type="dxa"/>
                    <w:left w:w="0" w:type="dxa"/>
                    <w:bottom w:w="80" w:type="dxa"/>
                    <w:right w:w="80" w:type="dxa"/>
                  </w:tcMar>
                </w:tcPr>
                <w:p w14:paraId="251C18B5" w14:textId="77777777" w:rsidR="00D60688" w:rsidRDefault="00000000">
                  <w:pPr>
                    <w:spacing w:line="276" w:lineRule="auto"/>
                  </w:pPr>
                  <w:r>
                    <w:rPr>
                      <w:rFonts w:ascii="Calibri" w:eastAsia="Calibri" w:hAnsi="Calibri" w:cs="Calibri"/>
                      <w:b/>
                      <w:bCs/>
                      <w:caps/>
                      <w:color w:val="9BAABE"/>
                      <w:sz w:val="14"/>
                      <w:szCs w:val="14"/>
                    </w:rPr>
                    <w:t>Mechanism</w:t>
                  </w:r>
                </w:p>
              </w:tc>
              <w:tc>
                <w:tcPr>
                  <w:tcW w:w="2320" w:type="dxa"/>
                  <w:tcBorders>
                    <w:top w:val="none" w:sz="0" w:space="0" w:color="FFFFFF"/>
                    <w:left w:val="none" w:sz="0" w:space="0" w:color="FFFFFF"/>
                    <w:bottom w:val="single" w:sz="8" w:space="0" w:color="1B2A4A"/>
                    <w:right w:val="none" w:sz="0" w:space="0" w:color="FFFFFF"/>
                  </w:tcBorders>
                  <w:tcMar>
                    <w:top w:w="80" w:type="dxa"/>
                    <w:left w:w="0" w:type="dxa"/>
                    <w:bottom w:w="80" w:type="dxa"/>
                    <w:right w:w="80" w:type="dxa"/>
                  </w:tcMar>
                </w:tcPr>
                <w:p w14:paraId="41ECA5E8" w14:textId="77777777" w:rsidR="00D60688" w:rsidRDefault="00000000">
                  <w:pPr>
                    <w:spacing w:line="276" w:lineRule="auto"/>
                  </w:pPr>
                  <w:r>
                    <w:rPr>
                      <w:rFonts w:ascii="Calibri" w:eastAsia="Calibri" w:hAnsi="Calibri" w:cs="Calibri"/>
                      <w:b/>
                      <w:bCs/>
                      <w:caps/>
                      <w:color w:val="9BAABE"/>
                      <w:sz w:val="14"/>
                      <w:szCs w:val="14"/>
                    </w:rPr>
                    <w:t>Watch</w:t>
                  </w:r>
                </w:p>
              </w:tc>
            </w:tr>
            <w:tr w:rsidR="00D60688" w14:paraId="4F8EC7FE" w14:textId="77777777" w:rsidTr="00FE3F98">
              <w:tc>
                <w:tcPr>
                  <w:tcW w:w="1897"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1D48AE47" w14:textId="77777777" w:rsidR="00D60688" w:rsidRDefault="00000000">
                  <w:pPr>
                    <w:spacing w:line="276" w:lineRule="auto"/>
                  </w:pPr>
                  <w:r>
                    <w:rPr>
                      <w:rFonts w:ascii="Calibri" w:eastAsia="Calibri" w:hAnsi="Calibri" w:cs="Calibri"/>
                      <w:b/>
                      <w:bCs/>
                      <w:color w:val="1B2A4A"/>
                      <w:sz w:val="18"/>
                      <w:szCs w:val="18"/>
                    </w:rPr>
                    <w:t>Airlines</w:t>
                  </w:r>
                </w:p>
              </w:tc>
              <w:tc>
                <w:tcPr>
                  <w:tcW w:w="1099"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085293F1" w14:textId="77777777" w:rsidR="00D60688" w:rsidRDefault="00000000">
                  <w:pPr>
                    <w:shd w:val="clear" w:color="auto" w:fill="FAEEDA"/>
                    <w:spacing w:line="276" w:lineRule="auto"/>
                  </w:pPr>
                  <w:r>
                    <w:rPr>
                      <w:rFonts w:ascii="Calibri" w:eastAsia="Calibri" w:hAnsi="Calibri" w:cs="Calibri"/>
                      <w:b/>
                      <w:bCs/>
                      <w:caps/>
                      <w:color w:val="854F0B"/>
                      <w:sz w:val="15"/>
                      <w:szCs w:val="15"/>
                    </w:rPr>
                    <w:t>High</w:t>
                  </w:r>
                </w:p>
              </w:tc>
              <w:tc>
                <w:tcPr>
                  <w:tcW w:w="2864"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6302363A" w14:textId="77777777" w:rsidR="00D60688" w:rsidRDefault="00000000">
                  <w:pPr>
                    <w:spacing w:line="276" w:lineRule="auto"/>
                  </w:pPr>
                  <w:r>
                    <w:rPr>
                      <w:rFonts w:ascii="Calibri" w:eastAsia="Calibri" w:hAnsi="Calibri" w:cs="Calibri"/>
                      <w:i/>
                      <w:iCs/>
                      <w:color w:val="2A2A2A"/>
                      <w:sz w:val="18"/>
                      <w:szCs w:val="18"/>
                    </w:rPr>
                    <w:t>Link C &gt; D: jet fuel is ~20–25% of operating cost; unhedged carriers face direct margin hit from Brent spike. Verify hedge % and duration for each name.</w:t>
                  </w:r>
                </w:p>
              </w:tc>
              <w:tc>
                <w:tcPr>
                  <w:tcW w:w="232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66E73951" w14:textId="68236CC2" w:rsidR="00D60688" w:rsidRDefault="005B4364">
                  <w:pPr>
                    <w:spacing w:line="276" w:lineRule="auto"/>
                  </w:pPr>
                  <w:r w:rsidRPr="005B4364">
                    <w:rPr>
                      <w:rFonts w:ascii="Calibri" w:eastAsia="Calibri" w:hAnsi="Calibri" w:cs="Calibri"/>
                      <w:i/>
                      <w:iCs/>
                      <w:color w:val="2A2A2A"/>
                      <w:sz w:val="18"/>
                      <w:szCs w:val="18"/>
                    </w:rPr>
                    <w:t xml:space="preserve">Jet fuel spot price (IATA Jet Fuel Monitor, weekly) and carrier-specific hedge ratio disclosures from most recent 10-Q filings. </w:t>
                  </w:r>
                  <w:proofErr w:type="gramStart"/>
                  <w:r w:rsidRPr="005B4364">
                    <w:rPr>
                      <w:rFonts w:ascii="Calibri" w:eastAsia="Calibri" w:hAnsi="Calibri" w:cs="Calibri"/>
                      <w:i/>
                      <w:iCs/>
                      <w:color w:val="2A2A2A"/>
                      <w:sz w:val="18"/>
                      <w:szCs w:val="18"/>
                    </w:rPr>
                    <w:t>Watch for</w:t>
                  </w:r>
                  <w:proofErr w:type="gramEnd"/>
                  <w:r w:rsidRPr="005B4364">
                    <w:rPr>
                      <w:rFonts w:ascii="Calibri" w:eastAsia="Calibri" w:hAnsi="Calibri" w:cs="Calibri"/>
                      <w:i/>
                      <w:iCs/>
                      <w:color w:val="2A2A2A"/>
                      <w:sz w:val="18"/>
                      <w:szCs w:val="18"/>
                    </w:rPr>
                    <w:t xml:space="preserve"> guidance withdrawals or fuel cost assumption revisions on Q2 earnings calls.</w:t>
                  </w:r>
                </w:p>
              </w:tc>
            </w:tr>
            <w:tr w:rsidR="00D60688" w14:paraId="4170B8D3" w14:textId="77777777" w:rsidTr="00FE3F98">
              <w:tc>
                <w:tcPr>
                  <w:tcW w:w="1897"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339B46DF" w14:textId="77777777" w:rsidR="00D60688" w:rsidRDefault="00000000">
                  <w:pPr>
                    <w:spacing w:line="276" w:lineRule="auto"/>
                  </w:pPr>
                  <w:r>
                    <w:rPr>
                      <w:rFonts w:ascii="Calibri" w:eastAsia="Calibri" w:hAnsi="Calibri" w:cs="Calibri"/>
                      <w:b/>
                      <w:bCs/>
                      <w:color w:val="1B2A4A"/>
                      <w:sz w:val="18"/>
                      <w:szCs w:val="18"/>
                    </w:rPr>
                    <w:t>Petrochemicals / Chemicals</w:t>
                  </w:r>
                </w:p>
              </w:tc>
              <w:tc>
                <w:tcPr>
                  <w:tcW w:w="1099"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66FAAC8E" w14:textId="77777777" w:rsidR="00D60688" w:rsidRDefault="00000000">
                  <w:pPr>
                    <w:shd w:val="clear" w:color="auto" w:fill="FAEEDA"/>
                    <w:spacing w:line="276" w:lineRule="auto"/>
                  </w:pPr>
                  <w:r>
                    <w:rPr>
                      <w:rFonts w:ascii="Calibri" w:eastAsia="Calibri" w:hAnsi="Calibri" w:cs="Calibri"/>
                      <w:b/>
                      <w:bCs/>
                      <w:caps/>
                      <w:color w:val="854F0B"/>
                      <w:sz w:val="15"/>
                      <w:szCs w:val="15"/>
                    </w:rPr>
                    <w:t>High</w:t>
                  </w:r>
                </w:p>
              </w:tc>
              <w:tc>
                <w:tcPr>
                  <w:tcW w:w="2864"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39BAB1BB" w14:textId="77777777" w:rsidR="00D60688" w:rsidRDefault="00000000">
                  <w:pPr>
                    <w:spacing w:line="276" w:lineRule="auto"/>
                  </w:pPr>
                  <w:r>
                    <w:rPr>
                      <w:rFonts w:ascii="Calibri" w:eastAsia="Calibri" w:hAnsi="Calibri" w:cs="Calibri"/>
                      <w:i/>
                      <w:iCs/>
                      <w:color w:val="2A2A2A"/>
                      <w:sz w:val="18"/>
                      <w:szCs w:val="18"/>
                    </w:rPr>
                    <w:t>Link C &gt; D: crude oil and natural gas liquids are primary feedstock; price spike compresses margins unless pass-through contracts allow cost recovery.</w:t>
                  </w:r>
                </w:p>
              </w:tc>
              <w:tc>
                <w:tcPr>
                  <w:tcW w:w="232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4A412D39" w14:textId="3833DA99" w:rsidR="00D60688" w:rsidRDefault="005B4364">
                  <w:pPr>
                    <w:spacing w:line="276" w:lineRule="auto"/>
                  </w:pPr>
                  <w:r w:rsidRPr="005B4364">
                    <w:rPr>
                      <w:rFonts w:ascii="Calibri" w:eastAsia="Calibri" w:hAnsi="Calibri" w:cs="Calibri"/>
                      <w:i/>
                      <w:iCs/>
                      <w:color w:val="2A2A2A"/>
                      <w:sz w:val="18"/>
                      <w:szCs w:val="18"/>
                    </w:rPr>
                    <w:t>Crude oil and NGL feedstock spreads versus product prices (ICIS, weekly). Watch for margin compression disclosures and any pass-through contract renegotiations flagged in Q2 earnings guidance.</w:t>
                  </w:r>
                </w:p>
              </w:tc>
            </w:tr>
            <w:tr w:rsidR="00D60688" w14:paraId="4DEEA861" w14:textId="77777777" w:rsidTr="00FE3F98">
              <w:tc>
                <w:tcPr>
                  <w:tcW w:w="1897"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1C6F5DAE" w14:textId="77777777" w:rsidR="00D60688" w:rsidRDefault="00000000">
                  <w:pPr>
                    <w:spacing w:line="276" w:lineRule="auto"/>
                  </w:pPr>
                  <w:r>
                    <w:rPr>
                      <w:rFonts w:ascii="Calibri" w:eastAsia="Calibri" w:hAnsi="Calibri" w:cs="Calibri"/>
                      <w:b/>
                      <w:bCs/>
                      <w:color w:val="1B2A4A"/>
                      <w:sz w:val="18"/>
                      <w:szCs w:val="18"/>
                    </w:rPr>
                    <w:t>Industrials / Logistics</w:t>
                  </w:r>
                </w:p>
              </w:tc>
              <w:tc>
                <w:tcPr>
                  <w:tcW w:w="1099"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7769ACAE" w14:textId="77777777" w:rsidR="00D60688" w:rsidRDefault="00000000">
                  <w:pPr>
                    <w:shd w:val="clear" w:color="auto" w:fill="E6F1FB"/>
                    <w:spacing w:line="276" w:lineRule="auto"/>
                  </w:pPr>
                  <w:r>
                    <w:rPr>
                      <w:rFonts w:ascii="Calibri" w:eastAsia="Calibri" w:hAnsi="Calibri" w:cs="Calibri"/>
                      <w:b/>
                      <w:bCs/>
                      <w:caps/>
                      <w:color w:val="185FA5"/>
                      <w:sz w:val="15"/>
                      <w:szCs w:val="15"/>
                    </w:rPr>
                    <w:t>Medium</w:t>
                  </w:r>
                </w:p>
              </w:tc>
              <w:tc>
                <w:tcPr>
                  <w:tcW w:w="2864"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2C129290" w14:textId="77777777" w:rsidR="00D60688" w:rsidRDefault="00000000">
                  <w:pPr>
                    <w:spacing w:line="276" w:lineRule="auto"/>
                  </w:pPr>
                  <w:r>
                    <w:rPr>
                      <w:rFonts w:ascii="Calibri" w:eastAsia="Calibri" w:hAnsi="Calibri" w:cs="Calibri"/>
                      <w:i/>
                      <w:iCs/>
                      <w:color w:val="2A2A2A"/>
                      <w:sz w:val="18"/>
                      <w:szCs w:val="18"/>
                    </w:rPr>
                    <w:t>Link C &gt; D: diesel and bunker fuel input cost pressure; degree of impact depends on fuel surcharge pass-through ability and contract structure.</w:t>
                  </w:r>
                </w:p>
              </w:tc>
              <w:tc>
                <w:tcPr>
                  <w:tcW w:w="232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5F8D61D2" w14:textId="2ABE6461" w:rsidR="00D60688" w:rsidRDefault="005B4364">
                  <w:pPr>
                    <w:spacing w:line="276" w:lineRule="auto"/>
                  </w:pPr>
                  <w:r w:rsidRPr="005B4364">
                    <w:rPr>
                      <w:rFonts w:ascii="Calibri" w:eastAsia="Calibri" w:hAnsi="Calibri" w:cs="Calibri"/>
                      <w:i/>
                      <w:iCs/>
                      <w:color w:val="2A2A2A"/>
                      <w:sz w:val="18"/>
                      <w:szCs w:val="18"/>
                    </w:rPr>
                    <w:t>Diesel retail price index (EIA Weekly Retail Gasoline and Diesel Prices, weekly) and freight rate indices (Cass Freight Index, monthly). Watch for fuel surcharge adjustment announcements and any contract repricing disclosures.</w:t>
                  </w:r>
                </w:p>
              </w:tc>
            </w:tr>
            <w:tr w:rsidR="00D60688" w14:paraId="2C5EC607" w14:textId="77777777" w:rsidTr="00FE3F98">
              <w:tc>
                <w:tcPr>
                  <w:tcW w:w="1897"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57BE6B14" w14:textId="77777777" w:rsidR="00D60688" w:rsidRDefault="00000000">
                  <w:pPr>
                    <w:spacing w:line="276" w:lineRule="auto"/>
                  </w:pPr>
                  <w:r>
                    <w:rPr>
                      <w:rFonts w:ascii="Calibri" w:eastAsia="Calibri" w:hAnsi="Calibri" w:cs="Calibri"/>
                      <w:b/>
                      <w:bCs/>
                      <w:color w:val="1B2A4A"/>
                      <w:sz w:val="18"/>
                      <w:szCs w:val="18"/>
                    </w:rPr>
                    <w:t>Shipping / Tankers</w:t>
                  </w:r>
                </w:p>
              </w:tc>
              <w:tc>
                <w:tcPr>
                  <w:tcW w:w="1099"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3F1EAFF0" w14:textId="77777777" w:rsidR="00D60688" w:rsidRDefault="00000000">
                  <w:pPr>
                    <w:shd w:val="clear" w:color="auto" w:fill="EAF3DE"/>
                    <w:spacing w:line="276" w:lineRule="auto"/>
                  </w:pPr>
                  <w:r>
                    <w:rPr>
                      <w:rFonts w:ascii="Calibri" w:eastAsia="Calibri" w:hAnsi="Calibri" w:cs="Calibri"/>
                      <w:b/>
                      <w:bCs/>
                      <w:caps/>
                      <w:color w:val="3B6D11"/>
                      <w:sz w:val="15"/>
                      <w:szCs w:val="15"/>
                    </w:rPr>
                    <w:t>Beneficiary</w:t>
                  </w:r>
                </w:p>
              </w:tc>
              <w:tc>
                <w:tcPr>
                  <w:tcW w:w="2864"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17506394" w14:textId="77777777" w:rsidR="00D60688" w:rsidRDefault="00000000">
                  <w:pPr>
                    <w:spacing w:line="276" w:lineRule="auto"/>
                  </w:pPr>
                  <w:r>
                    <w:rPr>
                      <w:rFonts w:ascii="Calibri" w:eastAsia="Calibri" w:hAnsi="Calibri" w:cs="Calibri"/>
                      <w:i/>
                      <w:iCs/>
                      <w:color w:val="2A2A2A"/>
                      <w:sz w:val="18"/>
                      <w:szCs w:val="18"/>
                    </w:rPr>
                    <w:t>Link A &gt; B: tanker day rates surge on supply disruption and rerouting demand. Hormuz closure forces longer Cape of Good Hope routes, absorbing vessel capacity.</w:t>
                  </w:r>
                </w:p>
              </w:tc>
              <w:tc>
                <w:tcPr>
                  <w:tcW w:w="232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0208F2FF" w14:textId="1FF0FAAC" w:rsidR="00D60688" w:rsidRDefault="005B4364">
                  <w:pPr>
                    <w:spacing w:line="276" w:lineRule="auto"/>
                  </w:pPr>
                  <w:r w:rsidRPr="005B4364">
                    <w:rPr>
                      <w:rFonts w:ascii="Calibri" w:eastAsia="Calibri" w:hAnsi="Calibri" w:cs="Calibri"/>
                      <w:i/>
                      <w:iCs/>
                      <w:color w:val="2A2A2A"/>
                      <w:sz w:val="18"/>
                      <w:szCs w:val="18"/>
                    </w:rPr>
                    <w:t xml:space="preserve">VLCC and </w:t>
                  </w:r>
                  <w:proofErr w:type="spellStart"/>
                  <w:r w:rsidRPr="005B4364">
                    <w:rPr>
                      <w:rFonts w:ascii="Calibri" w:eastAsia="Calibri" w:hAnsi="Calibri" w:cs="Calibri"/>
                      <w:i/>
                      <w:iCs/>
                      <w:color w:val="2A2A2A"/>
                      <w:sz w:val="18"/>
                      <w:szCs w:val="18"/>
                    </w:rPr>
                    <w:t>Suezmax</w:t>
                  </w:r>
                  <w:proofErr w:type="spellEnd"/>
                  <w:r w:rsidRPr="005B4364">
                    <w:rPr>
                      <w:rFonts w:ascii="Calibri" w:eastAsia="Calibri" w:hAnsi="Calibri" w:cs="Calibri"/>
                      <w:i/>
                      <w:iCs/>
                      <w:color w:val="2A2A2A"/>
                      <w:sz w:val="18"/>
                      <w:szCs w:val="18"/>
                    </w:rPr>
                    <w:t xml:space="preserve"> tanker day rates (</w:t>
                  </w:r>
                  <w:proofErr w:type="spellStart"/>
                  <w:r w:rsidRPr="005B4364">
                    <w:rPr>
                      <w:rFonts w:ascii="Calibri" w:eastAsia="Calibri" w:hAnsi="Calibri" w:cs="Calibri"/>
                      <w:i/>
                      <w:iCs/>
                      <w:color w:val="2A2A2A"/>
                      <w:sz w:val="18"/>
                      <w:szCs w:val="18"/>
                    </w:rPr>
                    <w:t>Clarksons</w:t>
                  </w:r>
                  <w:proofErr w:type="spellEnd"/>
                  <w:r w:rsidRPr="005B4364">
                    <w:rPr>
                      <w:rFonts w:ascii="Calibri" w:eastAsia="Calibri" w:hAnsi="Calibri" w:cs="Calibri"/>
                      <w:i/>
                      <w:iCs/>
                      <w:color w:val="2A2A2A"/>
                      <w:sz w:val="18"/>
                      <w:szCs w:val="18"/>
                    </w:rPr>
                    <w:t xml:space="preserve"> Research or Baltic Exchange, daily). Watch for rate normalization as the leading signal that strait traffic is recovering and rerouting demand is easing.</w:t>
                  </w:r>
                </w:p>
              </w:tc>
            </w:tr>
            <w:tr w:rsidR="00650D43" w14:paraId="5C22750D" w14:textId="77777777" w:rsidTr="00FE3F98">
              <w:tc>
                <w:tcPr>
                  <w:tcW w:w="1897"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64D69411" w14:textId="1B4907C6" w:rsidR="00650D43" w:rsidRDefault="00650D43" w:rsidP="00650D43">
                  <w:pPr>
                    <w:spacing w:line="276" w:lineRule="auto"/>
                    <w:rPr>
                      <w:rFonts w:ascii="Calibri" w:eastAsia="Calibri" w:hAnsi="Calibri" w:cs="Calibri"/>
                      <w:b/>
                      <w:bCs/>
                      <w:color w:val="1B2A4A"/>
                      <w:sz w:val="18"/>
                      <w:szCs w:val="18"/>
                    </w:rPr>
                  </w:pPr>
                  <w:r>
                    <w:rPr>
                      <w:rFonts w:ascii="Calibri" w:eastAsia="Calibri" w:hAnsi="Calibri" w:cs="Calibri"/>
                      <w:b/>
                      <w:bCs/>
                      <w:color w:val="1B2A4A"/>
                      <w:sz w:val="18"/>
                      <w:szCs w:val="18"/>
                    </w:rPr>
                    <w:t>Oil and Gas Producers</w:t>
                  </w:r>
                </w:p>
              </w:tc>
              <w:tc>
                <w:tcPr>
                  <w:tcW w:w="1099"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16FB4464" w14:textId="0420A48C" w:rsidR="00650D43" w:rsidRDefault="00650D43" w:rsidP="00650D43">
                  <w:pPr>
                    <w:shd w:val="clear" w:color="auto" w:fill="EAF3DE"/>
                    <w:spacing w:line="276" w:lineRule="auto"/>
                    <w:rPr>
                      <w:rFonts w:ascii="Calibri" w:eastAsia="Calibri" w:hAnsi="Calibri" w:cs="Calibri"/>
                      <w:b/>
                      <w:bCs/>
                      <w:caps/>
                      <w:color w:val="3B6D11"/>
                      <w:sz w:val="15"/>
                      <w:szCs w:val="15"/>
                    </w:rPr>
                  </w:pPr>
                  <w:r>
                    <w:rPr>
                      <w:rFonts w:ascii="Calibri" w:eastAsia="Calibri" w:hAnsi="Calibri" w:cs="Calibri"/>
                      <w:b/>
                      <w:bCs/>
                      <w:caps/>
                      <w:color w:val="3B6D11"/>
                      <w:sz w:val="15"/>
                      <w:szCs w:val="15"/>
                    </w:rPr>
                    <w:t>Beneficiary</w:t>
                  </w:r>
                </w:p>
              </w:tc>
              <w:tc>
                <w:tcPr>
                  <w:tcW w:w="2864"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407B7F9A" w14:textId="3F51476D" w:rsidR="00650D43" w:rsidRDefault="00650D43" w:rsidP="00650D43">
                  <w:pPr>
                    <w:spacing w:line="276" w:lineRule="auto"/>
                    <w:rPr>
                      <w:rFonts w:ascii="Calibri" w:eastAsia="Calibri" w:hAnsi="Calibri" w:cs="Calibri"/>
                      <w:i/>
                      <w:iCs/>
                      <w:color w:val="2A2A2A"/>
                      <w:sz w:val="18"/>
                      <w:szCs w:val="18"/>
                    </w:rPr>
                  </w:pPr>
                  <w:r>
                    <w:rPr>
                      <w:rFonts w:ascii="Calibri" w:eastAsia="Calibri" w:hAnsi="Calibri" w:cs="Calibri"/>
                      <w:i/>
                      <w:iCs/>
                      <w:color w:val="2A2A2A"/>
                      <w:sz w:val="18"/>
                      <w:szCs w:val="18"/>
                    </w:rPr>
                    <w:t>Link B &gt; C: higher Brent directly benefits revenue per barrel — especially US shale producers insulated from the disruption itself.</w:t>
                  </w:r>
                </w:p>
              </w:tc>
              <w:tc>
                <w:tcPr>
                  <w:tcW w:w="232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5CDB1787" w14:textId="78E68B83" w:rsidR="00650D43" w:rsidRDefault="005B4364" w:rsidP="00650D43">
                  <w:pPr>
                    <w:spacing w:line="276" w:lineRule="auto"/>
                    <w:rPr>
                      <w:rFonts w:ascii="Calibri" w:eastAsia="Calibri" w:hAnsi="Calibri" w:cs="Calibri"/>
                      <w:i/>
                      <w:iCs/>
                      <w:color w:val="2A2A2A"/>
                      <w:sz w:val="18"/>
                      <w:szCs w:val="18"/>
                    </w:rPr>
                  </w:pPr>
                  <w:r w:rsidRPr="005B4364">
                    <w:rPr>
                      <w:rFonts w:ascii="Calibri" w:eastAsia="Calibri" w:hAnsi="Calibri" w:cs="Calibri"/>
                      <w:i/>
                      <w:iCs/>
                      <w:color w:val="2A2A2A"/>
                      <w:sz w:val="18"/>
                      <w:szCs w:val="18"/>
                    </w:rPr>
                    <w:t>WTI and Brent spot price versus producer breakeven estimates (Dallas Fed Energy Survey, quarterly). Watch for production guidance upgrades and capital expenditure increases as the signal that producers are locking in the higher price environment.</w:t>
                  </w:r>
                </w:p>
              </w:tc>
            </w:tr>
          </w:tbl>
          <w:p w14:paraId="6C237852" w14:textId="77777777" w:rsidR="00D60688" w:rsidRDefault="00D60688">
            <w:pPr>
              <w:spacing w:after="120" w:line="276" w:lineRule="auto"/>
            </w:pPr>
          </w:p>
          <w:p w14:paraId="27CBC585" w14:textId="77777777" w:rsidR="00D60688" w:rsidRDefault="00000000">
            <w:pPr>
              <w:spacing w:before="120" w:after="40" w:line="276" w:lineRule="auto"/>
            </w:pPr>
            <w:r>
              <w:rPr>
                <w:rFonts w:ascii="Calibri" w:eastAsia="Calibri" w:hAnsi="Calibri" w:cs="Calibri"/>
                <w:b/>
                <w:bCs/>
                <w:color w:val="C9A84C"/>
                <w:sz w:val="16"/>
                <w:szCs w:val="16"/>
              </w:rPr>
              <w:lastRenderedPageBreak/>
              <w:t>04 · DURATION &amp; SCENARIO ANALYSIS</w:t>
            </w:r>
          </w:p>
          <w:p w14:paraId="4F65502A" w14:textId="77777777" w:rsidR="00D60688" w:rsidRDefault="00000000">
            <w:pPr>
              <w:pBdr>
                <w:bottom w:val="single" w:sz="2" w:space="0" w:color="E8E4DC"/>
              </w:pBdr>
              <w:spacing w:after="120" w:line="276" w:lineRule="auto"/>
            </w:pPr>
            <w:r>
              <w:rPr>
                <w:rFonts w:ascii="Palatino Linotype" w:eastAsia="Palatino Linotype" w:hAnsi="Palatino Linotype" w:cs="Palatino Linotype"/>
                <w:b/>
                <w:bCs/>
                <w:color w:val="1B2A4A"/>
                <w:sz w:val="28"/>
                <w:szCs w:val="28"/>
              </w:rPr>
              <w:t>Duration &amp; Scenario Analysis</w:t>
            </w:r>
          </w:p>
          <w:p w14:paraId="7CC134B8" w14:textId="4F076810" w:rsidR="00D60688" w:rsidRDefault="005B295A">
            <w:pPr>
              <w:pBdr>
                <w:left w:val="single" w:sz="12" w:space="0" w:color="E8E4DC"/>
              </w:pBdr>
              <w:spacing w:after="140" w:line="276" w:lineRule="auto"/>
              <w:ind w:left="180"/>
            </w:pPr>
            <w:r w:rsidRPr="005B295A">
              <w:rPr>
                <w:rFonts w:ascii="Calibri" w:eastAsia="Calibri" w:hAnsi="Calibri" w:cs="Calibri"/>
                <w:i/>
                <w:iCs/>
                <w:color w:val="2A2A2A"/>
                <w:sz w:val="19"/>
                <w:szCs w:val="19"/>
              </w:rPr>
              <w:t>Duration is the variable everything else is a function of, and the path of the closure, not its existence, determines which scenario plays out. The base case carries 50% probability, assuming a messy partial resolution over 2 to 3 quarters. The bear case carries 38%, reflecting a higher probability of structural damage than consensus pricing implies and consistent with the thesis that the market is underweighting duration risk. The bull case carries 12%, acknowledging a fast resolution is possible but treating it as unlikely given three months already elapsed and an unsigned MOU</w:t>
            </w:r>
            <w:r w:rsidR="00000000">
              <w:rPr>
                <w:rFonts w:ascii="Calibri" w:eastAsia="Calibri" w:hAnsi="Calibri" w:cs="Calibri"/>
                <w:i/>
                <w:iCs/>
                <w:color w:val="2A2A2A"/>
                <w:sz w:val="19"/>
                <w:szCs w:val="19"/>
              </w:rPr>
              <w:t>.</w:t>
            </w:r>
          </w:p>
          <w:tbl>
            <w:tblPr>
              <w:tblW w:w="82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60"/>
              <w:gridCol w:w="2250"/>
              <w:gridCol w:w="1890"/>
            </w:tblGrid>
            <w:tr w:rsidR="00D60688" w14:paraId="48837AD2" w14:textId="77777777" w:rsidTr="00FE3F98">
              <w:tc>
                <w:tcPr>
                  <w:tcW w:w="1400" w:type="dxa"/>
                  <w:tcBorders>
                    <w:top w:val="none" w:sz="0" w:space="0" w:color="FFFFFF"/>
                    <w:left w:val="none" w:sz="0" w:space="0" w:color="FFFFFF"/>
                    <w:bottom w:val="single" w:sz="8" w:space="0" w:color="1B2A4A"/>
                    <w:right w:val="none" w:sz="0" w:space="0" w:color="FFFFFF"/>
                  </w:tcBorders>
                  <w:tcMar>
                    <w:top w:w="80" w:type="dxa"/>
                    <w:left w:w="0" w:type="dxa"/>
                    <w:bottom w:w="80" w:type="dxa"/>
                    <w:right w:w="80" w:type="dxa"/>
                  </w:tcMar>
                </w:tcPr>
                <w:p w14:paraId="1B107267" w14:textId="77777777" w:rsidR="00D60688" w:rsidRDefault="00000000">
                  <w:pPr>
                    <w:spacing w:line="276" w:lineRule="auto"/>
                  </w:pPr>
                  <w:r>
                    <w:rPr>
                      <w:rFonts w:ascii="Calibri" w:eastAsia="Calibri" w:hAnsi="Calibri" w:cs="Calibri"/>
                      <w:b/>
                      <w:bCs/>
                      <w:caps/>
                      <w:color w:val="9BAABE"/>
                      <w:sz w:val="14"/>
                      <w:szCs w:val="14"/>
                    </w:rPr>
                    <w:t>Scenario</w:t>
                  </w:r>
                </w:p>
              </w:tc>
              <w:tc>
                <w:tcPr>
                  <w:tcW w:w="2660" w:type="dxa"/>
                  <w:tcBorders>
                    <w:top w:val="none" w:sz="0" w:space="0" w:color="FFFFFF"/>
                    <w:left w:val="none" w:sz="0" w:space="0" w:color="FFFFFF"/>
                    <w:bottom w:val="single" w:sz="8" w:space="0" w:color="1B2A4A"/>
                    <w:right w:val="none" w:sz="0" w:space="0" w:color="FFFFFF"/>
                  </w:tcBorders>
                  <w:tcMar>
                    <w:top w:w="80" w:type="dxa"/>
                    <w:left w:w="0" w:type="dxa"/>
                    <w:bottom w:w="80" w:type="dxa"/>
                    <w:right w:w="80" w:type="dxa"/>
                  </w:tcMar>
                </w:tcPr>
                <w:p w14:paraId="6101A11F" w14:textId="77777777" w:rsidR="00D60688" w:rsidRDefault="00000000">
                  <w:pPr>
                    <w:spacing w:line="276" w:lineRule="auto"/>
                  </w:pPr>
                  <w:r>
                    <w:rPr>
                      <w:rFonts w:ascii="Calibri" w:eastAsia="Calibri" w:hAnsi="Calibri" w:cs="Calibri"/>
                      <w:b/>
                      <w:bCs/>
                      <w:caps/>
                      <w:color w:val="9BAABE"/>
                      <w:sz w:val="14"/>
                      <w:szCs w:val="14"/>
                    </w:rPr>
                    <w:t>Key Assumption</w:t>
                  </w:r>
                </w:p>
              </w:tc>
              <w:tc>
                <w:tcPr>
                  <w:tcW w:w="2250" w:type="dxa"/>
                  <w:tcBorders>
                    <w:top w:val="none" w:sz="0" w:space="0" w:color="FFFFFF"/>
                    <w:left w:val="none" w:sz="0" w:space="0" w:color="FFFFFF"/>
                    <w:bottom w:val="single" w:sz="8" w:space="0" w:color="1B2A4A"/>
                    <w:right w:val="none" w:sz="0" w:space="0" w:color="FFFFFF"/>
                  </w:tcBorders>
                  <w:tcMar>
                    <w:top w:w="80" w:type="dxa"/>
                    <w:left w:w="0" w:type="dxa"/>
                    <w:bottom w:w="80" w:type="dxa"/>
                    <w:right w:w="80" w:type="dxa"/>
                  </w:tcMar>
                </w:tcPr>
                <w:p w14:paraId="168F1BF3" w14:textId="77777777" w:rsidR="00D60688" w:rsidRDefault="00000000">
                  <w:pPr>
                    <w:spacing w:line="276" w:lineRule="auto"/>
                  </w:pPr>
                  <w:r>
                    <w:rPr>
                      <w:rFonts w:ascii="Calibri" w:eastAsia="Calibri" w:hAnsi="Calibri" w:cs="Calibri"/>
                      <w:b/>
                      <w:bCs/>
                      <w:caps/>
                      <w:color w:val="9BAABE"/>
                      <w:sz w:val="14"/>
                      <w:szCs w:val="14"/>
                    </w:rPr>
                    <w:t>What Breaks</w:t>
                  </w:r>
                </w:p>
              </w:tc>
              <w:tc>
                <w:tcPr>
                  <w:tcW w:w="1890" w:type="dxa"/>
                  <w:tcBorders>
                    <w:top w:val="none" w:sz="0" w:space="0" w:color="FFFFFF"/>
                    <w:left w:val="none" w:sz="0" w:space="0" w:color="FFFFFF"/>
                    <w:bottom w:val="single" w:sz="8" w:space="0" w:color="1B2A4A"/>
                    <w:right w:val="none" w:sz="0" w:space="0" w:color="FFFFFF"/>
                  </w:tcBorders>
                  <w:tcMar>
                    <w:top w:w="80" w:type="dxa"/>
                    <w:left w:w="0" w:type="dxa"/>
                    <w:bottom w:w="80" w:type="dxa"/>
                    <w:right w:w="80" w:type="dxa"/>
                  </w:tcMar>
                </w:tcPr>
                <w:p w14:paraId="0B2FEC28" w14:textId="77777777" w:rsidR="00D60688" w:rsidRDefault="00000000">
                  <w:pPr>
                    <w:spacing w:line="276" w:lineRule="auto"/>
                  </w:pPr>
                  <w:r>
                    <w:rPr>
                      <w:rFonts w:ascii="Calibri" w:eastAsia="Calibri" w:hAnsi="Calibri" w:cs="Calibri"/>
                      <w:b/>
                      <w:bCs/>
                      <w:caps/>
                      <w:color w:val="9BAABE"/>
                      <w:sz w:val="14"/>
                      <w:szCs w:val="14"/>
                    </w:rPr>
                    <w:t>Trigger Indicator</w:t>
                  </w:r>
                </w:p>
              </w:tc>
            </w:tr>
            <w:tr w:rsidR="00D60688" w14:paraId="7FF0C0D9" w14:textId="77777777" w:rsidTr="00FE3F98">
              <w:tc>
                <w:tcPr>
                  <w:tcW w:w="140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770B9E48" w14:textId="77777777" w:rsidR="00D60688" w:rsidRDefault="00000000">
                  <w:pPr>
                    <w:spacing w:after="30" w:line="276" w:lineRule="auto"/>
                  </w:pPr>
                  <w:r>
                    <w:rPr>
                      <w:rFonts w:ascii="Calibri" w:eastAsia="Calibri" w:hAnsi="Calibri" w:cs="Calibri"/>
                      <w:b/>
                      <w:bCs/>
                      <w:color w:val="A32D2D"/>
                      <w:sz w:val="19"/>
                      <w:szCs w:val="19"/>
                    </w:rPr>
                    <w:t>Bear</w:t>
                  </w:r>
                </w:p>
                <w:p w14:paraId="13C421C0" w14:textId="0A6FA49F" w:rsidR="00D60688" w:rsidRDefault="00597041">
                  <w:pPr>
                    <w:spacing w:line="276" w:lineRule="auto"/>
                  </w:pPr>
                  <w:r>
                    <w:rPr>
                      <w:rFonts w:ascii="Calibri" w:eastAsia="Calibri" w:hAnsi="Calibri" w:cs="Calibri"/>
                      <w:color w:val="9BAABE"/>
                      <w:sz w:val="15"/>
                      <w:szCs w:val="15"/>
                    </w:rPr>
                    <w:t>6+ Months</w:t>
                  </w:r>
                </w:p>
              </w:tc>
              <w:tc>
                <w:tcPr>
                  <w:tcW w:w="266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664F844F" w14:textId="77777777" w:rsidR="00D60688" w:rsidRDefault="00000000">
                  <w:pPr>
                    <w:spacing w:line="276" w:lineRule="auto"/>
                  </w:pPr>
                  <w:r>
                    <w:rPr>
                      <w:rFonts w:ascii="Calibri" w:eastAsia="Calibri" w:hAnsi="Calibri" w:cs="Calibri"/>
                      <w:i/>
                      <w:iCs/>
                      <w:color w:val="2A2A2A"/>
                      <w:sz w:val="18"/>
                      <w:szCs w:val="18"/>
                    </w:rPr>
                    <w:t xml:space="preserve">Ceasefire collapses and strait </w:t>
                  </w:r>
                  <w:proofErr w:type="gramStart"/>
                  <w:r>
                    <w:rPr>
                      <w:rFonts w:ascii="Calibri" w:eastAsia="Calibri" w:hAnsi="Calibri" w:cs="Calibri"/>
                      <w:i/>
                      <w:iCs/>
                      <w:color w:val="2A2A2A"/>
                      <w:sz w:val="18"/>
                      <w:szCs w:val="18"/>
                    </w:rPr>
                    <w:t>remains</w:t>
                  </w:r>
                  <w:proofErr w:type="gramEnd"/>
                  <w:r>
                    <w:rPr>
                      <w:rFonts w:ascii="Calibri" w:eastAsia="Calibri" w:hAnsi="Calibri" w:cs="Calibri"/>
                      <w:i/>
                      <w:iCs/>
                      <w:color w:val="2A2A2A"/>
                      <w:sz w:val="18"/>
                      <w:szCs w:val="18"/>
                    </w:rPr>
                    <w:t xml:space="preserve"> </w:t>
                  </w:r>
                  <w:proofErr w:type="gramStart"/>
                  <w:r>
                    <w:rPr>
                      <w:rFonts w:ascii="Calibri" w:eastAsia="Calibri" w:hAnsi="Calibri" w:cs="Calibri"/>
                      <w:i/>
                      <w:iCs/>
                      <w:color w:val="2A2A2A"/>
                      <w:sz w:val="18"/>
                      <w:szCs w:val="18"/>
                    </w:rPr>
                    <w:t>closed</w:t>
                  </w:r>
                  <w:proofErr w:type="gramEnd"/>
                  <w:r>
                    <w:rPr>
                      <w:rFonts w:ascii="Calibri" w:eastAsia="Calibri" w:hAnsi="Calibri" w:cs="Calibri"/>
                      <w:i/>
                      <w:iCs/>
                      <w:color w:val="2A2A2A"/>
                      <w:sz w:val="18"/>
                      <w:szCs w:val="18"/>
                    </w:rPr>
                    <w:t xml:space="preserve"> 6+ months. Strategic reserves deplete, alternative Cape of Good Hope routing becomes the structural baseline. Oil sustains $20–30/bbl premium above pre-crisis. Hedge books at airlines and chemicals exhausted by Q3 2026, leaving full fuel cost exposure in Q4.</w:t>
                  </w:r>
                </w:p>
              </w:tc>
              <w:tc>
                <w:tcPr>
                  <w:tcW w:w="225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1393C86F" w14:textId="7FCF3ADD" w:rsidR="00D60688" w:rsidRDefault="00E802B4">
                  <w:pPr>
                    <w:spacing w:line="276" w:lineRule="auto"/>
                  </w:pPr>
                  <w:r w:rsidRPr="00E802B4">
                    <w:rPr>
                      <w:rFonts w:ascii="Calibri" w:eastAsia="Calibri" w:hAnsi="Calibri" w:cs="Calibri"/>
                      <w:i/>
                      <w:iCs/>
                      <w:color w:val="2A2A2A"/>
                      <w:sz w:val="18"/>
                      <w:szCs w:val="18"/>
                    </w:rPr>
                    <w:t>Q3 earnings guidance at airlines and chemicals reflects exhausted hedge books, exposing full unhedged fuel cost in Q4 2026. Guidance cuts are the first visible fracture point.</w:t>
                  </w:r>
                </w:p>
              </w:tc>
              <w:tc>
                <w:tcPr>
                  <w:tcW w:w="189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277CF5DC" w14:textId="4CA44EC4" w:rsidR="00D60688" w:rsidRDefault="00E802B4">
                  <w:pPr>
                    <w:spacing w:line="276" w:lineRule="auto"/>
                  </w:pPr>
                  <w:r w:rsidRPr="00E802B4">
                    <w:rPr>
                      <w:rFonts w:ascii="Calibri" w:eastAsia="Calibri" w:hAnsi="Calibri" w:cs="Calibri"/>
                      <w:i/>
                      <w:iCs/>
                      <w:color w:val="2A2A2A"/>
                      <w:sz w:val="18"/>
                      <w:szCs w:val="18"/>
                    </w:rPr>
                    <w:t>Cushing storage breaks below 20 million barrels on the weekly EIA report, breaching the operational floor that constrains WTI futures mechanics.</w:t>
                  </w:r>
                </w:p>
              </w:tc>
            </w:tr>
            <w:tr w:rsidR="00D60688" w14:paraId="57267FBE" w14:textId="77777777" w:rsidTr="00FE3F98">
              <w:tc>
                <w:tcPr>
                  <w:tcW w:w="140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5223536B" w14:textId="77777777" w:rsidR="00D60688" w:rsidRDefault="00000000">
                  <w:pPr>
                    <w:spacing w:after="30" w:line="276" w:lineRule="auto"/>
                  </w:pPr>
                  <w:r>
                    <w:rPr>
                      <w:rFonts w:ascii="Calibri" w:eastAsia="Calibri" w:hAnsi="Calibri" w:cs="Calibri"/>
                      <w:b/>
                      <w:bCs/>
                      <w:color w:val="1B2A4A"/>
                      <w:sz w:val="19"/>
                      <w:szCs w:val="19"/>
                    </w:rPr>
                    <w:t>Base</w:t>
                  </w:r>
                </w:p>
                <w:p w14:paraId="30442330" w14:textId="3CC7A042" w:rsidR="00D60688" w:rsidRDefault="00597041">
                  <w:pPr>
                    <w:spacing w:line="276" w:lineRule="auto"/>
                  </w:pPr>
                  <w:r>
                    <w:rPr>
                      <w:rFonts w:ascii="Calibri" w:eastAsia="Calibri" w:hAnsi="Calibri" w:cs="Calibri"/>
                      <w:color w:val="9BAABE"/>
                      <w:sz w:val="15"/>
                      <w:szCs w:val="15"/>
                    </w:rPr>
                    <w:t>2-4 Months</w:t>
                  </w:r>
                </w:p>
              </w:tc>
              <w:tc>
                <w:tcPr>
                  <w:tcW w:w="266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4106B0D2" w14:textId="77777777" w:rsidR="00D60688" w:rsidRDefault="00000000">
                  <w:pPr>
                    <w:spacing w:line="276" w:lineRule="auto"/>
                  </w:pPr>
                  <w:r>
                    <w:rPr>
                      <w:rFonts w:ascii="Calibri" w:eastAsia="Calibri" w:hAnsi="Calibri" w:cs="Calibri"/>
                      <w:i/>
                      <w:iCs/>
                      <w:color w:val="2A2A2A"/>
                      <w:sz w:val="18"/>
                      <w:szCs w:val="18"/>
                    </w:rPr>
                    <w:t>Ceasefire holds and strait gradually reopens over 2–3 quarters to ~50–70% of pre-crisis traffic. War-risk insurance remains elevated. Oil trades $10–15/bbl above pre-crisis as rerouting friction persists. Airlines and chemicals face a 1–2 quarter earnings hit before normalization.</w:t>
                  </w:r>
                </w:p>
              </w:tc>
              <w:tc>
                <w:tcPr>
                  <w:tcW w:w="225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38BA2D99" w14:textId="04911743" w:rsidR="00D60688" w:rsidRDefault="00E802B4">
                  <w:pPr>
                    <w:spacing w:line="276" w:lineRule="auto"/>
                  </w:pPr>
                  <w:r w:rsidRPr="00E802B4">
                    <w:rPr>
                      <w:rFonts w:ascii="Calibri" w:eastAsia="Calibri" w:hAnsi="Calibri" w:cs="Calibri"/>
                      <w:i/>
                      <w:iCs/>
                      <w:color w:val="2A2A2A"/>
                      <w:sz w:val="18"/>
                      <w:szCs w:val="18"/>
                    </w:rPr>
                    <w:t>War-risk insurance remains structurally elevated even after partial reopening, capping the pace of shipping economics normalization and delaying full earnings recovery beyond one quarter.</w:t>
                  </w:r>
                </w:p>
              </w:tc>
              <w:tc>
                <w:tcPr>
                  <w:tcW w:w="189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59742118" w14:textId="187C1705" w:rsidR="00D60688" w:rsidRDefault="00E802B4">
                  <w:pPr>
                    <w:spacing w:line="276" w:lineRule="auto"/>
                  </w:pPr>
                  <w:r w:rsidRPr="00E802B4">
                    <w:rPr>
                      <w:rFonts w:ascii="Calibri" w:eastAsia="Calibri" w:hAnsi="Calibri" w:cs="Calibri"/>
                      <w:i/>
                      <w:iCs/>
                      <w:color w:val="2A2A2A"/>
                      <w:sz w:val="18"/>
                      <w:szCs w:val="18"/>
                    </w:rPr>
                    <w:t>EIA weekly report shows Cushing stabilizing above 20 million barrels for two consecutive weeks, while strait traffic recovers toward 30 to 40 vessels per day.</w:t>
                  </w:r>
                </w:p>
              </w:tc>
            </w:tr>
            <w:tr w:rsidR="00D60688" w14:paraId="2F519D3D" w14:textId="77777777" w:rsidTr="00FE3F98">
              <w:tc>
                <w:tcPr>
                  <w:tcW w:w="140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7AFF76AF" w14:textId="77777777" w:rsidR="00D60688" w:rsidRDefault="00000000">
                  <w:pPr>
                    <w:spacing w:after="30" w:line="276" w:lineRule="auto"/>
                  </w:pPr>
                  <w:r>
                    <w:rPr>
                      <w:rFonts w:ascii="Calibri" w:eastAsia="Calibri" w:hAnsi="Calibri" w:cs="Calibri"/>
                      <w:b/>
                      <w:bCs/>
                      <w:color w:val="3B6D11"/>
                      <w:sz w:val="19"/>
                      <w:szCs w:val="19"/>
                    </w:rPr>
                    <w:t>Bull</w:t>
                  </w:r>
                </w:p>
                <w:p w14:paraId="35790F89" w14:textId="5218F6AD" w:rsidR="00D60688" w:rsidRDefault="00000000">
                  <w:pPr>
                    <w:spacing w:line="276" w:lineRule="auto"/>
                  </w:pPr>
                  <w:r>
                    <w:rPr>
                      <w:rFonts w:ascii="Calibri" w:eastAsia="Calibri" w:hAnsi="Calibri" w:cs="Calibri"/>
                      <w:color w:val="9BAABE"/>
                      <w:sz w:val="15"/>
                      <w:szCs w:val="15"/>
                    </w:rPr>
                    <w:t xml:space="preserve">&lt; 2 </w:t>
                  </w:r>
                  <w:r w:rsidR="00597041">
                    <w:rPr>
                      <w:rFonts w:ascii="Calibri" w:eastAsia="Calibri" w:hAnsi="Calibri" w:cs="Calibri"/>
                      <w:color w:val="9BAABE"/>
                      <w:sz w:val="15"/>
                      <w:szCs w:val="15"/>
                    </w:rPr>
                    <w:t>M</w:t>
                  </w:r>
                  <w:r>
                    <w:rPr>
                      <w:rFonts w:ascii="Calibri" w:eastAsia="Calibri" w:hAnsi="Calibri" w:cs="Calibri"/>
                      <w:color w:val="9BAABE"/>
                      <w:sz w:val="15"/>
                      <w:szCs w:val="15"/>
                    </w:rPr>
                    <w:t>onths</w:t>
                  </w:r>
                </w:p>
              </w:tc>
              <w:tc>
                <w:tcPr>
                  <w:tcW w:w="266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0055CD45" w14:textId="77777777" w:rsidR="00D60688" w:rsidRDefault="00000000">
                  <w:pPr>
                    <w:spacing w:line="276" w:lineRule="auto"/>
                  </w:pPr>
                  <w:r>
                    <w:rPr>
                      <w:rFonts w:ascii="Calibri" w:eastAsia="Calibri" w:hAnsi="Calibri" w:cs="Calibri"/>
                      <w:i/>
                      <w:iCs/>
                      <w:color w:val="2A2A2A"/>
                      <w:sz w:val="18"/>
                      <w:szCs w:val="18"/>
                    </w:rPr>
                    <w:t>Comprehensive agreement reached within 4–6 weeks, strait returns to near-full capacity by end of Q2 2026. Insurance normalizes within a quarter. Oil reverts to pre-crisis levels. Exposed sector earnings hit is confined to Q2 only, largely absorbed by existing hedge books.</w:t>
                  </w:r>
                </w:p>
              </w:tc>
              <w:tc>
                <w:tcPr>
                  <w:tcW w:w="225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76B08304" w14:textId="2CCBD5D2" w:rsidR="00D60688" w:rsidRDefault="00E802B4">
                  <w:pPr>
                    <w:spacing w:line="276" w:lineRule="auto"/>
                  </w:pPr>
                  <w:r w:rsidRPr="00E802B4">
                    <w:rPr>
                      <w:rFonts w:ascii="Calibri" w:eastAsia="Calibri" w:hAnsi="Calibri" w:cs="Calibri"/>
                      <w:i/>
                      <w:iCs/>
                      <w:color w:val="2A2A2A"/>
                      <w:sz w:val="18"/>
                      <w:szCs w:val="18"/>
                    </w:rPr>
                    <w:t>Trump signs the MOU and the 30-day phased reopening timeline holds, resolving the diplomatic stall faster than the base case assumes and restoring near-full capacity by end of Q2 2026.</w:t>
                  </w:r>
                </w:p>
              </w:tc>
              <w:tc>
                <w:tcPr>
                  <w:tcW w:w="189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6C9F1E13" w14:textId="32A28B80" w:rsidR="00D60688" w:rsidRDefault="00E802B4">
                  <w:pPr>
                    <w:spacing w:line="276" w:lineRule="auto"/>
                  </w:pPr>
                  <w:r w:rsidRPr="00E802B4">
                    <w:rPr>
                      <w:rFonts w:ascii="Calibri" w:eastAsia="Calibri" w:hAnsi="Calibri" w:cs="Calibri"/>
                      <w:i/>
                      <w:iCs/>
                      <w:color w:val="2A2A2A"/>
                      <w:sz w:val="18"/>
                      <w:szCs w:val="18"/>
                    </w:rPr>
                    <w:t>Trump signs the MOU. Secondary confirmation: war-risk insurance drops below 4x pre-crisis levels within 30 days of signing, indicating the market believes the deal holds.</w:t>
                  </w:r>
                </w:p>
              </w:tc>
            </w:tr>
          </w:tbl>
          <w:p w14:paraId="6909FB02" w14:textId="77777777" w:rsidR="00D60688" w:rsidRDefault="00D60688">
            <w:pPr>
              <w:spacing w:after="120" w:line="276" w:lineRule="auto"/>
            </w:pPr>
          </w:p>
          <w:tbl>
            <w:tblPr>
              <w:tblW w:w="81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0"/>
            </w:tblGrid>
            <w:tr w:rsidR="00D60688" w14:paraId="02DCDD5F" w14:textId="77777777">
              <w:tc>
                <w:tcPr>
                  <w:tcW w:w="8180" w:type="dxa"/>
                  <w:tcBorders>
                    <w:top w:val="none" w:sz="0" w:space="0" w:color="FFFFFF"/>
                    <w:left w:val="single" w:sz="12" w:space="0" w:color="C9A84C"/>
                    <w:bottom w:val="none" w:sz="0" w:space="0" w:color="FFFFFF"/>
                    <w:right w:val="none" w:sz="0" w:space="0" w:color="FFFFFF"/>
                  </w:tcBorders>
                  <w:shd w:val="clear" w:color="auto" w:fill="FAF8F3"/>
                  <w:tcMar>
                    <w:top w:w="120" w:type="dxa"/>
                    <w:left w:w="240" w:type="dxa"/>
                    <w:bottom w:w="120" w:type="dxa"/>
                    <w:right w:w="240" w:type="dxa"/>
                  </w:tcMar>
                </w:tcPr>
                <w:p w14:paraId="3EEF715D" w14:textId="00D96C15" w:rsidR="00D60688" w:rsidRDefault="00000000">
                  <w:pPr>
                    <w:spacing w:line="300" w:lineRule="auto"/>
                  </w:pPr>
                  <w:r>
                    <w:rPr>
                      <w:rFonts w:ascii="Calibri" w:eastAsia="Calibri" w:hAnsi="Calibri" w:cs="Calibri"/>
                      <w:b/>
                      <w:bCs/>
                      <w:color w:val="1B2A4A"/>
                      <w:sz w:val="17"/>
                      <w:szCs w:val="17"/>
                    </w:rPr>
                    <w:t xml:space="preserve">Asymmetry note: </w:t>
                  </w:r>
                  <w:r w:rsidR="00E802B4" w:rsidRPr="00E802B4">
                    <w:rPr>
                      <w:rFonts w:ascii="Calibri" w:eastAsia="Calibri" w:hAnsi="Calibri" w:cs="Calibri"/>
                      <w:i/>
                      <w:iCs/>
                      <w:color w:val="2A2A2A"/>
                      <w:sz w:val="17"/>
                      <w:szCs w:val="17"/>
                    </w:rPr>
                    <w:t>The bear case, weighted at 38%, would produce a materially larger outcome than current market pricing implies. A six-month-plus closure exhausts hedge books, triggers Q3 and Q4 earnings cuts across airlines and petrochemicals, and structurally reprices energy transport costs in a way that does not reverse when the strait nominally reopens. The market is pricing a price event; the evidence points toward a structural one, and the asymmetry lies in the fact that being wrong about duration in the bearish direction is significantly more damaging to exposed names than consensus positioning currently reflects.</w:t>
                  </w:r>
                </w:p>
              </w:tc>
            </w:tr>
          </w:tbl>
          <w:p w14:paraId="6E253E28" w14:textId="77777777" w:rsidR="00D60688" w:rsidRDefault="00D60688"/>
        </w:tc>
      </w:tr>
    </w:tbl>
    <w:p w14:paraId="7ADEB5F9" w14:textId="77777777" w:rsidR="00D60688" w:rsidRDefault="00D60688">
      <w:pPr>
        <w:sectPr w:rsidR="00D60688">
          <w:headerReference w:type="default" r:id="rId12"/>
          <w:footerReference w:type="default" r:id="rId13"/>
          <w:pgSz w:w="12240" w:h="15840"/>
          <w:pgMar w:top="720" w:right="720" w:bottom="720" w:left="720" w:header="708" w:footer="708" w:gutter="0"/>
          <w:cols w:space="720"/>
          <w:docGrid w:linePitch="360"/>
        </w:sectPr>
      </w:pPr>
    </w:p>
    <w:tbl>
      <w:tblPr>
        <w:tblW w:w="10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8900"/>
      </w:tblGrid>
      <w:tr w:rsidR="00D60688" w14:paraId="1CC5786B" w14:textId="77777777">
        <w:tc>
          <w:tcPr>
            <w:tcW w:w="1900" w:type="dxa"/>
            <w:tcBorders>
              <w:top w:val="none" w:sz="0" w:space="0" w:color="FFFFFF"/>
              <w:left w:val="none" w:sz="0" w:space="0" w:color="FFFFFF"/>
              <w:bottom w:val="none" w:sz="0" w:space="0" w:color="FFFFFF"/>
              <w:right w:val="single" w:sz="2" w:space="0" w:color="E8E4DC"/>
            </w:tcBorders>
            <w:shd w:val="clear" w:color="auto" w:fill="FAF9F6"/>
            <w:tcMar>
              <w:top w:w="200" w:type="dxa"/>
              <w:left w:w="360" w:type="dxa"/>
              <w:bottom w:w="0" w:type="dxa"/>
              <w:right w:w="280" w:type="dxa"/>
            </w:tcMar>
          </w:tcPr>
          <w:p w14:paraId="4CF816D4" w14:textId="77777777" w:rsidR="00D60688" w:rsidRDefault="00000000">
            <w:pPr>
              <w:spacing w:after="40" w:line="276" w:lineRule="auto"/>
            </w:pPr>
            <w:r>
              <w:rPr>
                <w:rFonts w:ascii="Calibri" w:eastAsia="Calibri" w:hAnsi="Calibri" w:cs="Calibri"/>
                <w:b/>
                <w:bCs/>
                <w:caps/>
                <w:color w:val="C9A84C"/>
                <w:sz w:val="14"/>
                <w:szCs w:val="14"/>
              </w:rPr>
              <w:lastRenderedPageBreak/>
              <w:t>Currently reading</w:t>
            </w:r>
          </w:p>
          <w:p w14:paraId="6490A924" w14:textId="77777777" w:rsidR="00D60688" w:rsidRDefault="00000000">
            <w:pPr>
              <w:spacing w:line="276" w:lineRule="auto"/>
            </w:pPr>
            <w:r>
              <w:rPr>
                <w:rFonts w:ascii="Calibri" w:eastAsia="Calibri" w:hAnsi="Calibri" w:cs="Calibri"/>
                <w:b/>
                <w:bCs/>
                <w:color w:val="1B2A4A"/>
                <w:sz w:val="18"/>
                <w:szCs w:val="18"/>
              </w:rPr>
              <w:t>Sections 05 &amp; 06</w:t>
            </w:r>
          </w:p>
          <w:p w14:paraId="1CB5BA06" w14:textId="77777777" w:rsidR="00D60688" w:rsidRDefault="00D60688">
            <w:pPr>
              <w:pBdr>
                <w:bottom w:val="single" w:sz="2" w:space="0" w:color="E8E4DC"/>
              </w:pBdr>
              <w:spacing w:before="100" w:after="100" w:line="276" w:lineRule="auto"/>
            </w:pPr>
          </w:p>
          <w:p w14:paraId="02AE39E5" w14:textId="77777777"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01  </w:t>
            </w:r>
            <w:r>
              <w:rPr>
                <w:rFonts w:ascii="Calibri" w:eastAsia="Calibri" w:hAnsi="Calibri" w:cs="Calibri"/>
                <w:color w:val="9BAABE"/>
                <w:sz w:val="16"/>
                <w:szCs w:val="16"/>
              </w:rPr>
              <w:t>Macro Setup &amp; Context</w:t>
            </w:r>
          </w:p>
          <w:p w14:paraId="70EFC521" w14:textId="77777777"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02  </w:t>
            </w:r>
            <w:r>
              <w:rPr>
                <w:rFonts w:ascii="Calibri" w:eastAsia="Calibri" w:hAnsi="Calibri" w:cs="Calibri"/>
                <w:color w:val="9BAABE"/>
                <w:sz w:val="16"/>
                <w:szCs w:val="16"/>
              </w:rPr>
              <w:t>Transmission Mechanism</w:t>
            </w:r>
          </w:p>
          <w:p w14:paraId="396A7302" w14:textId="77777777"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03  </w:t>
            </w:r>
            <w:r>
              <w:rPr>
                <w:rFonts w:ascii="Calibri" w:eastAsia="Calibri" w:hAnsi="Calibri" w:cs="Calibri"/>
                <w:color w:val="9BAABE"/>
                <w:sz w:val="16"/>
                <w:szCs w:val="16"/>
              </w:rPr>
              <w:t>Industry Impact Map</w:t>
            </w:r>
          </w:p>
          <w:p w14:paraId="43CAF369" w14:textId="77777777"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04  </w:t>
            </w:r>
            <w:r>
              <w:rPr>
                <w:rFonts w:ascii="Calibri" w:eastAsia="Calibri" w:hAnsi="Calibri" w:cs="Calibri"/>
                <w:color w:val="9BAABE"/>
                <w:sz w:val="16"/>
                <w:szCs w:val="16"/>
              </w:rPr>
              <w:t>Duration &amp; Scenarios</w:t>
            </w:r>
          </w:p>
          <w:p w14:paraId="5BE8DB42" w14:textId="1D73F261"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05 </w:t>
            </w:r>
            <w:r w:rsidR="0024161E">
              <w:rPr>
                <w:rFonts w:ascii="Calibri" w:eastAsia="Calibri" w:hAnsi="Calibri" w:cs="Calibri"/>
                <w:b/>
                <w:bCs/>
                <w:color w:val="1B2A4A"/>
                <w:sz w:val="16"/>
                <w:szCs w:val="16"/>
              </w:rPr>
              <w:t>Public Market Exposure</w:t>
            </w:r>
          </w:p>
          <w:p w14:paraId="0F306432" w14:textId="77777777"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06  </w:t>
            </w:r>
            <w:r>
              <w:rPr>
                <w:rFonts w:ascii="Calibri" w:eastAsia="Calibri" w:hAnsi="Calibri" w:cs="Calibri"/>
                <w:b/>
                <w:bCs/>
                <w:color w:val="1B2A4A"/>
                <w:sz w:val="16"/>
                <w:szCs w:val="16"/>
              </w:rPr>
              <w:t>Risks &amp; Falsification</w:t>
            </w:r>
          </w:p>
          <w:p w14:paraId="4E80973F" w14:textId="77777777"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07  </w:t>
            </w:r>
            <w:r>
              <w:rPr>
                <w:rFonts w:ascii="Calibri" w:eastAsia="Calibri" w:hAnsi="Calibri" w:cs="Calibri"/>
                <w:color w:val="9BAABE"/>
                <w:sz w:val="16"/>
                <w:szCs w:val="16"/>
              </w:rPr>
              <w:t>Data Sources &amp; Citations</w:t>
            </w:r>
          </w:p>
          <w:p w14:paraId="363737DC" w14:textId="77777777" w:rsidR="00D60688" w:rsidRDefault="00D60688">
            <w:pPr>
              <w:spacing w:after="200" w:line="276" w:lineRule="auto"/>
            </w:pPr>
          </w:p>
          <w:p w14:paraId="7F66C2F1" w14:textId="77777777" w:rsidR="00D60688" w:rsidRDefault="00000000">
            <w:pPr>
              <w:spacing w:before="120" w:after="30" w:line="276" w:lineRule="auto"/>
            </w:pPr>
            <w:r>
              <w:rPr>
                <w:rFonts w:ascii="Palatino Linotype" w:eastAsia="Palatino Linotype" w:hAnsi="Palatino Linotype" w:cs="Palatino Linotype"/>
                <w:b/>
                <w:bCs/>
                <w:color w:val="1B2A4A"/>
              </w:rPr>
              <w:t>Mary Scott</w:t>
            </w:r>
          </w:p>
          <w:p w14:paraId="24519775" w14:textId="77777777" w:rsidR="00D60688" w:rsidRDefault="00000000">
            <w:pPr>
              <w:spacing w:line="276" w:lineRule="auto"/>
            </w:pPr>
            <w:r>
              <w:rPr>
                <w:rFonts w:ascii="Calibri" w:eastAsia="Calibri" w:hAnsi="Calibri" w:cs="Calibri"/>
                <w:color w:val="9BAABE"/>
                <w:sz w:val="16"/>
                <w:szCs w:val="16"/>
              </w:rPr>
              <w:t>Nexus Research</w:t>
            </w:r>
          </w:p>
        </w:tc>
        <w:tc>
          <w:tcPr>
            <w:tcW w:w="8900" w:type="dxa"/>
            <w:tcBorders>
              <w:top w:val="none" w:sz="0" w:space="0" w:color="FFFFFF"/>
              <w:left w:val="none" w:sz="0" w:space="0" w:color="FFFFFF"/>
              <w:bottom w:val="none" w:sz="0" w:space="0" w:color="FFFFFF"/>
              <w:right w:val="none" w:sz="0" w:space="0" w:color="FFFFFF"/>
            </w:tcBorders>
            <w:tcMar>
              <w:top w:w="200" w:type="dxa"/>
              <w:left w:w="360" w:type="dxa"/>
              <w:bottom w:w="200" w:type="dxa"/>
              <w:right w:w="360" w:type="dxa"/>
            </w:tcMar>
          </w:tcPr>
          <w:p w14:paraId="692C1960" w14:textId="778AE0BA" w:rsidR="00D60688" w:rsidRDefault="00000000">
            <w:pPr>
              <w:spacing w:before="120" w:after="40" w:line="276" w:lineRule="auto"/>
            </w:pPr>
            <w:r>
              <w:rPr>
                <w:rFonts w:ascii="Calibri" w:eastAsia="Calibri" w:hAnsi="Calibri" w:cs="Calibri"/>
                <w:b/>
                <w:bCs/>
                <w:color w:val="C9A84C"/>
                <w:sz w:val="16"/>
                <w:szCs w:val="16"/>
              </w:rPr>
              <w:t xml:space="preserve">05 · </w:t>
            </w:r>
            <w:r w:rsidR="0024161E">
              <w:rPr>
                <w:rFonts w:ascii="Calibri" w:eastAsia="Calibri" w:hAnsi="Calibri" w:cs="Calibri"/>
                <w:b/>
                <w:bCs/>
                <w:color w:val="C9A84C"/>
                <w:sz w:val="16"/>
                <w:szCs w:val="16"/>
              </w:rPr>
              <w:t>PUBLIC MARKET EXPOSURE</w:t>
            </w:r>
          </w:p>
          <w:p w14:paraId="5BD668B7" w14:textId="0DACBEEC" w:rsidR="00D60688" w:rsidRDefault="0024161E">
            <w:pPr>
              <w:pBdr>
                <w:bottom w:val="single" w:sz="2" w:space="0" w:color="E8E4DC"/>
              </w:pBdr>
              <w:spacing w:after="120" w:line="276" w:lineRule="auto"/>
            </w:pPr>
            <w:r>
              <w:rPr>
                <w:rFonts w:ascii="Palatino Linotype" w:eastAsia="Palatino Linotype" w:hAnsi="Palatino Linotype" w:cs="Palatino Linotype"/>
                <w:b/>
                <w:bCs/>
                <w:color w:val="1B2A4A"/>
                <w:sz w:val="28"/>
                <w:szCs w:val="28"/>
              </w:rPr>
              <w:t>Public Market Exposure</w:t>
            </w:r>
          </w:p>
          <w:p w14:paraId="4B7C2373" w14:textId="532B63F0" w:rsidR="00D60688" w:rsidRDefault="00EB072F">
            <w:pPr>
              <w:pBdr>
                <w:left w:val="single" w:sz="12" w:space="0" w:color="E8E4DC"/>
              </w:pBdr>
              <w:spacing w:after="140" w:line="276" w:lineRule="auto"/>
              <w:ind w:left="180"/>
            </w:pPr>
            <w:r w:rsidRPr="00EB072F">
              <w:rPr>
                <w:rFonts w:ascii="Calibri" w:eastAsia="Calibri" w:hAnsi="Calibri" w:cs="Calibri"/>
                <w:i/>
                <w:iCs/>
                <w:color w:val="2A2A2A"/>
                <w:sz w:val="19"/>
                <w:szCs w:val="19"/>
              </w:rPr>
              <w:t>These five names are selected as the most direct expressions of the thesis at the security level, spanning the two highest-exposure industries identified in the impact map. Airlines are included because unhedged fuel cost exposure is the most immediate and measurable earnings risk from a sustained Brent spike. Petrochemicals are included because feedstock margin compression is the second-order effect that the market is slowest to price. These are names to watch, not explicit buy or sell recommendations</w:t>
            </w:r>
            <w:r w:rsidR="00000000">
              <w:rPr>
                <w:rFonts w:ascii="Calibri" w:eastAsia="Calibri" w:hAnsi="Calibri" w:cs="Calibri"/>
                <w:i/>
                <w:iCs/>
                <w:color w:val="2A2A2A"/>
                <w:sz w:val="19"/>
                <w:szCs w:val="19"/>
              </w:rPr>
              <w:t>.</w:t>
            </w:r>
          </w:p>
          <w:tbl>
            <w:tblPr>
              <w:tblW w:w="81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6"/>
              <w:gridCol w:w="1190"/>
              <w:gridCol w:w="891"/>
              <w:gridCol w:w="2543"/>
              <w:gridCol w:w="1890"/>
            </w:tblGrid>
            <w:tr w:rsidR="00D60688" w14:paraId="259B8AE9" w14:textId="77777777" w:rsidTr="008636B0">
              <w:tc>
                <w:tcPr>
                  <w:tcW w:w="1666" w:type="dxa"/>
                  <w:tcBorders>
                    <w:top w:val="none" w:sz="0" w:space="0" w:color="FFFFFF"/>
                    <w:left w:val="none" w:sz="0" w:space="0" w:color="FFFFFF"/>
                    <w:bottom w:val="single" w:sz="8" w:space="0" w:color="1B2A4A"/>
                    <w:right w:val="none" w:sz="0" w:space="0" w:color="FFFFFF"/>
                  </w:tcBorders>
                  <w:tcMar>
                    <w:top w:w="80" w:type="dxa"/>
                    <w:left w:w="0" w:type="dxa"/>
                    <w:bottom w:w="80" w:type="dxa"/>
                    <w:right w:w="80" w:type="dxa"/>
                  </w:tcMar>
                </w:tcPr>
                <w:p w14:paraId="7468CCFD" w14:textId="77777777" w:rsidR="00D60688" w:rsidRDefault="00000000">
                  <w:pPr>
                    <w:spacing w:line="276" w:lineRule="auto"/>
                  </w:pPr>
                  <w:r>
                    <w:rPr>
                      <w:rFonts w:ascii="Calibri" w:eastAsia="Calibri" w:hAnsi="Calibri" w:cs="Calibri"/>
                      <w:b/>
                      <w:bCs/>
                      <w:caps/>
                      <w:color w:val="9BAABE"/>
                      <w:sz w:val="14"/>
                      <w:szCs w:val="14"/>
                    </w:rPr>
                    <w:t>Company</w:t>
                  </w:r>
                </w:p>
              </w:tc>
              <w:tc>
                <w:tcPr>
                  <w:tcW w:w="1190" w:type="dxa"/>
                  <w:tcBorders>
                    <w:top w:val="none" w:sz="0" w:space="0" w:color="FFFFFF"/>
                    <w:left w:val="none" w:sz="0" w:space="0" w:color="FFFFFF"/>
                    <w:bottom w:val="single" w:sz="8" w:space="0" w:color="1B2A4A"/>
                    <w:right w:val="none" w:sz="0" w:space="0" w:color="FFFFFF"/>
                  </w:tcBorders>
                  <w:tcMar>
                    <w:top w:w="80" w:type="dxa"/>
                    <w:left w:w="0" w:type="dxa"/>
                    <w:bottom w:w="80" w:type="dxa"/>
                    <w:right w:w="80" w:type="dxa"/>
                  </w:tcMar>
                </w:tcPr>
                <w:p w14:paraId="738CFA6C" w14:textId="77777777" w:rsidR="00D60688" w:rsidRDefault="00000000">
                  <w:pPr>
                    <w:spacing w:line="276" w:lineRule="auto"/>
                  </w:pPr>
                  <w:r>
                    <w:rPr>
                      <w:rFonts w:ascii="Calibri" w:eastAsia="Calibri" w:hAnsi="Calibri" w:cs="Calibri"/>
                      <w:b/>
                      <w:bCs/>
                      <w:caps/>
                      <w:color w:val="9BAABE"/>
                      <w:sz w:val="14"/>
                      <w:szCs w:val="14"/>
                    </w:rPr>
                    <w:t>Sector</w:t>
                  </w:r>
                </w:p>
              </w:tc>
              <w:tc>
                <w:tcPr>
                  <w:tcW w:w="891" w:type="dxa"/>
                  <w:tcBorders>
                    <w:top w:val="none" w:sz="0" w:space="0" w:color="FFFFFF"/>
                    <w:left w:val="none" w:sz="0" w:space="0" w:color="FFFFFF"/>
                    <w:bottom w:val="single" w:sz="8" w:space="0" w:color="1B2A4A"/>
                    <w:right w:val="none" w:sz="0" w:space="0" w:color="FFFFFF"/>
                  </w:tcBorders>
                  <w:tcMar>
                    <w:top w:w="80" w:type="dxa"/>
                    <w:left w:w="0" w:type="dxa"/>
                    <w:bottom w:w="80" w:type="dxa"/>
                    <w:right w:w="80" w:type="dxa"/>
                  </w:tcMar>
                </w:tcPr>
                <w:p w14:paraId="026FEC76" w14:textId="77777777" w:rsidR="00D60688" w:rsidRDefault="00000000">
                  <w:pPr>
                    <w:spacing w:line="276" w:lineRule="auto"/>
                  </w:pPr>
                  <w:r>
                    <w:rPr>
                      <w:rFonts w:ascii="Calibri" w:eastAsia="Calibri" w:hAnsi="Calibri" w:cs="Calibri"/>
                      <w:b/>
                      <w:bCs/>
                      <w:caps/>
                      <w:color w:val="9BAABE"/>
                      <w:sz w:val="14"/>
                      <w:szCs w:val="14"/>
                    </w:rPr>
                    <w:t>Exposure</w:t>
                  </w:r>
                </w:p>
              </w:tc>
              <w:tc>
                <w:tcPr>
                  <w:tcW w:w="2543" w:type="dxa"/>
                  <w:tcBorders>
                    <w:top w:val="none" w:sz="0" w:space="0" w:color="FFFFFF"/>
                    <w:left w:val="none" w:sz="0" w:space="0" w:color="FFFFFF"/>
                    <w:bottom w:val="single" w:sz="8" w:space="0" w:color="1B2A4A"/>
                    <w:right w:val="none" w:sz="0" w:space="0" w:color="FFFFFF"/>
                  </w:tcBorders>
                  <w:tcMar>
                    <w:top w:w="80" w:type="dxa"/>
                    <w:left w:w="0" w:type="dxa"/>
                    <w:bottom w:w="80" w:type="dxa"/>
                    <w:right w:w="80" w:type="dxa"/>
                  </w:tcMar>
                </w:tcPr>
                <w:p w14:paraId="1ACF1BA6" w14:textId="77777777" w:rsidR="00D60688" w:rsidRDefault="00000000">
                  <w:pPr>
                    <w:spacing w:line="276" w:lineRule="auto"/>
                  </w:pPr>
                  <w:r>
                    <w:rPr>
                      <w:rFonts w:ascii="Calibri" w:eastAsia="Calibri" w:hAnsi="Calibri" w:cs="Calibri"/>
                      <w:b/>
                      <w:bCs/>
                      <w:caps/>
                      <w:color w:val="9BAABE"/>
                      <w:sz w:val="14"/>
                      <w:szCs w:val="14"/>
                    </w:rPr>
                    <w:t>Thesis Link</w:t>
                  </w:r>
                </w:p>
              </w:tc>
              <w:tc>
                <w:tcPr>
                  <w:tcW w:w="1890" w:type="dxa"/>
                  <w:tcBorders>
                    <w:top w:val="none" w:sz="0" w:space="0" w:color="FFFFFF"/>
                    <w:left w:val="none" w:sz="0" w:space="0" w:color="FFFFFF"/>
                    <w:bottom w:val="single" w:sz="8" w:space="0" w:color="1B2A4A"/>
                    <w:right w:val="none" w:sz="0" w:space="0" w:color="FFFFFF"/>
                  </w:tcBorders>
                  <w:tcMar>
                    <w:top w:w="80" w:type="dxa"/>
                    <w:left w:w="0" w:type="dxa"/>
                    <w:bottom w:w="80" w:type="dxa"/>
                    <w:right w:w="80" w:type="dxa"/>
                  </w:tcMar>
                </w:tcPr>
                <w:p w14:paraId="16646C4D" w14:textId="77777777" w:rsidR="00D60688" w:rsidRDefault="00000000">
                  <w:pPr>
                    <w:spacing w:line="276" w:lineRule="auto"/>
                  </w:pPr>
                  <w:r>
                    <w:rPr>
                      <w:rFonts w:ascii="Calibri" w:eastAsia="Calibri" w:hAnsi="Calibri" w:cs="Calibri"/>
                      <w:b/>
                      <w:bCs/>
                      <w:caps/>
                      <w:color w:val="9BAABE"/>
                      <w:sz w:val="14"/>
                      <w:szCs w:val="14"/>
                    </w:rPr>
                    <w:t>Hedge Status</w:t>
                  </w:r>
                </w:p>
              </w:tc>
            </w:tr>
            <w:tr w:rsidR="00D60688" w14:paraId="6D513876" w14:textId="77777777" w:rsidTr="008636B0">
              <w:tc>
                <w:tcPr>
                  <w:tcW w:w="1666"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5B2CC451" w14:textId="77777777" w:rsidR="00D60688" w:rsidRDefault="00000000">
                  <w:r>
                    <w:rPr>
                      <w:rFonts w:ascii="Calibri" w:eastAsia="Calibri" w:hAnsi="Calibri" w:cs="Calibri"/>
                      <w:b/>
                      <w:bCs/>
                      <w:color w:val="1B2A4A"/>
                      <w:sz w:val="19"/>
                      <w:szCs w:val="19"/>
                    </w:rPr>
                    <w:t xml:space="preserve">Delta Air </w:t>
                  </w:r>
                  <w:proofErr w:type="gramStart"/>
                  <w:r>
                    <w:rPr>
                      <w:rFonts w:ascii="Calibri" w:eastAsia="Calibri" w:hAnsi="Calibri" w:cs="Calibri"/>
                      <w:b/>
                      <w:bCs/>
                      <w:color w:val="1B2A4A"/>
                      <w:sz w:val="19"/>
                      <w:szCs w:val="19"/>
                    </w:rPr>
                    <w:t>Lines</w:t>
                  </w:r>
                  <w:r>
                    <w:rPr>
                      <w:rFonts w:ascii="Calibri" w:eastAsia="Calibri" w:hAnsi="Calibri" w:cs="Calibri"/>
                      <w:color w:val="9BAABE"/>
                      <w:sz w:val="16"/>
                      <w:szCs w:val="16"/>
                    </w:rPr>
                    <w:t xml:space="preserve">  DAL</w:t>
                  </w:r>
                  <w:proofErr w:type="gramEnd"/>
                  <w:r>
                    <w:rPr>
                      <w:rFonts w:ascii="Calibri" w:eastAsia="Calibri" w:hAnsi="Calibri" w:cs="Calibri"/>
                      <w:color w:val="9BAABE"/>
                      <w:sz w:val="16"/>
                      <w:szCs w:val="16"/>
                    </w:rPr>
                    <w:t xml:space="preserve"> · NYSE</w:t>
                  </w:r>
                </w:p>
              </w:tc>
              <w:tc>
                <w:tcPr>
                  <w:tcW w:w="119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5F742FB1" w14:textId="77777777" w:rsidR="00D60688" w:rsidRDefault="00000000">
                  <w:pPr>
                    <w:spacing w:line="276" w:lineRule="auto"/>
                  </w:pPr>
                  <w:r>
                    <w:rPr>
                      <w:rFonts w:ascii="Calibri" w:eastAsia="Calibri" w:hAnsi="Calibri" w:cs="Calibri"/>
                      <w:i/>
                      <w:iCs/>
                      <w:color w:val="2A2A2A"/>
                      <w:sz w:val="18"/>
                      <w:szCs w:val="18"/>
                    </w:rPr>
                    <w:t>Airlines</w:t>
                  </w:r>
                </w:p>
              </w:tc>
              <w:tc>
                <w:tcPr>
                  <w:tcW w:w="891"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07567218" w14:textId="77777777" w:rsidR="00D60688" w:rsidRDefault="00000000">
                  <w:pPr>
                    <w:shd w:val="clear" w:color="auto" w:fill="FAEEDA"/>
                    <w:spacing w:line="276" w:lineRule="auto"/>
                  </w:pPr>
                  <w:r>
                    <w:rPr>
                      <w:rFonts w:ascii="Calibri" w:eastAsia="Calibri" w:hAnsi="Calibri" w:cs="Calibri"/>
                      <w:b/>
                      <w:bCs/>
                      <w:caps/>
                      <w:color w:val="854F0B"/>
                      <w:sz w:val="15"/>
                      <w:szCs w:val="15"/>
                    </w:rPr>
                    <w:t>High</w:t>
                  </w:r>
                </w:p>
              </w:tc>
              <w:tc>
                <w:tcPr>
                  <w:tcW w:w="2543"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1A63BF90" w14:textId="27C748D0" w:rsidR="00D60688" w:rsidRDefault="00EB072F">
                  <w:pPr>
                    <w:spacing w:line="276" w:lineRule="auto"/>
                  </w:pPr>
                  <w:r w:rsidRPr="00EB072F">
                    <w:rPr>
                      <w:rFonts w:ascii="Calibri" w:eastAsia="Calibri" w:hAnsi="Calibri" w:cs="Calibri"/>
                      <w:i/>
                      <w:iCs/>
                      <w:color w:val="2A2A2A"/>
                      <w:sz w:val="18"/>
                      <w:szCs w:val="18"/>
                    </w:rPr>
                    <w:t>Delta carries the highest unhedged fuel exposure among the major U.S. carriers. At 20 to 25% of operating costs, a sustained $30 per barrel premium above pre-crisis Brent translates directly into margin compression that cannot be absorbed through revenue adjustments alone at current load factors.</w:t>
                  </w:r>
                </w:p>
              </w:tc>
              <w:tc>
                <w:tcPr>
                  <w:tcW w:w="189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7FB8BDAB" w14:textId="41B5F047" w:rsidR="00D60688" w:rsidRDefault="00EB072F">
                  <w:pPr>
                    <w:spacing w:line="276" w:lineRule="auto"/>
                  </w:pPr>
                  <w:r w:rsidRPr="00EB072F">
                    <w:rPr>
                      <w:rFonts w:ascii="Calibri" w:eastAsia="Calibri" w:hAnsi="Calibri" w:cs="Calibri"/>
                      <w:i/>
                      <w:iCs/>
                      <w:color w:val="2A2A2A"/>
                      <w:sz w:val="18"/>
                      <w:szCs w:val="18"/>
                    </w:rPr>
                    <w:t>Delta has historically maintained a low hedge ratio relative to peers, leaving it more exposed to spot fuel prices than United or Southwest. Current hedge coverage through Q3 2026 is partial; Q4 2026 exposure is largely unhedged based on most recent 10-Q disclosures.</w:t>
                  </w:r>
                </w:p>
              </w:tc>
            </w:tr>
            <w:tr w:rsidR="00D60688" w14:paraId="0AA61BC9" w14:textId="77777777" w:rsidTr="008636B0">
              <w:tc>
                <w:tcPr>
                  <w:tcW w:w="1666"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5FF00412" w14:textId="77777777" w:rsidR="00D60688" w:rsidRDefault="00000000">
                  <w:r>
                    <w:rPr>
                      <w:rFonts w:ascii="Calibri" w:eastAsia="Calibri" w:hAnsi="Calibri" w:cs="Calibri"/>
                      <w:b/>
                      <w:bCs/>
                      <w:color w:val="1B2A4A"/>
                      <w:sz w:val="19"/>
                      <w:szCs w:val="19"/>
                    </w:rPr>
                    <w:t xml:space="preserve">United </w:t>
                  </w:r>
                  <w:proofErr w:type="gramStart"/>
                  <w:r>
                    <w:rPr>
                      <w:rFonts w:ascii="Calibri" w:eastAsia="Calibri" w:hAnsi="Calibri" w:cs="Calibri"/>
                      <w:b/>
                      <w:bCs/>
                      <w:color w:val="1B2A4A"/>
                      <w:sz w:val="19"/>
                      <w:szCs w:val="19"/>
                    </w:rPr>
                    <w:t>Airlines</w:t>
                  </w:r>
                  <w:r>
                    <w:rPr>
                      <w:rFonts w:ascii="Calibri" w:eastAsia="Calibri" w:hAnsi="Calibri" w:cs="Calibri"/>
                      <w:color w:val="9BAABE"/>
                      <w:sz w:val="16"/>
                      <w:szCs w:val="16"/>
                    </w:rPr>
                    <w:t xml:space="preserve">  UAL</w:t>
                  </w:r>
                  <w:proofErr w:type="gramEnd"/>
                  <w:r>
                    <w:rPr>
                      <w:rFonts w:ascii="Calibri" w:eastAsia="Calibri" w:hAnsi="Calibri" w:cs="Calibri"/>
                      <w:color w:val="9BAABE"/>
                      <w:sz w:val="16"/>
                      <w:szCs w:val="16"/>
                    </w:rPr>
                    <w:t xml:space="preserve"> · NYSE</w:t>
                  </w:r>
                </w:p>
              </w:tc>
              <w:tc>
                <w:tcPr>
                  <w:tcW w:w="119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15D91476" w14:textId="77777777" w:rsidR="00D60688" w:rsidRDefault="00000000">
                  <w:pPr>
                    <w:spacing w:line="276" w:lineRule="auto"/>
                  </w:pPr>
                  <w:r>
                    <w:rPr>
                      <w:rFonts w:ascii="Calibri" w:eastAsia="Calibri" w:hAnsi="Calibri" w:cs="Calibri"/>
                      <w:i/>
                      <w:iCs/>
                      <w:color w:val="2A2A2A"/>
                      <w:sz w:val="18"/>
                      <w:szCs w:val="18"/>
                    </w:rPr>
                    <w:t>Airlines</w:t>
                  </w:r>
                </w:p>
              </w:tc>
              <w:tc>
                <w:tcPr>
                  <w:tcW w:w="891"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43F2B840" w14:textId="77777777" w:rsidR="00D60688" w:rsidRDefault="00000000">
                  <w:pPr>
                    <w:shd w:val="clear" w:color="auto" w:fill="FAEEDA"/>
                    <w:spacing w:line="276" w:lineRule="auto"/>
                  </w:pPr>
                  <w:r>
                    <w:rPr>
                      <w:rFonts w:ascii="Calibri" w:eastAsia="Calibri" w:hAnsi="Calibri" w:cs="Calibri"/>
                      <w:b/>
                      <w:bCs/>
                      <w:caps/>
                      <w:color w:val="854F0B"/>
                      <w:sz w:val="15"/>
                      <w:szCs w:val="15"/>
                    </w:rPr>
                    <w:t>High</w:t>
                  </w:r>
                </w:p>
              </w:tc>
              <w:tc>
                <w:tcPr>
                  <w:tcW w:w="2543"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519350BB" w14:textId="1CC4B429" w:rsidR="00D60688" w:rsidRDefault="00EB072F">
                  <w:pPr>
                    <w:spacing w:line="276" w:lineRule="auto"/>
                  </w:pPr>
                  <w:r w:rsidRPr="00EB072F">
                    <w:rPr>
                      <w:rFonts w:ascii="Calibri" w:eastAsia="Calibri" w:hAnsi="Calibri" w:cs="Calibri"/>
                      <w:i/>
                      <w:iCs/>
                      <w:color w:val="2A2A2A"/>
                      <w:sz w:val="18"/>
                      <w:szCs w:val="18"/>
                    </w:rPr>
                    <w:t>United's international route network, with significant exposure to trans-Pacific and trans-Atlantic long-haul flying, amplifies fuel cost sensitivity relative to domestic-heavy carriers. A prolonged Brent spike compresses margins on its highest-revenue routes first.</w:t>
                  </w:r>
                </w:p>
              </w:tc>
              <w:tc>
                <w:tcPr>
                  <w:tcW w:w="189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1B8CFBD7" w14:textId="4D601E23" w:rsidR="00D60688" w:rsidRDefault="00EB072F">
                  <w:pPr>
                    <w:spacing w:line="276" w:lineRule="auto"/>
                  </w:pPr>
                  <w:r w:rsidRPr="00EB072F">
                    <w:rPr>
                      <w:rFonts w:ascii="Calibri" w:eastAsia="Calibri" w:hAnsi="Calibri" w:cs="Calibri"/>
                      <w:i/>
                      <w:iCs/>
                      <w:color w:val="2A2A2A"/>
                      <w:sz w:val="18"/>
                      <w:szCs w:val="18"/>
                    </w:rPr>
                    <w:t>United maintains a moderate hedge position but has disclosed limited forward coverage beyond two quarters. Q4 2026 and beyond represents meaningful unhedged exposure if the closure extends into the bear case duration.</w:t>
                  </w:r>
                </w:p>
              </w:tc>
            </w:tr>
            <w:tr w:rsidR="00D60688" w14:paraId="6859B344" w14:textId="77777777" w:rsidTr="008636B0">
              <w:tc>
                <w:tcPr>
                  <w:tcW w:w="1666"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218495BC" w14:textId="77777777" w:rsidR="00D60688" w:rsidRDefault="00000000">
                  <w:r>
                    <w:rPr>
                      <w:rFonts w:ascii="Calibri" w:eastAsia="Calibri" w:hAnsi="Calibri" w:cs="Calibri"/>
                      <w:b/>
                      <w:bCs/>
                      <w:color w:val="1B2A4A"/>
                      <w:sz w:val="19"/>
                      <w:szCs w:val="19"/>
                    </w:rPr>
                    <w:t xml:space="preserve">Southwest </w:t>
                  </w:r>
                  <w:proofErr w:type="gramStart"/>
                  <w:r>
                    <w:rPr>
                      <w:rFonts w:ascii="Calibri" w:eastAsia="Calibri" w:hAnsi="Calibri" w:cs="Calibri"/>
                      <w:b/>
                      <w:bCs/>
                      <w:color w:val="1B2A4A"/>
                      <w:sz w:val="19"/>
                      <w:szCs w:val="19"/>
                    </w:rPr>
                    <w:t>Airlines</w:t>
                  </w:r>
                  <w:r>
                    <w:rPr>
                      <w:rFonts w:ascii="Calibri" w:eastAsia="Calibri" w:hAnsi="Calibri" w:cs="Calibri"/>
                      <w:color w:val="9BAABE"/>
                      <w:sz w:val="16"/>
                      <w:szCs w:val="16"/>
                    </w:rPr>
                    <w:t xml:space="preserve">  LUV</w:t>
                  </w:r>
                  <w:proofErr w:type="gramEnd"/>
                  <w:r>
                    <w:rPr>
                      <w:rFonts w:ascii="Calibri" w:eastAsia="Calibri" w:hAnsi="Calibri" w:cs="Calibri"/>
                      <w:color w:val="9BAABE"/>
                      <w:sz w:val="16"/>
                      <w:szCs w:val="16"/>
                    </w:rPr>
                    <w:t xml:space="preserve"> · NYSE</w:t>
                  </w:r>
                </w:p>
              </w:tc>
              <w:tc>
                <w:tcPr>
                  <w:tcW w:w="119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76710B1C" w14:textId="77777777" w:rsidR="00D60688" w:rsidRDefault="00000000">
                  <w:pPr>
                    <w:spacing w:line="276" w:lineRule="auto"/>
                  </w:pPr>
                  <w:r>
                    <w:rPr>
                      <w:rFonts w:ascii="Calibri" w:eastAsia="Calibri" w:hAnsi="Calibri" w:cs="Calibri"/>
                      <w:i/>
                      <w:iCs/>
                      <w:color w:val="2A2A2A"/>
                      <w:sz w:val="18"/>
                      <w:szCs w:val="18"/>
                    </w:rPr>
                    <w:t>Airlines</w:t>
                  </w:r>
                </w:p>
              </w:tc>
              <w:tc>
                <w:tcPr>
                  <w:tcW w:w="891"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69C42BC1" w14:textId="77777777" w:rsidR="00D60688" w:rsidRDefault="00000000">
                  <w:pPr>
                    <w:shd w:val="clear" w:color="auto" w:fill="EAF3DE"/>
                    <w:spacing w:line="276" w:lineRule="auto"/>
                  </w:pPr>
                  <w:r>
                    <w:rPr>
                      <w:rFonts w:ascii="Calibri" w:eastAsia="Calibri" w:hAnsi="Calibri" w:cs="Calibri"/>
                      <w:b/>
                      <w:bCs/>
                      <w:caps/>
                      <w:color w:val="3B6D11"/>
                      <w:sz w:val="15"/>
                      <w:szCs w:val="15"/>
                    </w:rPr>
                    <w:t>Beneficiary</w:t>
                  </w:r>
                </w:p>
              </w:tc>
              <w:tc>
                <w:tcPr>
                  <w:tcW w:w="2543"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25CF6B40" w14:textId="71BB697B" w:rsidR="00D60688" w:rsidRDefault="00EB072F">
                  <w:pPr>
                    <w:spacing w:line="276" w:lineRule="auto"/>
                  </w:pPr>
                  <w:r w:rsidRPr="00EB072F">
                    <w:rPr>
                      <w:rFonts w:ascii="Calibri" w:eastAsia="Calibri" w:hAnsi="Calibri" w:cs="Calibri"/>
                      <w:i/>
                      <w:iCs/>
                      <w:color w:val="2A2A2A"/>
                      <w:sz w:val="18"/>
                      <w:szCs w:val="18"/>
                    </w:rPr>
                    <w:t>Southwest is the structural beneficiary among airlines. Its all-domestic U.S. route network has no direct exposure to Middle East fuel supply chains, and its historically aggressive hedging program insulates near-term earnings from the Brent spike.</w:t>
                  </w:r>
                </w:p>
              </w:tc>
              <w:tc>
                <w:tcPr>
                  <w:tcW w:w="189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21522B74" w14:textId="4AA6CCB5" w:rsidR="00D60688" w:rsidRDefault="00EB072F">
                  <w:pPr>
                    <w:spacing w:line="276" w:lineRule="auto"/>
                  </w:pPr>
                  <w:r w:rsidRPr="00EB072F">
                    <w:rPr>
                      <w:rFonts w:ascii="Calibri" w:eastAsia="Calibri" w:hAnsi="Calibri" w:cs="Calibri"/>
                      <w:i/>
                      <w:iCs/>
                      <w:color w:val="2A2A2A"/>
                      <w:sz w:val="18"/>
                      <w:szCs w:val="18"/>
                    </w:rPr>
                    <w:t>Southwest has the most robust hedging program among major U.S. carriers, with coverage extending further forward than peers. This insulation makes it a relative beneficiary as unhedged competitors face margin pressure.</w:t>
                  </w:r>
                </w:p>
              </w:tc>
            </w:tr>
            <w:tr w:rsidR="00D60688" w14:paraId="55F968C4" w14:textId="77777777" w:rsidTr="008636B0">
              <w:tc>
                <w:tcPr>
                  <w:tcW w:w="1666"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543F2566" w14:textId="77777777" w:rsidR="00D60688" w:rsidRDefault="00000000">
                  <w:proofErr w:type="gramStart"/>
                  <w:r>
                    <w:rPr>
                      <w:rFonts w:ascii="Calibri" w:eastAsia="Calibri" w:hAnsi="Calibri" w:cs="Calibri"/>
                      <w:b/>
                      <w:bCs/>
                      <w:color w:val="1B2A4A"/>
                      <w:sz w:val="19"/>
                      <w:szCs w:val="19"/>
                    </w:rPr>
                    <w:t>LyondellBasell</w:t>
                  </w:r>
                  <w:r>
                    <w:rPr>
                      <w:rFonts w:ascii="Calibri" w:eastAsia="Calibri" w:hAnsi="Calibri" w:cs="Calibri"/>
                      <w:color w:val="9BAABE"/>
                      <w:sz w:val="16"/>
                      <w:szCs w:val="16"/>
                    </w:rPr>
                    <w:t xml:space="preserve">  LYB</w:t>
                  </w:r>
                  <w:proofErr w:type="gramEnd"/>
                  <w:r>
                    <w:rPr>
                      <w:rFonts w:ascii="Calibri" w:eastAsia="Calibri" w:hAnsi="Calibri" w:cs="Calibri"/>
                      <w:color w:val="9BAABE"/>
                      <w:sz w:val="16"/>
                      <w:szCs w:val="16"/>
                    </w:rPr>
                    <w:t xml:space="preserve"> · NYSE</w:t>
                  </w:r>
                </w:p>
              </w:tc>
              <w:tc>
                <w:tcPr>
                  <w:tcW w:w="119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158A90E6" w14:textId="77777777" w:rsidR="00D60688" w:rsidRDefault="00000000">
                  <w:pPr>
                    <w:spacing w:line="276" w:lineRule="auto"/>
                  </w:pPr>
                  <w:r>
                    <w:rPr>
                      <w:rFonts w:ascii="Calibri" w:eastAsia="Calibri" w:hAnsi="Calibri" w:cs="Calibri"/>
                      <w:i/>
                      <w:iCs/>
                      <w:color w:val="2A2A2A"/>
                      <w:sz w:val="18"/>
                      <w:szCs w:val="18"/>
                    </w:rPr>
                    <w:t>Petrochemicals</w:t>
                  </w:r>
                </w:p>
              </w:tc>
              <w:tc>
                <w:tcPr>
                  <w:tcW w:w="891"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7FE58F08" w14:textId="77777777" w:rsidR="00D60688" w:rsidRDefault="00000000">
                  <w:pPr>
                    <w:shd w:val="clear" w:color="auto" w:fill="E6F1FB"/>
                    <w:spacing w:line="276" w:lineRule="auto"/>
                  </w:pPr>
                  <w:r>
                    <w:rPr>
                      <w:rFonts w:ascii="Calibri" w:eastAsia="Calibri" w:hAnsi="Calibri" w:cs="Calibri"/>
                      <w:b/>
                      <w:bCs/>
                      <w:caps/>
                      <w:color w:val="185FA5"/>
                      <w:sz w:val="15"/>
                      <w:szCs w:val="15"/>
                    </w:rPr>
                    <w:t>Medium</w:t>
                  </w:r>
                </w:p>
              </w:tc>
              <w:tc>
                <w:tcPr>
                  <w:tcW w:w="2543"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24AD310D" w14:textId="69B057F4" w:rsidR="00D60688" w:rsidRDefault="00EB072F">
                  <w:pPr>
                    <w:spacing w:line="276" w:lineRule="auto"/>
                  </w:pPr>
                  <w:r w:rsidRPr="00EB072F">
                    <w:rPr>
                      <w:rFonts w:ascii="Calibri" w:eastAsia="Calibri" w:hAnsi="Calibri" w:cs="Calibri"/>
                      <w:i/>
                      <w:iCs/>
                      <w:color w:val="2A2A2A"/>
                      <w:sz w:val="18"/>
                      <w:szCs w:val="18"/>
                    </w:rPr>
                    <w:t xml:space="preserve">LyondellBasell uses crude oil derivatives and natural gas liquids as primary feedstock. A </w:t>
                  </w:r>
                  <w:r w:rsidRPr="00EB072F">
                    <w:rPr>
                      <w:rFonts w:ascii="Calibri" w:eastAsia="Calibri" w:hAnsi="Calibri" w:cs="Calibri"/>
                      <w:i/>
                      <w:iCs/>
                      <w:color w:val="2A2A2A"/>
                      <w:sz w:val="18"/>
                      <w:szCs w:val="18"/>
                    </w:rPr>
                    <w:lastRenderedPageBreak/>
                    <w:t xml:space="preserve">sustained Brent spike compresses cracker margins unless product prices rise proportionally, </w:t>
                  </w:r>
                  <w:proofErr w:type="gramStart"/>
                  <w:r w:rsidRPr="00EB072F">
                    <w:rPr>
                      <w:rFonts w:ascii="Calibri" w:eastAsia="Calibri" w:hAnsi="Calibri" w:cs="Calibri"/>
                      <w:i/>
                      <w:iCs/>
                      <w:color w:val="2A2A2A"/>
                      <w:sz w:val="18"/>
                      <w:szCs w:val="18"/>
                    </w:rPr>
                    <w:t>which they historically lag</w:t>
                  </w:r>
                  <w:proofErr w:type="gramEnd"/>
                  <w:r w:rsidRPr="00EB072F">
                    <w:rPr>
                      <w:rFonts w:ascii="Calibri" w:eastAsia="Calibri" w:hAnsi="Calibri" w:cs="Calibri"/>
                      <w:i/>
                      <w:iCs/>
                      <w:color w:val="2A2A2A"/>
                      <w:sz w:val="18"/>
                      <w:szCs w:val="18"/>
                    </w:rPr>
                    <w:t xml:space="preserve"> by one to two quarters.</w:t>
                  </w:r>
                </w:p>
              </w:tc>
              <w:tc>
                <w:tcPr>
                  <w:tcW w:w="189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233F7F0A" w14:textId="364FDE63" w:rsidR="00D60688" w:rsidRDefault="00EB072F">
                  <w:pPr>
                    <w:spacing w:line="276" w:lineRule="auto"/>
                  </w:pPr>
                  <w:r w:rsidRPr="00EB072F">
                    <w:rPr>
                      <w:rFonts w:ascii="Calibri" w:eastAsia="Calibri" w:hAnsi="Calibri" w:cs="Calibri"/>
                      <w:i/>
                      <w:iCs/>
                      <w:color w:val="2A2A2A"/>
                      <w:sz w:val="18"/>
                      <w:szCs w:val="18"/>
                    </w:rPr>
                    <w:lastRenderedPageBreak/>
                    <w:t>LyondellBasell</w:t>
                  </w:r>
                  <w:r w:rsidRPr="00EB072F">
                    <w:rPr>
                      <w:rFonts w:ascii="Calibri" w:eastAsia="Calibri" w:hAnsi="Calibri" w:cs="Calibri"/>
                      <w:i/>
                      <w:iCs/>
                      <w:color w:val="2A2A2A"/>
                      <w:sz w:val="18"/>
                      <w:szCs w:val="18"/>
                    </w:rPr>
                    <w:t xml:space="preserve"> operates largely unhedged on feedstock costs, relying </w:t>
                  </w:r>
                  <w:r w:rsidRPr="00EB072F">
                    <w:rPr>
                      <w:rFonts w:ascii="Calibri" w:eastAsia="Calibri" w:hAnsi="Calibri" w:cs="Calibri"/>
                      <w:i/>
                      <w:iCs/>
                      <w:color w:val="2A2A2A"/>
                      <w:sz w:val="18"/>
                      <w:szCs w:val="18"/>
                    </w:rPr>
                    <w:lastRenderedPageBreak/>
                    <w:t>instead on pass-through contract structures. Where those structures are fixed-price or lagged, the company absorbs the margin compression directly in the near term.</w:t>
                  </w:r>
                </w:p>
              </w:tc>
            </w:tr>
            <w:tr w:rsidR="00D60688" w14:paraId="59248154" w14:textId="77777777" w:rsidTr="008636B0">
              <w:tc>
                <w:tcPr>
                  <w:tcW w:w="1666"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5C3501A4" w14:textId="77777777" w:rsidR="00D60688" w:rsidRDefault="00000000">
                  <w:proofErr w:type="gramStart"/>
                  <w:r>
                    <w:rPr>
                      <w:rFonts w:ascii="Calibri" w:eastAsia="Calibri" w:hAnsi="Calibri" w:cs="Calibri"/>
                      <w:b/>
                      <w:bCs/>
                      <w:color w:val="1B2A4A"/>
                      <w:sz w:val="19"/>
                      <w:szCs w:val="19"/>
                    </w:rPr>
                    <w:lastRenderedPageBreak/>
                    <w:t>Dow</w:t>
                  </w:r>
                  <w:r>
                    <w:rPr>
                      <w:rFonts w:ascii="Calibri" w:eastAsia="Calibri" w:hAnsi="Calibri" w:cs="Calibri"/>
                      <w:color w:val="9BAABE"/>
                      <w:sz w:val="16"/>
                      <w:szCs w:val="16"/>
                    </w:rPr>
                    <w:t xml:space="preserve">  </w:t>
                  </w:r>
                  <w:proofErr w:type="spellStart"/>
                  <w:r>
                    <w:rPr>
                      <w:rFonts w:ascii="Calibri" w:eastAsia="Calibri" w:hAnsi="Calibri" w:cs="Calibri"/>
                      <w:color w:val="9BAABE"/>
                      <w:sz w:val="16"/>
                      <w:szCs w:val="16"/>
                    </w:rPr>
                    <w:t>DOW</w:t>
                  </w:r>
                  <w:proofErr w:type="spellEnd"/>
                  <w:proofErr w:type="gramEnd"/>
                  <w:r>
                    <w:rPr>
                      <w:rFonts w:ascii="Calibri" w:eastAsia="Calibri" w:hAnsi="Calibri" w:cs="Calibri"/>
                      <w:color w:val="9BAABE"/>
                      <w:sz w:val="16"/>
                      <w:szCs w:val="16"/>
                    </w:rPr>
                    <w:t xml:space="preserve"> · NYSE</w:t>
                  </w:r>
                </w:p>
              </w:tc>
              <w:tc>
                <w:tcPr>
                  <w:tcW w:w="119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788CD3A1" w14:textId="77777777" w:rsidR="00D60688" w:rsidRDefault="00000000">
                  <w:pPr>
                    <w:spacing w:line="276" w:lineRule="auto"/>
                  </w:pPr>
                  <w:r>
                    <w:rPr>
                      <w:rFonts w:ascii="Calibri" w:eastAsia="Calibri" w:hAnsi="Calibri" w:cs="Calibri"/>
                      <w:i/>
                      <w:iCs/>
                      <w:color w:val="2A2A2A"/>
                      <w:sz w:val="18"/>
                      <w:szCs w:val="18"/>
                    </w:rPr>
                    <w:t>Petrochemicals</w:t>
                  </w:r>
                </w:p>
              </w:tc>
              <w:tc>
                <w:tcPr>
                  <w:tcW w:w="891"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4D9FCCA3" w14:textId="77777777" w:rsidR="00D60688" w:rsidRDefault="00000000">
                  <w:pPr>
                    <w:shd w:val="clear" w:color="auto" w:fill="EAF3DE"/>
                    <w:spacing w:line="276" w:lineRule="auto"/>
                  </w:pPr>
                  <w:r>
                    <w:rPr>
                      <w:rFonts w:ascii="Calibri" w:eastAsia="Calibri" w:hAnsi="Calibri" w:cs="Calibri"/>
                      <w:b/>
                      <w:bCs/>
                      <w:caps/>
                      <w:color w:val="3B6D11"/>
                      <w:sz w:val="15"/>
                      <w:szCs w:val="15"/>
                    </w:rPr>
                    <w:t>Beneficiary</w:t>
                  </w:r>
                </w:p>
              </w:tc>
              <w:tc>
                <w:tcPr>
                  <w:tcW w:w="2543"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067A5A84" w14:textId="19C974F2" w:rsidR="00D60688" w:rsidRDefault="00EB072F">
                  <w:pPr>
                    <w:spacing w:line="276" w:lineRule="auto"/>
                  </w:pPr>
                  <w:r w:rsidRPr="00EB072F">
                    <w:rPr>
                      <w:rFonts w:ascii="Calibri" w:eastAsia="Calibri" w:hAnsi="Calibri" w:cs="Calibri"/>
                      <w:i/>
                      <w:iCs/>
                      <w:color w:val="2A2A2A"/>
                      <w:sz w:val="18"/>
                      <w:szCs w:val="18"/>
                    </w:rPr>
                    <w:t>Dow's U.S. Gulf Coast operations are primarily fed by domestic natural gas liquids rather than crude oil, providing structural insulation from a Brent spike driven by a Middle East supply disruption. This feedstock advantage makes Dow a relative beneficiary versus European peers with crude-linked cost bases.</w:t>
                  </w:r>
                </w:p>
              </w:tc>
              <w:tc>
                <w:tcPr>
                  <w:tcW w:w="189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1EEF3081" w14:textId="3113BF60" w:rsidR="00D60688" w:rsidRDefault="00EB072F">
                  <w:pPr>
                    <w:spacing w:line="276" w:lineRule="auto"/>
                  </w:pPr>
                  <w:r w:rsidRPr="00EB072F">
                    <w:rPr>
                      <w:rFonts w:ascii="Calibri" w:eastAsia="Calibri" w:hAnsi="Calibri" w:cs="Calibri"/>
                      <w:i/>
                      <w:iCs/>
                      <w:color w:val="2A2A2A"/>
                      <w:sz w:val="18"/>
                      <w:szCs w:val="18"/>
                    </w:rPr>
                    <w:t>Dow's feedstock cost advantage is structural rather than hedged. The insulation comes from the composition of its input mix, not from derivatives contracts, making it durable across the scenario range.</w:t>
                  </w:r>
                </w:p>
              </w:tc>
            </w:tr>
          </w:tbl>
          <w:p w14:paraId="688263C2" w14:textId="77777777" w:rsidR="00D60688" w:rsidRDefault="00D60688">
            <w:pPr>
              <w:spacing w:after="120" w:line="276" w:lineRule="auto"/>
            </w:pPr>
          </w:p>
          <w:p w14:paraId="6D39E70F" w14:textId="77777777" w:rsidR="00D60688" w:rsidRDefault="00000000">
            <w:pPr>
              <w:spacing w:before="120" w:after="40" w:line="276" w:lineRule="auto"/>
            </w:pPr>
            <w:r>
              <w:rPr>
                <w:rFonts w:ascii="Calibri" w:eastAsia="Calibri" w:hAnsi="Calibri" w:cs="Calibri"/>
                <w:b/>
                <w:bCs/>
                <w:color w:val="C9A84C"/>
                <w:sz w:val="16"/>
                <w:szCs w:val="16"/>
              </w:rPr>
              <w:t>06 · RISKS &amp; FALSIFICATION</w:t>
            </w:r>
          </w:p>
          <w:p w14:paraId="616225A1" w14:textId="77777777" w:rsidR="00D60688" w:rsidRDefault="00000000">
            <w:pPr>
              <w:pBdr>
                <w:bottom w:val="single" w:sz="2" w:space="0" w:color="E8E4DC"/>
              </w:pBdr>
              <w:spacing w:after="120" w:line="276" w:lineRule="auto"/>
            </w:pPr>
            <w:r>
              <w:rPr>
                <w:rFonts w:ascii="Palatino Linotype" w:eastAsia="Palatino Linotype" w:hAnsi="Palatino Linotype" w:cs="Palatino Linotype"/>
                <w:b/>
                <w:bCs/>
                <w:color w:val="1B2A4A"/>
                <w:sz w:val="28"/>
                <w:szCs w:val="28"/>
              </w:rPr>
              <w:t>Risks &amp; Falsification</w:t>
            </w:r>
          </w:p>
          <w:p w14:paraId="0D4A8302" w14:textId="15B0AF0F" w:rsidR="00D60688" w:rsidRDefault="00EB072F">
            <w:pPr>
              <w:pBdr>
                <w:left w:val="single" w:sz="12" w:space="0" w:color="E8E4DC"/>
              </w:pBdr>
              <w:spacing w:after="140" w:line="276" w:lineRule="auto"/>
              <w:ind w:left="180"/>
            </w:pPr>
            <w:r w:rsidRPr="00EB072F">
              <w:rPr>
                <w:rFonts w:ascii="Calibri" w:eastAsia="Calibri" w:hAnsi="Calibri" w:cs="Calibri"/>
                <w:i/>
                <w:iCs/>
                <w:color w:val="2A2A2A"/>
                <w:sz w:val="19"/>
                <w:szCs w:val="19"/>
              </w:rPr>
              <w:t>The primary risk to this thesis is diplomatic resolution moving faster than the physical and financial damage accumulates. The unsigned MOU represents a live path to the bull case, and if Trump signs within the next two to three weeks, the thesis enters its falsification window before hedge book exhaustion becomes visible in earnings. The secondary risk is that the Fed or the administration deploys demand-side intervention—additional SPR releases or rate cuts—that absorbs enough of the price shock to delay the structural repricing this thesis depends on</w:t>
            </w:r>
            <w:r w:rsidR="00000000">
              <w:rPr>
                <w:rFonts w:ascii="Calibri" w:eastAsia="Calibri" w:hAnsi="Calibri" w:cs="Calibri"/>
                <w:i/>
                <w:iCs/>
                <w:color w:val="2A2A2A"/>
                <w:sz w:val="19"/>
                <w:szCs w:val="19"/>
              </w:rPr>
              <w:t>.</w:t>
            </w:r>
          </w:p>
          <w:tbl>
            <w:tblPr>
              <w:tblW w:w="81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0"/>
              <w:gridCol w:w="4230"/>
            </w:tblGrid>
            <w:tr w:rsidR="00D60688" w14:paraId="692FC313" w14:textId="77777777" w:rsidTr="008636B0">
              <w:tc>
                <w:tcPr>
                  <w:tcW w:w="3950" w:type="dxa"/>
                  <w:tcBorders>
                    <w:top w:val="none" w:sz="0" w:space="0" w:color="FFFFFF"/>
                    <w:left w:val="none" w:sz="0" w:space="0" w:color="FFFFFF"/>
                    <w:bottom w:val="none" w:sz="0" w:space="0" w:color="FFFFFF"/>
                    <w:right w:val="single" w:sz="2" w:space="0" w:color="E8E4DC"/>
                  </w:tcBorders>
                  <w:tcMar>
                    <w:top w:w="0" w:type="dxa"/>
                    <w:left w:w="0" w:type="dxa"/>
                    <w:bottom w:w="120" w:type="dxa"/>
                    <w:right w:w="240" w:type="dxa"/>
                  </w:tcMar>
                </w:tcPr>
                <w:p w14:paraId="7E909E51" w14:textId="77777777" w:rsidR="00D60688" w:rsidRDefault="00000000">
                  <w:pPr>
                    <w:pBdr>
                      <w:bottom w:val="single" w:sz="10" w:space="0" w:color="3B6D11"/>
                    </w:pBdr>
                    <w:spacing w:after="60" w:line="276" w:lineRule="auto"/>
                  </w:pPr>
                  <w:r>
                    <w:rPr>
                      <w:rFonts w:ascii="Calibri" w:eastAsia="Calibri" w:hAnsi="Calibri" w:cs="Calibri"/>
                      <w:b/>
                      <w:bCs/>
                      <w:caps/>
                      <w:color w:val="3B6D11"/>
                      <w:sz w:val="16"/>
                      <w:szCs w:val="16"/>
                    </w:rPr>
                    <w:t>Thesis valid if</w:t>
                  </w:r>
                </w:p>
                <w:p w14:paraId="59CB59E2" w14:textId="77777777" w:rsidR="00EB072F" w:rsidRPr="00EB072F" w:rsidRDefault="00EB072F" w:rsidP="00EB072F">
                  <w:pPr>
                    <w:pBdr>
                      <w:bottom w:val="single" w:sz="2" w:space="0" w:color="E8E4DC"/>
                    </w:pBdr>
                    <w:spacing w:after="60" w:line="276" w:lineRule="auto"/>
                    <w:rPr>
                      <w:rFonts w:ascii="Calibri" w:eastAsia="Calibri" w:hAnsi="Calibri" w:cs="Calibri"/>
                      <w:i/>
                      <w:iCs/>
                      <w:color w:val="2A2A2A"/>
                      <w:sz w:val="18"/>
                      <w:szCs w:val="18"/>
                    </w:rPr>
                  </w:pPr>
                  <w:r w:rsidRPr="00EB072F">
                    <w:rPr>
                      <w:rFonts w:ascii="Calibri" w:eastAsia="Calibri" w:hAnsi="Calibri" w:cs="Calibri"/>
                      <w:i/>
                      <w:iCs/>
                      <w:color w:val="2A2A2A"/>
                      <w:sz w:val="18"/>
                      <w:szCs w:val="18"/>
                    </w:rPr>
                    <w:t>Cushing storage breaks below 20 million barrels on the weekly EIA report, confirming the physical buffer has been exhausted and WTI mechanics are under structural stress.</w:t>
                  </w:r>
                </w:p>
                <w:p w14:paraId="69441F4C" w14:textId="77777777" w:rsidR="00EB072F" w:rsidRPr="00EB072F" w:rsidRDefault="00EB072F" w:rsidP="00EB072F">
                  <w:pPr>
                    <w:pBdr>
                      <w:bottom w:val="single" w:sz="2" w:space="0" w:color="E8E4DC"/>
                    </w:pBdr>
                    <w:spacing w:after="60" w:line="276" w:lineRule="auto"/>
                    <w:rPr>
                      <w:rFonts w:ascii="Calibri" w:eastAsia="Calibri" w:hAnsi="Calibri" w:cs="Calibri"/>
                      <w:i/>
                      <w:iCs/>
                      <w:color w:val="2A2A2A"/>
                      <w:sz w:val="18"/>
                      <w:szCs w:val="18"/>
                    </w:rPr>
                  </w:pPr>
                  <w:r w:rsidRPr="00EB072F">
                    <w:rPr>
                      <w:rFonts w:ascii="Calibri" w:eastAsia="Calibri" w:hAnsi="Calibri" w:cs="Calibri"/>
                      <w:i/>
                      <w:iCs/>
                      <w:color w:val="2A2A2A"/>
                      <w:sz w:val="18"/>
                      <w:szCs w:val="18"/>
                    </w:rPr>
                    <w:t>Airlines and petrochemical companies begin withdrawing Q3 2026 earnings guidance or issuing fuel cost warnings in July and August, confirming hedge book exhaustion is hitting earnings before the market has priced it.</w:t>
                  </w:r>
                </w:p>
                <w:p w14:paraId="0E5172C1" w14:textId="75718B89" w:rsidR="00D60688" w:rsidRDefault="00EB072F" w:rsidP="00EB072F">
                  <w:pPr>
                    <w:pBdr>
                      <w:bottom w:val="single" w:sz="2" w:space="0" w:color="E8E4DC"/>
                    </w:pBdr>
                    <w:spacing w:after="60" w:line="276" w:lineRule="auto"/>
                  </w:pPr>
                  <w:r w:rsidRPr="00EB072F">
                    <w:rPr>
                      <w:rFonts w:ascii="Calibri" w:eastAsia="Calibri" w:hAnsi="Calibri" w:cs="Calibri"/>
                      <w:i/>
                      <w:iCs/>
                      <w:color w:val="2A2A2A"/>
                      <w:sz w:val="18"/>
                      <w:szCs w:val="18"/>
                    </w:rPr>
                    <w:t>Strait traffic fails to recover above 20 vessels per day within 30 days of any ceasefire announcement, confirming that physical normalization is lagging diplomatic resolution and the structural repricing is already embedded.</w:t>
                  </w:r>
                </w:p>
              </w:tc>
              <w:tc>
                <w:tcPr>
                  <w:tcW w:w="4230" w:type="dxa"/>
                  <w:tcBorders>
                    <w:top w:val="none" w:sz="0" w:space="0" w:color="FFFFFF"/>
                    <w:left w:val="none" w:sz="0" w:space="0" w:color="FFFFFF"/>
                    <w:bottom w:val="none" w:sz="0" w:space="0" w:color="FFFFFF"/>
                    <w:right w:val="none" w:sz="0" w:space="0" w:color="FFFFFF"/>
                  </w:tcBorders>
                  <w:tcMar>
                    <w:top w:w="0" w:type="dxa"/>
                    <w:left w:w="240" w:type="dxa"/>
                    <w:bottom w:w="120" w:type="dxa"/>
                    <w:right w:w="0" w:type="dxa"/>
                  </w:tcMar>
                </w:tcPr>
                <w:p w14:paraId="65AC0218" w14:textId="77777777" w:rsidR="00D60688" w:rsidRDefault="00000000">
                  <w:pPr>
                    <w:pBdr>
                      <w:bottom w:val="single" w:sz="10" w:space="0" w:color="A32D2D"/>
                    </w:pBdr>
                    <w:spacing w:after="60" w:line="276" w:lineRule="auto"/>
                  </w:pPr>
                  <w:r>
                    <w:rPr>
                      <w:rFonts w:ascii="Calibri" w:eastAsia="Calibri" w:hAnsi="Calibri" w:cs="Calibri"/>
                      <w:b/>
                      <w:bCs/>
                      <w:caps/>
                      <w:color w:val="A32D2D"/>
                      <w:sz w:val="16"/>
                      <w:szCs w:val="16"/>
                    </w:rPr>
                    <w:t>Thesis invalid if</w:t>
                  </w:r>
                </w:p>
                <w:p w14:paraId="062714D4" w14:textId="77777777" w:rsidR="00EB072F" w:rsidRPr="00EB072F" w:rsidRDefault="00EB072F" w:rsidP="00EB072F">
                  <w:pPr>
                    <w:pBdr>
                      <w:bottom w:val="single" w:sz="2" w:space="0" w:color="E8E4DC"/>
                    </w:pBdr>
                    <w:spacing w:after="60" w:line="276" w:lineRule="auto"/>
                    <w:rPr>
                      <w:rFonts w:ascii="Calibri" w:eastAsia="Calibri" w:hAnsi="Calibri" w:cs="Calibri"/>
                      <w:i/>
                      <w:iCs/>
                      <w:color w:val="2A2A2A"/>
                      <w:sz w:val="18"/>
                      <w:szCs w:val="18"/>
                    </w:rPr>
                  </w:pPr>
                  <w:r w:rsidRPr="00EB072F">
                    <w:rPr>
                      <w:rFonts w:ascii="Calibri" w:eastAsia="Calibri" w:hAnsi="Calibri" w:cs="Calibri"/>
                      <w:i/>
                      <w:iCs/>
                      <w:color w:val="2A2A2A"/>
                      <w:sz w:val="18"/>
                      <w:szCs w:val="18"/>
                    </w:rPr>
                    <w:t>Trump signs the MOU within the next two to three weeks and strait traffic recovers toward 40 or more vessels per day within 30 days of signing, confirming the bull case and removing the duration premise entirely.</w:t>
                  </w:r>
                </w:p>
                <w:p w14:paraId="2456BA8C" w14:textId="77777777" w:rsidR="00EB072F" w:rsidRPr="00EB072F" w:rsidRDefault="00EB072F" w:rsidP="00EB072F">
                  <w:pPr>
                    <w:pBdr>
                      <w:bottom w:val="single" w:sz="2" w:space="0" w:color="E8E4DC"/>
                    </w:pBdr>
                    <w:spacing w:after="60" w:line="276" w:lineRule="auto"/>
                    <w:rPr>
                      <w:rFonts w:ascii="Calibri" w:eastAsia="Calibri" w:hAnsi="Calibri" w:cs="Calibri"/>
                      <w:i/>
                      <w:iCs/>
                      <w:color w:val="2A2A2A"/>
                      <w:sz w:val="18"/>
                      <w:szCs w:val="18"/>
                    </w:rPr>
                  </w:pPr>
                  <w:r w:rsidRPr="00EB072F">
                    <w:rPr>
                      <w:rFonts w:ascii="Calibri" w:eastAsia="Calibri" w:hAnsi="Calibri" w:cs="Calibri"/>
                      <w:i/>
                      <w:iCs/>
                      <w:color w:val="2A2A2A"/>
                      <w:sz w:val="18"/>
                      <w:szCs w:val="18"/>
                    </w:rPr>
                    <w:t>The Federal Reserve or the administration executes a coordinated demand suppression response, including additional SPR releases above 50 million barrels, that stabilizes Cushing above 25 million barrels and caps the Brent spike below $85 per barrel.</w:t>
                  </w:r>
                </w:p>
                <w:p w14:paraId="6BAD0F45" w14:textId="2E3F42CF" w:rsidR="00D60688" w:rsidRDefault="00EB072F" w:rsidP="00EB072F">
                  <w:pPr>
                    <w:pBdr>
                      <w:bottom w:val="single" w:sz="2" w:space="0" w:color="E8E4DC"/>
                    </w:pBdr>
                    <w:spacing w:after="60" w:line="276" w:lineRule="auto"/>
                  </w:pPr>
                  <w:r w:rsidRPr="00EB072F">
                    <w:rPr>
                      <w:rFonts w:ascii="Calibri" w:eastAsia="Calibri" w:hAnsi="Calibri" w:cs="Calibri"/>
                      <w:i/>
                      <w:iCs/>
                      <w:color w:val="2A2A2A"/>
                      <w:sz w:val="18"/>
                      <w:szCs w:val="18"/>
                    </w:rPr>
                    <w:t>Airlines report Q2 2026 earnings with fuel cost guidance unchanged from pre-crisis levels, confirming hedge books are holding longer than the bear case assumes and the earnings impact is being deferred beyond the thesis window.</w:t>
                  </w:r>
                </w:p>
              </w:tc>
            </w:tr>
          </w:tbl>
          <w:p w14:paraId="685B973A" w14:textId="77777777" w:rsidR="00D60688" w:rsidRDefault="00D60688"/>
        </w:tc>
      </w:tr>
    </w:tbl>
    <w:p w14:paraId="5EA96D5F" w14:textId="77777777" w:rsidR="00D60688" w:rsidRDefault="00D60688">
      <w:pPr>
        <w:sectPr w:rsidR="00D60688">
          <w:headerReference w:type="default" r:id="rId14"/>
          <w:footerReference w:type="default" r:id="rId15"/>
          <w:pgSz w:w="12240" w:h="15840"/>
          <w:pgMar w:top="720" w:right="720" w:bottom="720" w:left="720" w:header="708" w:footer="708" w:gutter="0"/>
          <w:cols w:space="720"/>
          <w:docGrid w:linePitch="360"/>
        </w:sectPr>
      </w:pPr>
    </w:p>
    <w:tbl>
      <w:tblPr>
        <w:tblW w:w="10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8900"/>
      </w:tblGrid>
      <w:tr w:rsidR="00D60688" w14:paraId="564FF16D" w14:textId="77777777">
        <w:tc>
          <w:tcPr>
            <w:tcW w:w="1900" w:type="dxa"/>
            <w:tcBorders>
              <w:top w:val="none" w:sz="0" w:space="0" w:color="FFFFFF"/>
              <w:left w:val="none" w:sz="0" w:space="0" w:color="FFFFFF"/>
              <w:bottom w:val="none" w:sz="0" w:space="0" w:color="FFFFFF"/>
              <w:right w:val="single" w:sz="2" w:space="0" w:color="E8E4DC"/>
            </w:tcBorders>
            <w:shd w:val="clear" w:color="auto" w:fill="FAF9F6"/>
            <w:tcMar>
              <w:top w:w="200" w:type="dxa"/>
              <w:left w:w="360" w:type="dxa"/>
              <w:bottom w:w="0" w:type="dxa"/>
              <w:right w:w="280" w:type="dxa"/>
            </w:tcMar>
          </w:tcPr>
          <w:p w14:paraId="24D5C0D0" w14:textId="77777777" w:rsidR="00D60688" w:rsidRDefault="00000000">
            <w:pPr>
              <w:spacing w:after="40" w:line="276" w:lineRule="auto"/>
            </w:pPr>
            <w:r>
              <w:rPr>
                <w:rFonts w:ascii="Calibri" w:eastAsia="Calibri" w:hAnsi="Calibri" w:cs="Calibri"/>
                <w:b/>
                <w:bCs/>
                <w:caps/>
                <w:color w:val="C9A84C"/>
                <w:sz w:val="14"/>
                <w:szCs w:val="14"/>
              </w:rPr>
              <w:lastRenderedPageBreak/>
              <w:t>Currently reading</w:t>
            </w:r>
          </w:p>
          <w:p w14:paraId="3752A33C" w14:textId="77777777" w:rsidR="00D60688" w:rsidRDefault="00000000">
            <w:pPr>
              <w:spacing w:line="276" w:lineRule="auto"/>
            </w:pPr>
            <w:r>
              <w:rPr>
                <w:rFonts w:ascii="Calibri" w:eastAsia="Calibri" w:hAnsi="Calibri" w:cs="Calibri"/>
                <w:b/>
                <w:bCs/>
                <w:color w:val="1B2A4A"/>
                <w:sz w:val="18"/>
                <w:szCs w:val="18"/>
              </w:rPr>
              <w:t>Section 07</w:t>
            </w:r>
          </w:p>
          <w:p w14:paraId="784D0D0F" w14:textId="77777777" w:rsidR="00D60688" w:rsidRDefault="00D60688">
            <w:pPr>
              <w:pBdr>
                <w:bottom w:val="single" w:sz="2" w:space="0" w:color="E8E4DC"/>
              </w:pBdr>
              <w:spacing w:before="100" w:after="100" w:line="276" w:lineRule="auto"/>
            </w:pPr>
          </w:p>
          <w:p w14:paraId="3EFAF79A" w14:textId="77777777"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01  </w:t>
            </w:r>
            <w:r>
              <w:rPr>
                <w:rFonts w:ascii="Calibri" w:eastAsia="Calibri" w:hAnsi="Calibri" w:cs="Calibri"/>
                <w:color w:val="9BAABE"/>
                <w:sz w:val="16"/>
                <w:szCs w:val="16"/>
              </w:rPr>
              <w:t>Macro Setup &amp; Context</w:t>
            </w:r>
          </w:p>
          <w:p w14:paraId="3CF9B23A" w14:textId="77777777"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02  </w:t>
            </w:r>
            <w:r>
              <w:rPr>
                <w:rFonts w:ascii="Calibri" w:eastAsia="Calibri" w:hAnsi="Calibri" w:cs="Calibri"/>
                <w:color w:val="9BAABE"/>
                <w:sz w:val="16"/>
                <w:szCs w:val="16"/>
              </w:rPr>
              <w:t>Transmission Mechanism</w:t>
            </w:r>
          </w:p>
          <w:p w14:paraId="52372865" w14:textId="77777777"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03  </w:t>
            </w:r>
            <w:r>
              <w:rPr>
                <w:rFonts w:ascii="Calibri" w:eastAsia="Calibri" w:hAnsi="Calibri" w:cs="Calibri"/>
                <w:color w:val="9BAABE"/>
                <w:sz w:val="16"/>
                <w:szCs w:val="16"/>
              </w:rPr>
              <w:t>Industry Impact Map</w:t>
            </w:r>
          </w:p>
          <w:p w14:paraId="291595EA" w14:textId="77777777"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04  </w:t>
            </w:r>
            <w:r>
              <w:rPr>
                <w:rFonts w:ascii="Calibri" w:eastAsia="Calibri" w:hAnsi="Calibri" w:cs="Calibri"/>
                <w:color w:val="9BAABE"/>
                <w:sz w:val="16"/>
                <w:szCs w:val="16"/>
              </w:rPr>
              <w:t>Duration &amp; Scenarios</w:t>
            </w:r>
          </w:p>
          <w:p w14:paraId="3C250913" w14:textId="04264151"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05 </w:t>
            </w:r>
            <w:r w:rsidR="0024161E">
              <w:rPr>
                <w:rFonts w:ascii="Calibri" w:eastAsia="Calibri" w:hAnsi="Calibri" w:cs="Calibri"/>
                <w:color w:val="9BAABE"/>
                <w:sz w:val="16"/>
                <w:szCs w:val="16"/>
              </w:rPr>
              <w:t>Public Market Exposure</w:t>
            </w:r>
          </w:p>
          <w:p w14:paraId="73D9FA49" w14:textId="77777777"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06  </w:t>
            </w:r>
            <w:r>
              <w:rPr>
                <w:rFonts w:ascii="Calibri" w:eastAsia="Calibri" w:hAnsi="Calibri" w:cs="Calibri"/>
                <w:color w:val="9BAABE"/>
                <w:sz w:val="16"/>
                <w:szCs w:val="16"/>
              </w:rPr>
              <w:t>Risks &amp; Falsification</w:t>
            </w:r>
          </w:p>
          <w:p w14:paraId="0C63C14D" w14:textId="77777777" w:rsidR="00D60688" w:rsidRDefault="00000000">
            <w:pPr>
              <w:pBdr>
                <w:bottom w:val="single" w:sz="2" w:space="0" w:color="E8E4DC"/>
              </w:pBdr>
              <w:spacing w:line="276" w:lineRule="auto"/>
            </w:pPr>
            <w:r>
              <w:rPr>
                <w:rFonts w:ascii="Calibri" w:eastAsia="Calibri" w:hAnsi="Calibri" w:cs="Calibri"/>
                <w:b/>
                <w:bCs/>
                <w:color w:val="C9A84C"/>
                <w:sz w:val="16"/>
                <w:szCs w:val="16"/>
              </w:rPr>
              <w:t xml:space="preserve">07  </w:t>
            </w:r>
            <w:r>
              <w:rPr>
                <w:rFonts w:ascii="Calibri" w:eastAsia="Calibri" w:hAnsi="Calibri" w:cs="Calibri"/>
                <w:b/>
                <w:bCs/>
                <w:color w:val="1B2A4A"/>
                <w:sz w:val="16"/>
                <w:szCs w:val="16"/>
              </w:rPr>
              <w:t>Data Sources &amp; Citations</w:t>
            </w:r>
          </w:p>
          <w:p w14:paraId="69FB6755" w14:textId="77777777" w:rsidR="00D60688" w:rsidRDefault="00D60688">
            <w:pPr>
              <w:spacing w:after="200" w:line="276" w:lineRule="auto"/>
            </w:pPr>
          </w:p>
          <w:p w14:paraId="6CB82934" w14:textId="77777777" w:rsidR="00D60688" w:rsidRDefault="00000000">
            <w:pPr>
              <w:spacing w:before="120" w:after="30" w:line="276" w:lineRule="auto"/>
            </w:pPr>
            <w:r>
              <w:rPr>
                <w:rFonts w:ascii="Palatino Linotype" w:eastAsia="Palatino Linotype" w:hAnsi="Palatino Linotype" w:cs="Palatino Linotype"/>
                <w:b/>
                <w:bCs/>
                <w:color w:val="1B2A4A"/>
              </w:rPr>
              <w:t>Mary Scott</w:t>
            </w:r>
          </w:p>
          <w:p w14:paraId="70119D5C" w14:textId="77777777" w:rsidR="00D60688" w:rsidRDefault="00000000">
            <w:pPr>
              <w:spacing w:line="276" w:lineRule="auto"/>
            </w:pPr>
            <w:r>
              <w:rPr>
                <w:rFonts w:ascii="Calibri" w:eastAsia="Calibri" w:hAnsi="Calibri" w:cs="Calibri"/>
                <w:color w:val="9BAABE"/>
                <w:sz w:val="16"/>
                <w:szCs w:val="16"/>
              </w:rPr>
              <w:t>Nexus Research</w:t>
            </w:r>
          </w:p>
        </w:tc>
        <w:tc>
          <w:tcPr>
            <w:tcW w:w="8900" w:type="dxa"/>
            <w:tcBorders>
              <w:top w:val="none" w:sz="0" w:space="0" w:color="FFFFFF"/>
              <w:left w:val="none" w:sz="0" w:space="0" w:color="FFFFFF"/>
              <w:bottom w:val="none" w:sz="0" w:space="0" w:color="FFFFFF"/>
              <w:right w:val="none" w:sz="0" w:space="0" w:color="FFFFFF"/>
            </w:tcBorders>
            <w:tcMar>
              <w:top w:w="200" w:type="dxa"/>
              <w:left w:w="360" w:type="dxa"/>
              <w:bottom w:w="200" w:type="dxa"/>
              <w:right w:w="360" w:type="dxa"/>
            </w:tcMar>
          </w:tcPr>
          <w:p w14:paraId="6ECEBACB" w14:textId="77777777" w:rsidR="00D60688" w:rsidRDefault="00000000">
            <w:pPr>
              <w:spacing w:before="120" w:after="40" w:line="276" w:lineRule="auto"/>
            </w:pPr>
            <w:r>
              <w:rPr>
                <w:rFonts w:ascii="Calibri" w:eastAsia="Calibri" w:hAnsi="Calibri" w:cs="Calibri"/>
                <w:b/>
                <w:bCs/>
                <w:color w:val="C9A84C"/>
                <w:sz w:val="16"/>
                <w:szCs w:val="16"/>
              </w:rPr>
              <w:t>07 · DATA SOURCES &amp; CITATIONS</w:t>
            </w:r>
          </w:p>
          <w:p w14:paraId="0BE0FF00" w14:textId="77777777" w:rsidR="00D60688" w:rsidRDefault="00000000">
            <w:pPr>
              <w:pBdr>
                <w:bottom w:val="single" w:sz="2" w:space="0" w:color="E8E4DC"/>
              </w:pBdr>
              <w:spacing w:after="120" w:line="276" w:lineRule="auto"/>
            </w:pPr>
            <w:r>
              <w:rPr>
                <w:rFonts w:ascii="Palatino Linotype" w:eastAsia="Palatino Linotype" w:hAnsi="Palatino Linotype" w:cs="Palatino Linotype"/>
                <w:b/>
                <w:bCs/>
                <w:color w:val="1B2A4A"/>
                <w:sz w:val="28"/>
                <w:szCs w:val="28"/>
              </w:rPr>
              <w:t>Data Sources &amp; Citations</w:t>
            </w:r>
          </w:p>
          <w:p w14:paraId="51A36336" w14:textId="77777777" w:rsidR="00D60688" w:rsidRDefault="00000000">
            <w:pPr>
              <w:spacing w:after="200" w:line="276" w:lineRule="auto"/>
            </w:pPr>
            <w:r>
              <w:rPr>
                <w:rFonts w:ascii="Calibri" w:eastAsia="Calibri" w:hAnsi="Calibri" w:cs="Calibri"/>
                <w:i/>
                <w:iCs/>
                <w:color w:val="9BAABE"/>
                <w:sz w:val="18"/>
                <w:szCs w:val="18"/>
              </w:rPr>
              <w:t>All specific data points cited inline throughout this note are sourced below. Inline citations follow the convention: (Source Name, Date). Recurring data sources used across sections are listed first; specific claim-level citations follow.</w:t>
            </w:r>
          </w:p>
          <w:p w14:paraId="04220203" w14:textId="77777777" w:rsidR="00D60688" w:rsidRDefault="00000000">
            <w:pPr>
              <w:spacing w:before="80" w:after="100" w:line="276" w:lineRule="auto"/>
            </w:pPr>
            <w:r>
              <w:rPr>
                <w:rFonts w:ascii="Calibri" w:eastAsia="Calibri" w:hAnsi="Calibri" w:cs="Calibri"/>
                <w:b/>
                <w:bCs/>
                <w:color w:val="1B2A4A"/>
              </w:rPr>
              <w:t>A  Recurring Data Sources</w:t>
            </w:r>
          </w:p>
          <w:tbl>
            <w:tblPr>
              <w:tblW w:w="81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980"/>
            </w:tblGrid>
            <w:tr w:rsidR="00D60688" w14:paraId="61880307" w14:textId="77777777">
              <w:tc>
                <w:tcPr>
                  <w:tcW w:w="3200" w:type="dxa"/>
                  <w:tcBorders>
                    <w:top w:val="none" w:sz="0" w:space="0" w:color="FFFFFF"/>
                    <w:left w:val="none" w:sz="0" w:space="0" w:color="FFFFFF"/>
                    <w:bottom w:val="single" w:sz="8" w:space="0" w:color="1B2A4A"/>
                    <w:right w:val="none" w:sz="0" w:space="0" w:color="FFFFFF"/>
                  </w:tcBorders>
                  <w:tcMar>
                    <w:top w:w="80" w:type="dxa"/>
                    <w:left w:w="0" w:type="dxa"/>
                    <w:bottom w:w="80" w:type="dxa"/>
                    <w:right w:w="80" w:type="dxa"/>
                  </w:tcMar>
                </w:tcPr>
                <w:p w14:paraId="27B3D614" w14:textId="77777777" w:rsidR="00D60688" w:rsidRDefault="00000000">
                  <w:pPr>
                    <w:spacing w:line="276" w:lineRule="auto"/>
                  </w:pPr>
                  <w:r>
                    <w:rPr>
                      <w:rFonts w:ascii="Calibri" w:eastAsia="Calibri" w:hAnsi="Calibri" w:cs="Calibri"/>
                      <w:b/>
                      <w:bCs/>
                      <w:caps/>
                      <w:color w:val="9BAABE"/>
                      <w:sz w:val="14"/>
                      <w:szCs w:val="14"/>
                    </w:rPr>
                    <w:t>Source</w:t>
                  </w:r>
                </w:p>
              </w:tc>
              <w:tc>
                <w:tcPr>
                  <w:tcW w:w="4980" w:type="dxa"/>
                  <w:tcBorders>
                    <w:top w:val="none" w:sz="0" w:space="0" w:color="FFFFFF"/>
                    <w:left w:val="none" w:sz="0" w:space="0" w:color="FFFFFF"/>
                    <w:bottom w:val="single" w:sz="8" w:space="0" w:color="1B2A4A"/>
                    <w:right w:val="none" w:sz="0" w:space="0" w:color="FFFFFF"/>
                  </w:tcBorders>
                  <w:tcMar>
                    <w:top w:w="80" w:type="dxa"/>
                    <w:left w:w="0" w:type="dxa"/>
                    <w:bottom w:w="80" w:type="dxa"/>
                    <w:right w:w="80" w:type="dxa"/>
                  </w:tcMar>
                </w:tcPr>
                <w:p w14:paraId="39287E74" w14:textId="77777777" w:rsidR="00D60688" w:rsidRDefault="00000000">
                  <w:pPr>
                    <w:spacing w:line="276" w:lineRule="auto"/>
                  </w:pPr>
                  <w:r>
                    <w:rPr>
                      <w:rFonts w:ascii="Calibri" w:eastAsia="Calibri" w:hAnsi="Calibri" w:cs="Calibri"/>
                      <w:b/>
                      <w:bCs/>
                      <w:caps/>
                      <w:color w:val="9BAABE"/>
                      <w:sz w:val="14"/>
                      <w:szCs w:val="14"/>
                    </w:rPr>
                    <w:t>Coverage &amp; Frequency</w:t>
                  </w:r>
                </w:p>
              </w:tc>
            </w:tr>
            <w:tr w:rsidR="00D60688" w14:paraId="136EC058" w14:textId="77777777">
              <w:tc>
                <w:tcPr>
                  <w:tcW w:w="320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39E90A0C" w14:textId="77777777" w:rsidR="00D60688" w:rsidRDefault="00000000">
                  <w:pPr>
                    <w:spacing w:line="276" w:lineRule="auto"/>
                  </w:pPr>
                  <w:r>
                    <w:rPr>
                      <w:rFonts w:ascii="Calibri" w:eastAsia="Calibri" w:hAnsi="Calibri" w:cs="Calibri"/>
                      <w:b/>
                      <w:bCs/>
                      <w:color w:val="1B2A4A"/>
                      <w:sz w:val="18"/>
                      <w:szCs w:val="18"/>
                    </w:rPr>
                    <w:t>EIA Weekly Petroleum Status Report</w:t>
                  </w:r>
                </w:p>
              </w:tc>
              <w:tc>
                <w:tcPr>
                  <w:tcW w:w="4980" w:type="dxa"/>
                  <w:tcBorders>
                    <w:top w:val="none" w:sz="0" w:space="0" w:color="FFFFFF"/>
                    <w:left w:val="none" w:sz="0" w:space="0" w:color="FFFFFF"/>
                    <w:bottom w:val="single" w:sz="2" w:space="0" w:color="E8E4DC"/>
                    <w:right w:val="none" w:sz="0" w:space="0" w:color="FFFFFF"/>
                  </w:tcBorders>
                  <w:tcMar>
                    <w:top w:w="100" w:type="dxa"/>
                    <w:left w:w="0" w:type="dxa"/>
                    <w:bottom w:w="100" w:type="dxa"/>
                    <w:right w:w="0" w:type="dxa"/>
                  </w:tcMar>
                </w:tcPr>
                <w:p w14:paraId="3C33346B" w14:textId="77777777" w:rsidR="00D60688" w:rsidRDefault="00000000">
                  <w:pPr>
                    <w:spacing w:line="276" w:lineRule="auto"/>
                  </w:pPr>
                  <w:r>
                    <w:rPr>
                      <w:rFonts w:ascii="Calibri" w:eastAsia="Calibri" w:hAnsi="Calibri" w:cs="Calibri"/>
                      <w:i/>
                      <w:iCs/>
                      <w:color w:val="2A2A2A"/>
                      <w:sz w:val="18"/>
                      <w:szCs w:val="18"/>
                    </w:rPr>
                    <w:t>U.S. crude inventories, SPR levels, Cushing storage, product stocks. Released every Wednesday at 10:30am ET.</w:t>
                  </w:r>
                </w:p>
              </w:tc>
            </w:tr>
            <w:tr w:rsidR="007F43A9" w14:paraId="6828D697" w14:textId="77777777">
              <w:tc>
                <w:tcPr>
                  <w:tcW w:w="320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2AFCB58F" w14:textId="35573643" w:rsidR="007F43A9" w:rsidRDefault="007F43A9">
                  <w:pPr>
                    <w:spacing w:line="276" w:lineRule="auto"/>
                    <w:rPr>
                      <w:rFonts w:ascii="Calibri" w:eastAsia="Calibri" w:hAnsi="Calibri" w:cs="Calibri"/>
                      <w:b/>
                      <w:bCs/>
                      <w:color w:val="1B2A4A"/>
                      <w:sz w:val="18"/>
                      <w:szCs w:val="18"/>
                    </w:rPr>
                  </w:pPr>
                  <w:r w:rsidRPr="007F43A9">
                    <w:rPr>
                      <w:rFonts w:ascii="Calibri" w:eastAsia="Calibri" w:hAnsi="Calibri" w:cs="Calibri"/>
                      <w:b/>
                      <w:bCs/>
                      <w:color w:val="1B2A4A"/>
                      <w:sz w:val="18"/>
                      <w:szCs w:val="18"/>
                    </w:rPr>
                    <w:t>EIA World Oil Transit Chokepoints</w:t>
                  </w:r>
                </w:p>
              </w:tc>
              <w:tc>
                <w:tcPr>
                  <w:tcW w:w="4980" w:type="dxa"/>
                  <w:tcBorders>
                    <w:top w:val="none" w:sz="0" w:space="0" w:color="FFFFFF"/>
                    <w:left w:val="none" w:sz="0" w:space="0" w:color="FFFFFF"/>
                    <w:bottom w:val="single" w:sz="2" w:space="0" w:color="E8E4DC"/>
                    <w:right w:val="none" w:sz="0" w:space="0" w:color="FFFFFF"/>
                  </w:tcBorders>
                  <w:tcMar>
                    <w:top w:w="100" w:type="dxa"/>
                    <w:left w:w="0" w:type="dxa"/>
                    <w:bottom w:w="100" w:type="dxa"/>
                    <w:right w:w="0" w:type="dxa"/>
                  </w:tcMar>
                </w:tcPr>
                <w:p w14:paraId="3BCDFB27" w14:textId="5177879E" w:rsidR="007F43A9" w:rsidRDefault="007F43A9">
                  <w:pPr>
                    <w:spacing w:line="276" w:lineRule="auto"/>
                    <w:rPr>
                      <w:rFonts w:ascii="Calibri" w:eastAsia="Calibri" w:hAnsi="Calibri" w:cs="Calibri"/>
                      <w:i/>
                      <w:iCs/>
                      <w:color w:val="2A2A2A"/>
                      <w:sz w:val="18"/>
                      <w:szCs w:val="18"/>
                    </w:rPr>
                  </w:pPr>
                  <w:r w:rsidRPr="007F43A9">
                    <w:rPr>
                      <w:rFonts w:ascii="Calibri" w:eastAsia="Calibri" w:hAnsi="Calibri" w:cs="Calibri"/>
                      <w:i/>
                      <w:iCs/>
                      <w:color w:val="2A2A2A"/>
                      <w:sz w:val="18"/>
                      <w:szCs w:val="18"/>
                    </w:rPr>
                    <w:t>Strait of Hormuz transit volumes and global oil flow dependency</w:t>
                  </w:r>
                </w:p>
              </w:tc>
            </w:tr>
            <w:tr w:rsidR="007F43A9" w14:paraId="59BC9BEA" w14:textId="77777777">
              <w:tc>
                <w:tcPr>
                  <w:tcW w:w="320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470119D6" w14:textId="13A91F82" w:rsidR="007F43A9" w:rsidRPr="007F43A9" w:rsidRDefault="007F43A9">
                  <w:pPr>
                    <w:spacing w:line="276" w:lineRule="auto"/>
                    <w:rPr>
                      <w:rFonts w:ascii="Calibri" w:eastAsia="Calibri" w:hAnsi="Calibri" w:cs="Calibri"/>
                      <w:b/>
                      <w:bCs/>
                      <w:color w:val="1B2A4A"/>
                      <w:sz w:val="18"/>
                      <w:szCs w:val="18"/>
                    </w:rPr>
                  </w:pPr>
                  <w:r w:rsidRPr="007F43A9">
                    <w:rPr>
                      <w:rFonts w:ascii="Calibri" w:eastAsia="Calibri" w:hAnsi="Calibri" w:cs="Calibri"/>
                      <w:b/>
                      <w:bCs/>
                      <w:color w:val="1B2A4A"/>
                      <w:sz w:val="18"/>
                      <w:szCs w:val="18"/>
                    </w:rPr>
                    <w:t xml:space="preserve">IMF </w:t>
                  </w:r>
                  <w:proofErr w:type="spellStart"/>
                  <w:r w:rsidRPr="007F43A9">
                    <w:rPr>
                      <w:rFonts w:ascii="Calibri" w:eastAsia="Calibri" w:hAnsi="Calibri" w:cs="Calibri"/>
                      <w:b/>
                      <w:bCs/>
                      <w:color w:val="1B2A4A"/>
                      <w:sz w:val="18"/>
                      <w:szCs w:val="18"/>
                    </w:rPr>
                    <w:t>PortWatch</w:t>
                  </w:r>
                  <w:proofErr w:type="spellEnd"/>
                </w:p>
              </w:tc>
              <w:tc>
                <w:tcPr>
                  <w:tcW w:w="4980" w:type="dxa"/>
                  <w:tcBorders>
                    <w:top w:val="none" w:sz="0" w:space="0" w:color="FFFFFF"/>
                    <w:left w:val="none" w:sz="0" w:space="0" w:color="FFFFFF"/>
                    <w:bottom w:val="single" w:sz="2" w:space="0" w:color="E8E4DC"/>
                    <w:right w:val="none" w:sz="0" w:space="0" w:color="FFFFFF"/>
                  </w:tcBorders>
                  <w:tcMar>
                    <w:top w:w="100" w:type="dxa"/>
                    <w:left w:w="0" w:type="dxa"/>
                    <w:bottom w:w="100" w:type="dxa"/>
                    <w:right w:w="0" w:type="dxa"/>
                  </w:tcMar>
                </w:tcPr>
                <w:p w14:paraId="1048F3C6" w14:textId="208621A1" w:rsidR="007F43A9" w:rsidRPr="007F43A9" w:rsidRDefault="007F43A9">
                  <w:pPr>
                    <w:spacing w:line="276" w:lineRule="auto"/>
                    <w:rPr>
                      <w:rFonts w:ascii="Calibri" w:eastAsia="Calibri" w:hAnsi="Calibri" w:cs="Calibri"/>
                      <w:i/>
                      <w:iCs/>
                      <w:color w:val="2A2A2A"/>
                      <w:sz w:val="18"/>
                      <w:szCs w:val="18"/>
                    </w:rPr>
                  </w:pPr>
                  <w:r w:rsidRPr="007F43A9">
                    <w:rPr>
                      <w:rFonts w:ascii="Calibri" w:eastAsia="Calibri" w:hAnsi="Calibri" w:cs="Calibri"/>
                      <w:i/>
                      <w:iCs/>
                      <w:color w:val="2A2A2A"/>
                      <w:sz w:val="18"/>
                      <w:szCs w:val="18"/>
                    </w:rPr>
                    <w:t>Vessel traffic, maritime disruptions, shipping activity</w:t>
                  </w:r>
                </w:p>
              </w:tc>
            </w:tr>
            <w:tr w:rsidR="007F43A9" w14:paraId="4A2C425E" w14:textId="77777777">
              <w:tc>
                <w:tcPr>
                  <w:tcW w:w="320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784A6ADD" w14:textId="45BFDC3D" w:rsidR="007F43A9" w:rsidRPr="007F43A9" w:rsidRDefault="007F43A9" w:rsidP="007F43A9">
                  <w:pPr>
                    <w:spacing w:line="276" w:lineRule="auto"/>
                    <w:rPr>
                      <w:rFonts w:ascii="Calibri" w:eastAsia="Calibri" w:hAnsi="Calibri" w:cs="Calibri"/>
                      <w:b/>
                      <w:bCs/>
                      <w:color w:val="1B2A4A"/>
                      <w:sz w:val="18"/>
                      <w:szCs w:val="18"/>
                    </w:rPr>
                  </w:pPr>
                  <w:r>
                    <w:rPr>
                      <w:rFonts w:ascii="Calibri" w:eastAsia="Calibri" w:hAnsi="Calibri" w:cs="Calibri"/>
                      <w:b/>
                      <w:bCs/>
                      <w:color w:val="1B2A4A"/>
                      <w:sz w:val="18"/>
                      <w:szCs w:val="18"/>
                    </w:rPr>
                    <w:t>IEA Oil Market Report</w:t>
                  </w:r>
                </w:p>
              </w:tc>
              <w:tc>
                <w:tcPr>
                  <w:tcW w:w="4980" w:type="dxa"/>
                  <w:tcBorders>
                    <w:top w:val="none" w:sz="0" w:space="0" w:color="FFFFFF"/>
                    <w:left w:val="none" w:sz="0" w:space="0" w:color="FFFFFF"/>
                    <w:bottom w:val="single" w:sz="2" w:space="0" w:color="E8E4DC"/>
                    <w:right w:val="none" w:sz="0" w:space="0" w:color="FFFFFF"/>
                  </w:tcBorders>
                  <w:tcMar>
                    <w:top w:w="100" w:type="dxa"/>
                    <w:left w:w="0" w:type="dxa"/>
                    <w:bottom w:w="100" w:type="dxa"/>
                    <w:right w:w="0" w:type="dxa"/>
                  </w:tcMar>
                </w:tcPr>
                <w:p w14:paraId="59F29433" w14:textId="6C70FCBB" w:rsidR="007F43A9" w:rsidRPr="007F43A9" w:rsidRDefault="007F43A9" w:rsidP="007F43A9">
                  <w:pPr>
                    <w:spacing w:line="276" w:lineRule="auto"/>
                    <w:rPr>
                      <w:rFonts w:ascii="Calibri" w:eastAsia="Calibri" w:hAnsi="Calibri" w:cs="Calibri"/>
                      <w:i/>
                      <w:iCs/>
                      <w:color w:val="2A2A2A"/>
                      <w:sz w:val="18"/>
                      <w:szCs w:val="18"/>
                    </w:rPr>
                  </w:pPr>
                  <w:r>
                    <w:rPr>
                      <w:rFonts w:ascii="Calibri" w:eastAsia="Calibri" w:hAnsi="Calibri" w:cs="Calibri"/>
                      <w:i/>
                      <w:iCs/>
                      <w:color w:val="2A2A2A"/>
                      <w:sz w:val="18"/>
                      <w:szCs w:val="18"/>
                    </w:rPr>
                    <w:t>Global supply and demand balances, emergency stock levels, price analysis. Monthly.</w:t>
                  </w:r>
                </w:p>
              </w:tc>
            </w:tr>
            <w:tr w:rsidR="007F43A9" w14:paraId="7A40ABEB" w14:textId="77777777">
              <w:tc>
                <w:tcPr>
                  <w:tcW w:w="320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1AD5B0C9" w14:textId="77777777" w:rsidR="007F43A9" w:rsidRDefault="007F43A9" w:rsidP="007F43A9">
                  <w:pPr>
                    <w:spacing w:line="276" w:lineRule="auto"/>
                  </w:pPr>
                  <w:r>
                    <w:rPr>
                      <w:rFonts w:ascii="Calibri" w:eastAsia="Calibri" w:hAnsi="Calibri" w:cs="Calibri"/>
                      <w:b/>
                      <w:bCs/>
                      <w:color w:val="1B2A4A"/>
                      <w:sz w:val="18"/>
                      <w:szCs w:val="18"/>
                    </w:rPr>
                    <w:t>Federal Reserve Economic Data (FRED)</w:t>
                  </w:r>
                </w:p>
              </w:tc>
              <w:tc>
                <w:tcPr>
                  <w:tcW w:w="4980" w:type="dxa"/>
                  <w:tcBorders>
                    <w:top w:val="none" w:sz="0" w:space="0" w:color="FFFFFF"/>
                    <w:left w:val="none" w:sz="0" w:space="0" w:color="FFFFFF"/>
                    <w:bottom w:val="single" w:sz="2" w:space="0" w:color="E8E4DC"/>
                    <w:right w:val="none" w:sz="0" w:space="0" w:color="FFFFFF"/>
                  </w:tcBorders>
                  <w:tcMar>
                    <w:top w:w="100" w:type="dxa"/>
                    <w:left w:w="0" w:type="dxa"/>
                    <w:bottom w:w="100" w:type="dxa"/>
                    <w:right w:w="0" w:type="dxa"/>
                  </w:tcMar>
                </w:tcPr>
                <w:p w14:paraId="12EBC712" w14:textId="77777777" w:rsidR="007F43A9" w:rsidRDefault="007F43A9" w:rsidP="007F43A9">
                  <w:pPr>
                    <w:spacing w:line="276" w:lineRule="auto"/>
                  </w:pPr>
                  <w:r>
                    <w:rPr>
                      <w:rFonts w:ascii="Calibri" w:eastAsia="Calibri" w:hAnsi="Calibri" w:cs="Calibri"/>
                      <w:i/>
                      <w:iCs/>
                      <w:color w:val="2A2A2A"/>
                      <w:sz w:val="18"/>
                      <w:szCs w:val="18"/>
                    </w:rPr>
                    <w:t>Macro indicators, interest rates, money supply, credit conditions. St. Louis Fed. Continuous.</w:t>
                  </w:r>
                </w:p>
              </w:tc>
            </w:tr>
            <w:tr w:rsidR="007F43A9" w14:paraId="6C773C71" w14:textId="77777777">
              <w:tc>
                <w:tcPr>
                  <w:tcW w:w="320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5ABE57C4" w14:textId="113A425A" w:rsidR="007F43A9" w:rsidRDefault="007F43A9" w:rsidP="007F43A9">
                  <w:pPr>
                    <w:spacing w:line="276" w:lineRule="auto"/>
                    <w:rPr>
                      <w:rFonts w:ascii="Calibri" w:eastAsia="Calibri" w:hAnsi="Calibri" w:cs="Calibri"/>
                      <w:b/>
                      <w:bCs/>
                      <w:color w:val="1B2A4A"/>
                      <w:sz w:val="18"/>
                      <w:szCs w:val="18"/>
                    </w:rPr>
                  </w:pPr>
                  <w:r>
                    <w:rPr>
                      <w:rFonts w:ascii="Calibri" w:eastAsia="Calibri" w:hAnsi="Calibri" w:cs="Calibri"/>
                      <w:b/>
                      <w:bCs/>
                      <w:color w:val="1B2A4A"/>
                      <w:sz w:val="18"/>
                      <w:szCs w:val="18"/>
                    </w:rPr>
                    <w:t>Conference Board Leading Economic Index</w:t>
                  </w:r>
                </w:p>
              </w:tc>
              <w:tc>
                <w:tcPr>
                  <w:tcW w:w="4980" w:type="dxa"/>
                  <w:tcBorders>
                    <w:top w:val="none" w:sz="0" w:space="0" w:color="FFFFFF"/>
                    <w:left w:val="none" w:sz="0" w:space="0" w:color="FFFFFF"/>
                    <w:bottom w:val="single" w:sz="2" w:space="0" w:color="E8E4DC"/>
                    <w:right w:val="none" w:sz="0" w:space="0" w:color="FFFFFF"/>
                  </w:tcBorders>
                  <w:tcMar>
                    <w:top w:w="100" w:type="dxa"/>
                    <w:left w:w="0" w:type="dxa"/>
                    <w:bottom w:w="100" w:type="dxa"/>
                    <w:right w:w="0" w:type="dxa"/>
                  </w:tcMar>
                </w:tcPr>
                <w:p w14:paraId="5339D397" w14:textId="45D33F31" w:rsidR="007F43A9" w:rsidRDefault="007F43A9" w:rsidP="007F43A9">
                  <w:pPr>
                    <w:spacing w:line="276" w:lineRule="auto"/>
                    <w:rPr>
                      <w:rFonts w:ascii="Calibri" w:eastAsia="Calibri" w:hAnsi="Calibri" w:cs="Calibri"/>
                      <w:i/>
                      <w:iCs/>
                      <w:color w:val="2A2A2A"/>
                      <w:sz w:val="18"/>
                      <w:szCs w:val="18"/>
                    </w:rPr>
                  </w:pPr>
                  <w:r>
                    <w:rPr>
                      <w:rFonts w:ascii="Calibri" w:eastAsia="Calibri" w:hAnsi="Calibri" w:cs="Calibri"/>
                      <w:i/>
                      <w:iCs/>
                      <w:color w:val="2A2A2A"/>
                      <w:sz w:val="18"/>
                      <w:szCs w:val="18"/>
                    </w:rPr>
                    <w:t>U.S. leading, coincident, and lagging indicators. Monthly.</w:t>
                  </w:r>
                </w:p>
              </w:tc>
            </w:tr>
            <w:tr w:rsidR="007F43A9" w14:paraId="32258A55" w14:textId="77777777">
              <w:tc>
                <w:tcPr>
                  <w:tcW w:w="320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13609013" w14:textId="77777777" w:rsidR="007F43A9" w:rsidRDefault="007F43A9" w:rsidP="007F43A9">
                  <w:pPr>
                    <w:spacing w:line="276" w:lineRule="auto"/>
                  </w:pPr>
                  <w:r>
                    <w:rPr>
                      <w:rFonts w:ascii="Calibri" w:eastAsia="Calibri" w:hAnsi="Calibri" w:cs="Calibri"/>
                      <w:b/>
                      <w:bCs/>
                      <w:color w:val="1B2A4A"/>
                      <w:sz w:val="18"/>
                      <w:szCs w:val="18"/>
                    </w:rPr>
                    <w:t>Congressional Research Service</w:t>
                  </w:r>
                </w:p>
              </w:tc>
              <w:tc>
                <w:tcPr>
                  <w:tcW w:w="4980" w:type="dxa"/>
                  <w:tcBorders>
                    <w:top w:val="none" w:sz="0" w:space="0" w:color="FFFFFF"/>
                    <w:left w:val="none" w:sz="0" w:space="0" w:color="FFFFFF"/>
                    <w:bottom w:val="single" w:sz="2" w:space="0" w:color="E8E4DC"/>
                    <w:right w:val="none" w:sz="0" w:space="0" w:color="FFFFFF"/>
                  </w:tcBorders>
                  <w:tcMar>
                    <w:top w:w="100" w:type="dxa"/>
                    <w:left w:w="0" w:type="dxa"/>
                    <w:bottom w:w="100" w:type="dxa"/>
                    <w:right w:w="0" w:type="dxa"/>
                  </w:tcMar>
                </w:tcPr>
                <w:p w14:paraId="7A83ECEF" w14:textId="77777777" w:rsidR="007F43A9" w:rsidRDefault="007F43A9" w:rsidP="007F43A9">
                  <w:pPr>
                    <w:spacing w:line="276" w:lineRule="auto"/>
                  </w:pPr>
                  <w:r>
                    <w:rPr>
                      <w:rFonts w:ascii="Calibri" w:eastAsia="Calibri" w:hAnsi="Calibri" w:cs="Calibri"/>
                      <w:i/>
                      <w:iCs/>
                      <w:color w:val="2A2A2A"/>
                      <w:sz w:val="18"/>
                      <w:szCs w:val="18"/>
                    </w:rPr>
                    <w:t>Geopolitical and policy analysis on energy security and the Strait of Hormuz.</w:t>
                  </w:r>
                </w:p>
              </w:tc>
            </w:tr>
            <w:tr w:rsidR="007F43A9" w14:paraId="6631BB46" w14:textId="77777777">
              <w:tc>
                <w:tcPr>
                  <w:tcW w:w="3200"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0DC84956" w14:textId="48DA2265" w:rsidR="007F43A9" w:rsidRDefault="007F43A9" w:rsidP="007F43A9">
                  <w:pPr>
                    <w:spacing w:line="276" w:lineRule="auto"/>
                  </w:pPr>
                  <w:r>
                    <w:rPr>
                      <w:rFonts w:ascii="Calibri" w:eastAsia="Calibri" w:hAnsi="Calibri" w:cs="Calibri"/>
                      <w:b/>
                      <w:bCs/>
                      <w:color w:val="1B2A4A"/>
                      <w:sz w:val="18"/>
                      <w:szCs w:val="18"/>
                    </w:rPr>
                    <w:t>Axios / Reuters / CNN</w:t>
                  </w:r>
                </w:p>
              </w:tc>
              <w:tc>
                <w:tcPr>
                  <w:tcW w:w="4980" w:type="dxa"/>
                  <w:tcBorders>
                    <w:top w:val="none" w:sz="0" w:space="0" w:color="FFFFFF"/>
                    <w:left w:val="none" w:sz="0" w:space="0" w:color="FFFFFF"/>
                    <w:bottom w:val="single" w:sz="2" w:space="0" w:color="E8E4DC"/>
                    <w:right w:val="none" w:sz="0" w:space="0" w:color="FFFFFF"/>
                  </w:tcBorders>
                  <w:tcMar>
                    <w:top w:w="100" w:type="dxa"/>
                    <w:left w:w="0" w:type="dxa"/>
                    <w:bottom w:w="100" w:type="dxa"/>
                    <w:right w:w="0" w:type="dxa"/>
                  </w:tcMar>
                </w:tcPr>
                <w:p w14:paraId="57B21739" w14:textId="77777777" w:rsidR="007F43A9" w:rsidRDefault="007F43A9" w:rsidP="007F43A9">
                  <w:pPr>
                    <w:spacing w:line="276" w:lineRule="auto"/>
                  </w:pPr>
                  <w:r>
                    <w:rPr>
                      <w:rFonts w:ascii="Calibri" w:eastAsia="Calibri" w:hAnsi="Calibri" w:cs="Calibri"/>
                      <w:i/>
                      <w:iCs/>
                      <w:color w:val="2A2A2A"/>
                      <w:sz w:val="18"/>
                      <w:szCs w:val="18"/>
                    </w:rPr>
                    <w:t>Breaking diplomatic developments, MOU negotiations, ceasefire status. Continuous.</w:t>
                  </w:r>
                </w:p>
              </w:tc>
            </w:tr>
          </w:tbl>
          <w:p w14:paraId="1CEA56E8" w14:textId="77777777" w:rsidR="00D60688" w:rsidRDefault="00D60688">
            <w:pPr>
              <w:spacing w:after="200" w:line="276" w:lineRule="auto"/>
            </w:pPr>
          </w:p>
          <w:p w14:paraId="6514BA07" w14:textId="77777777" w:rsidR="00D60688" w:rsidRDefault="00000000">
            <w:pPr>
              <w:spacing w:before="80" w:after="100" w:line="276" w:lineRule="auto"/>
            </w:pPr>
            <w:r>
              <w:rPr>
                <w:rFonts w:ascii="Calibri" w:eastAsia="Calibri" w:hAnsi="Calibri" w:cs="Calibri"/>
                <w:b/>
                <w:bCs/>
                <w:color w:val="1B2A4A"/>
              </w:rPr>
              <w:t>B  Specific Citations</w:t>
            </w:r>
          </w:p>
          <w:tbl>
            <w:tblPr>
              <w:tblW w:w="81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3"/>
              <w:gridCol w:w="2291"/>
              <w:gridCol w:w="2216"/>
            </w:tblGrid>
            <w:tr w:rsidR="00D60688" w14:paraId="3E6DB430" w14:textId="77777777" w:rsidTr="007F43A9">
              <w:tc>
                <w:tcPr>
                  <w:tcW w:w="3673" w:type="dxa"/>
                  <w:tcBorders>
                    <w:top w:val="none" w:sz="0" w:space="0" w:color="FFFFFF"/>
                    <w:left w:val="none" w:sz="0" w:space="0" w:color="FFFFFF"/>
                    <w:bottom w:val="single" w:sz="8" w:space="0" w:color="1B2A4A"/>
                    <w:right w:val="none" w:sz="0" w:space="0" w:color="FFFFFF"/>
                  </w:tcBorders>
                  <w:tcMar>
                    <w:top w:w="80" w:type="dxa"/>
                    <w:left w:w="0" w:type="dxa"/>
                    <w:bottom w:w="80" w:type="dxa"/>
                    <w:right w:w="80" w:type="dxa"/>
                  </w:tcMar>
                </w:tcPr>
                <w:p w14:paraId="67317DC6" w14:textId="77777777" w:rsidR="00D60688" w:rsidRDefault="00000000">
                  <w:pPr>
                    <w:spacing w:line="276" w:lineRule="auto"/>
                  </w:pPr>
                  <w:r>
                    <w:rPr>
                      <w:rFonts w:ascii="Calibri" w:eastAsia="Calibri" w:hAnsi="Calibri" w:cs="Calibri"/>
                      <w:b/>
                      <w:bCs/>
                      <w:caps/>
                      <w:color w:val="9BAABE"/>
                      <w:sz w:val="14"/>
                      <w:szCs w:val="14"/>
                    </w:rPr>
                    <w:t>Claim / Data Point</w:t>
                  </w:r>
                </w:p>
              </w:tc>
              <w:tc>
                <w:tcPr>
                  <w:tcW w:w="2291" w:type="dxa"/>
                  <w:tcBorders>
                    <w:top w:val="none" w:sz="0" w:space="0" w:color="FFFFFF"/>
                    <w:left w:val="none" w:sz="0" w:space="0" w:color="FFFFFF"/>
                    <w:bottom w:val="single" w:sz="8" w:space="0" w:color="1B2A4A"/>
                    <w:right w:val="none" w:sz="0" w:space="0" w:color="FFFFFF"/>
                  </w:tcBorders>
                  <w:tcMar>
                    <w:top w:w="80" w:type="dxa"/>
                    <w:left w:w="0" w:type="dxa"/>
                    <w:bottom w:w="80" w:type="dxa"/>
                    <w:right w:w="80" w:type="dxa"/>
                  </w:tcMar>
                </w:tcPr>
                <w:p w14:paraId="70B30FF6" w14:textId="77777777" w:rsidR="00D60688" w:rsidRDefault="00000000">
                  <w:pPr>
                    <w:spacing w:line="276" w:lineRule="auto"/>
                  </w:pPr>
                  <w:r>
                    <w:rPr>
                      <w:rFonts w:ascii="Calibri" w:eastAsia="Calibri" w:hAnsi="Calibri" w:cs="Calibri"/>
                      <w:b/>
                      <w:bCs/>
                      <w:caps/>
                      <w:color w:val="9BAABE"/>
                      <w:sz w:val="14"/>
                      <w:szCs w:val="14"/>
                    </w:rPr>
                    <w:t>Source</w:t>
                  </w:r>
                </w:p>
              </w:tc>
              <w:tc>
                <w:tcPr>
                  <w:tcW w:w="2216" w:type="dxa"/>
                  <w:tcBorders>
                    <w:top w:val="none" w:sz="0" w:space="0" w:color="FFFFFF"/>
                    <w:left w:val="none" w:sz="0" w:space="0" w:color="FFFFFF"/>
                    <w:bottom w:val="single" w:sz="8" w:space="0" w:color="1B2A4A"/>
                    <w:right w:val="none" w:sz="0" w:space="0" w:color="FFFFFF"/>
                  </w:tcBorders>
                  <w:tcMar>
                    <w:top w:w="80" w:type="dxa"/>
                    <w:left w:w="0" w:type="dxa"/>
                    <w:bottom w:w="80" w:type="dxa"/>
                    <w:right w:w="80" w:type="dxa"/>
                  </w:tcMar>
                </w:tcPr>
                <w:p w14:paraId="207833F3" w14:textId="77777777" w:rsidR="00D60688" w:rsidRDefault="00000000">
                  <w:pPr>
                    <w:spacing w:line="276" w:lineRule="auto"/>
                  </w:pPr>
                  <w:r>
                    <w:rPr>
                      <w:rFonts w:ascii="Calibri" w:eastAsia="Calibri" w:hAnsi="Calibri" w:cs="Calibri"/>
                      <w:b/>
                      <w:bCs/>
                      <w:caps/>
                      <w:color w:val="9BAABE"/>
                      <w:sz w:val="14"/>
                      <w:szCs w:val="14"/>
                    </w:rPr>
                    <w:t>Date &amp; URL</w:t>
                  </w:r>
                </w:p>
              </w:tc>
            </w:tr>
            <w:tr w:rsidR="00D60688" w14:paraId="1B2EC548" w14:textId="77777777" w:rsidTr="007F43A9">
              <w:tc>
                <w:tcPr>
                  <w:tcW w:w="3673"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11A67726" w14:textId="6AB26771" w:rsidR="00D60688" w:rsidRDefault="00895C07">
                  <w:pPr>
                    <w:spacing w:line="276" w:lineRule="auto"/>
                  </w:pPr>
                  <w:r w:rsidRPr="00895C07">
                    <w:rPr>
                      <w:rFonts w:ascii="Calibri" w:eastAsia="Calibri" w:hAnsi="Calibri" w:cs="Calibri"/>
                      <w:i/>
                      <w:iCs/>
                      <w:color w:val="2A2A2A"/>
                      <w:sz w:val="17"/>
                      <w:szCs w:val="17"/>
                    </w:rPr>
                    <w:t>Strait of Hormuz carries approximately 20% of global petroleum liquids trade and roughly one-fifth of global LNG trade.</w:t>
                  </w:r>
                </w:p>
              </w:tc>
              <w:tc>
                <w:tcPr>
                  <w:tcW w:w="2291"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3A359AE3" w14:textId="41EA9B82" w:rsidR="00D60688" w:rsidRDefault="00895C07">
                  <w:pPr>
                    <w:spacing w:line="276" w:lineRule="auto"/>
                  </w:pPr>
                  <w:r w:rsidRPr="00895C07">
                    <w:rPr>
                      <w:rFonts w:ascii="Calibri" w:eastAsia="Calibri" w:hAnsi="Calibri" w:cs="Calibri"/>
                      <w:b/>
                      <w:bCs/>
                      <w:color w:val="1B2A4A"/>
                      <w:sz w:val="17"/>
                      <w:szCs w:val="17"/>
                    </w:rPr>
                    <w:t>EIA World Oil Transit Chokepoints; EIA Today in Energy</w:t>
                  </w:r>
                </w:p>
              </w:tc>
              <w:tc>
                <w:tcPr>
                  <w:tcW w:w="2216" w:type="dxa"/>
                  <w:tcBorders>
                    <w:top w:val="none" w:sz="0" w:space="0" w:color="FFFFFF"/>
                    <w:left w:val="none" w:sz="0" w:space="0" w:color="FFFFFF"/>
                    <w:bottom w:val="single" w:sz="2" w:space="0" w:color="E8E4DC"/>
                    <w:right w:val="none" w:sz="0" w:space="0" w:color="FFFFFF"/>
                  </w:tcBorders>
                  <w:tcMar>
                    <w:top w:w="100" w:type="dxa"/>
                    <w:left w:w="0" w:type="dxa"/>
                    <w:bottom w:w="100" w:type="dxa"/>
                    <w:right w:w="0" w:type="dxa"/>
                  </w:tcMar>
                </w:tcPr>
                <w:p w14:paraId="3583C524" w14:textId="1123AC9D" w:rsidR="00D60688" w:rsidRDefault="00895C07">
                  <w:pPr>
                    <w:spacing w:line="276" w:lineRule="auto"/>
                  </w:pPr>
                  <w:r w:rsidRPr="00895C07">
                    <w:rPr>
                      <w:rFonts w:ascii="Calibri" w:eastAsia="Calibri" w:hAnsi="Calibri" w:cs="Calibri"/>
                      <w:color w:val="9BAABE"/>
                      <w:sz w:val="16"/>
                      <w:szCs w:val="16"/>
                    </w:rPr>
                    <w:t>2024–202</w:t>
                  </w:r>
                  <w:r>
                    <w:rPr>
                      <w:rFonts w:ascii="Calibri" w:eastAsia="Calibri" w:hAnsi="Calibri" w:cs="Calibri"/>
                      <w:color w:val="9BAABE"/>
                      <w:sz w:val="16"/>
                      <w:szCs w:val="16"/>
                    </w:rPr>
                    <w:t>6</w:t>
                  </w:r>
                  <w:r w:rsidRPr="00895C07">
                    <w:rPr>
                      <w:rFonts w:ascii="Calibri" w:eastAsia="Calibri" w:hAnsi="Calibri" w:cs="Calibri"/>
                      <w:color w:val="9BAABE"/>
                      <w:sz w:val="16"/>
                      <w:szCs w:val="16"/>
                    </w:rPr>
                    <w:t xml:space="preserve"> · eia.gov</w:t>
                  </w:r>
                </w:p>
              </w:tc>
            </w:tr>
            <w:tr w:rsidR="00D60688" w14:paraId="74DF0406" w14:textId="77777777" w:rsidTr="007F43A9">
              <w:tc>
                <w:tcPr>
                  <w:tcW w:w="3673"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6C530E68" w14:textId="6A59391D" w:rsidR="00D60688" w:rsidRDefault="007F43A9">
                  <w:pPr>
                    <w:spacing w:line="276" w:lineRule="auto"/>
                  </w:pPr>
                  <w:r w:rsidRPr="007F43A9">
                    <w:rPr>
                      <w:rFonts w:ascii="Calibri" w:eastAsia="Calibri" w:hAnsi="Calibri" w:cs="Calibri"/>
                      <w:i/>
                      <w:iCs/>
                      <w:color w:val="2A2A2A"/>
                      <w:sz w:val="17"/>
                      <w:szCs w:val="17"/>
                    </w:rPr>
                    <w:t>Shipping traffic through the strait fell to approximately 5% of pre-conflict levels.</w:t>
                  </w:r>
                </w:p>
              </w:tc>
              <w:tc>
                <w:tcPr>
                  <w:tcW w:w="2291"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495C8EE9" w14:textId="274D6000" w:rsidR="00D60688" w:rsidRDefault="007F43A9">
                  <w:pPr>
                    <w:spacing w:line="276" w:lineRule="auto"/>
                  </w:pPr>
                  <w:r w:rsidRPr="007F43A9">
                    <w:rPr>
                      <w:rFonts w:ascii="Calibri" w:eastAsia="Calibri" w:hAnsi="Calibri" w:cs="Calibri"/>
                      <w:b/>
                      <w:bCs/>
                      <w:color w:val="1B2A4A"/>
                      <w:sz w:val="17"/>
                      <w:szCs w:val="17"/>
                    </w:rPr>
                    <w:t xml:space="preserve">IMF </w:t>
                  </w:r>
                  <w:proofErr w:type="spellStart"/>
                  <w:r w:rsidRPr="007F43A9">
                    <w:rPr>
                      <w:rFonts w:ascii="Calibri" w:eastAsia="Calibri" w:hAnsi="Calibri" w:cs="Calibri"/>
                      <w:b/>
                      <w:bCs/>
                      <w:color w:val="1B2A4A"/>
                      <w:sz w:val="17"/>
                      <w:szCs w:val="17"/>
                    </w:rPr>
                    <w:t>PortWatch</w:t>
                  </w:r>
                  <w:proofErr w:type="spellEnd"/>
                </w:p>
              </w:tc>
              <w:tc>
                <w:tcPr>
                  <w:tcW w:w="2216" w:type="dxa"/>
                  <w:tcBorders>
                    <w:top w:val="none" w:sz="0" w:space="0" w:color="FFFFFF"/>
                    <w:left w:val="none" w:sz="0" w:space="0" w:color="FFFFFF"/>
                    <w:bottom w:val="single" w:sz="2" w:space="0" w:color="E8E4DC"/>
                    <w:right w:val="none" w:sz="0" w:space="0" w:color="FFFFFF"/>
                  </w:tcBorders>
                  <w:tcMar>
                    <w:top w:w="100" w:type="dxa"/>
                    <w:left w:w="0" w:type="dxa"/>
                    <w:bottom w:w="100" w:type="dxa"/>
                    <w:right w:w="0" w:type="dxa"/>
                  </w:tcMar>
                </w:tcPr>
                <w:p w14:paraId="7EE36678" w14:textId="5146F56D" w:rsidR="00D60688" w:rsidRDefault="007F43A9">
                  <w:pPr>
                    <w:spacing w:line="276" w:lineRule="auto"/>
                  </w:pPr>
                  <w:r w:rsidRPr="007F43A9">
                    <w:rPr>
                      <w:rFonts w:ascii="Calibri" w:eastAsia="Calibri" w:hAnsi="Calibri" w:cs="Calibri"/>
                      <w:color w:val="9BAABE"/>
                      <w:sz w:val="16"/>
                      <w:szCs w:val="16"/>
                    </w:rPr>
                    <w:t>May 2026 · portwatch.imf.org</w:t>
                  </w:r>
                </w:p>
              </w:tc>
            </w:tr>
            <w:tr w:rsidR="00D60688" w14:paraId="77C30949" w14:textId="77777777" w:rsidTr="007F43A9">
              <w:tc>
                <w:tcPr>
                  <w:tcW w:w="3673"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197DB603" w14:textId="5EE5B3CB" w:rsidR="00D60688" w:rsidRDefault="007F43A9">
                  <w:pPr>
                    <w:spacing w:line="276" w:lineRule="auto"/>
                  </w:pPr>
                  <w:r w:rsidRPr="007F43A9">
                    <w:rPr>
                      <w:rFonts w:ascii="Calibri" w:eastAsia="Calibri" w:hAnsi="Calibri" w:cs="Calibri"/>
                      <w:i/>
                      <w:iCs/>
                      <w:color w:val="2A2A2A"/>
                      <w:sz w:val="17"/>
                      <w:szCs w:val="17"/>
                    </w:rPr>
                    <w:t>U.S. commercial crude inventories fell 8.0 million barrels week-over-week to 433.7 million barrels. Strategic Petroleum Reserve inventories declined to 357.1 million barrels.</w:t>
                  </w:r>
                </w:p>
              </w:tc>
              <w:tc>
                <w:tcPr>
                  <w:tcW w:w="2291"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06BC4E76" w14:textId="58CE1CC6" w:rsidR="00D60688" w:rsidRDefault="007F43A9">
                  <w:pPr>
                    <w:spacing w:line="276" w:lineRule="auto"/>
                  </w:pPr>
                  <w:r w:rsidRPr="007F43A9">
                    <w:rPr>
                      <w:rFonts w:ascii="Calibri" w:eastAsia="Calibri" w:hAnsi="Calibri" w:cs="Calibri"/>
                      <w:b/>
                      <w:bCs/>
                      <w:color w:val="1B2A4A"/>
                      <w:sz w:val="17"/>
                      <w:szCs w:val="17"/>
                    </w:rPr>
                    <w:t>EIA Weekly Petroleum Status Report</w:t>
                  </w:r>
                </w:p>
              </w:tc>
              <w:tc>
                <w:tcPr>
                  <w:tcW w:w="2216" w:type="dxa"/>
                  <w:tcBorders>
                    <w:top w:val="none" w:sz="0" w:space="0" w:color="FFFFFF"/>
                    <w:left w:val="none" w:sz="0" w:space="0" w:color="FFFFFF"/>
                    <w:bottom w:val="single" w:sz="2" w:space="0" w:color="E8E4DC"/>
                    <w:right w:val="none" w:sz="0" w:space="0" w:color="FFFFFF"/>
                  </w:tcBorders>
                  <w:tcMar>
                    <w:top w:w="100" w:type="dxa"/>
                    <w:left w:w="0" w:type="dxa"/>
                    <w:bottom w:w="100" w:type="dxa"/>
                    <w:right w:w="0" w:type="dxa"/>
                  </w:tcMar>
                </w:tcPr>
                <w:p w14:paraId="011AAF48" w14:textId="33CD86DB" w:rsidR="00D60688" w:rsidRDefault="007F43A9">
                  <w:pPr>
                    <w:spacing w:line="276" w:lineRule="auto"/>
                  </w:pPr>
                  <w:r w:rsidRPr="007F43A9">
                    <w:rPr>
                      <w:rFonts w:ascii="Calibri" w:eastAsia="Calibri" w:hAnsi="Calibri" w:cs="Calibri"/>
                      <w:color w:val="9BAABE"/>
                      <w:sz w:val="16"/>
                      <w:szCs w:val="16"/>
                    </w:rPr>
                    <w:t>June 3, 2026 · eia.gov/petroleum/supply/weekly</w:t>
                  </w:r>
                </w:p>
              </w:tc>
            </w:tr>
            <w:tr w:rsidR="00D60688" w14:paraId="444F51F5" w14:textId="77777777" w:rsidTr="007F43A9">
              <w:tc>
                <w:tcPr>
                  <w:tcW w:w="3673"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10483534" w14:textId="739F6527" w:rsidR="00D60688" w:rsidRDefault="00895C07">
                  <w:pPr>
                    <w:spacing w:line="276" w:lineRule="auto"/>
                  </w:pPr>
                  <w:r w:rsidRPr="00895C07">
                    <w:rPr>
                      <w:rFonts w:ascii="Calibri" w:eastAsia="Calibri" w:hAnsi="Calibri" w:cs="Calibri"/>
                      <w:i/>
                      <w:iCs/>
                      <w:color w:val="2A2A2A"/>
                      <w:sz w:val="17"/>
                      <w:szCs w:val="17"/>
                    </w:rPr>
                    <w:t>Cushing, Oklahoma crude inventories declined to approximately 22.4 million barrels. Operational floor analysis derived from EIA inventory data and market convention.</w:t>
                  </w:r>
                </w:p>
              </w:tc>
              <w:tc>
                <w:tcPr>
                  <w:tcW w:w="2291"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3D2DB853" w14:textId="76006723" w:rsidR="00D60688" w:rsidRDefault="007F43A9">
                  <w:pPr>
                    <w:spacing w:line="276" w:lineRule="auto"/>
                  </w:pPr>
                  <w:r w:rsidRPr="007F43A9">
                    <w:rPr>
                      <w:rFonts w:ascii="Calibri" w:eastAsia="Calibri" w:hAnsi="Calibri" w:cs="Calibri"/>
                      <w:b/>
                      <w:bCs/>
                      <w:color w:val="1B2A4A"/>
                      <w:sz w:val="17"/>
                      <w:szCs w:val="17"/>
                    </w:rPr>
                    <w:t>EIA Weekly Petroleum Status Report; EIA Cushing Stocks Series</w:t>
                  </w:r>
                </w:p>
              </w:tc>
              <w:tc>
                <w:tcPr>
                  <w:tcW w:w="2216" w:type="dxa"/>
                  <w:tcBorders>
                    <w:top w:val="none" w:sz="0" w:space="0" w:color="FFFFFF"/>
                    <w:left w:val="none" w:sz="0" w:space="0" w:color="FFFFFF"/>
                    <w:bottom w:val="single" w:sz="2" w:space="0" w:color="E8E4DC"/>
                    <w:right w:val="none" w:sz="0" w:space="0" w:color="FFFFFF"/>
                  </w:tcBorders>
                  <w:tcMar>
                    <w:top w:w="100" w:type="dxa"/>
                    <w:left w:w="0" w:type="dxa"/>
                    <w:bottom w:w="100" w:type="dxa"/>
                    <w:right w:w="0" w:type="dxa"/>
                  </w:tcMar>
                </w:tcPr>
                <w:p w14:paraId="1E0516FB" w14:textId="6FD2A207" w:rsidR="00D60688" w:rsidRDefault="007F43A9">
                  <w:pPr>
                    <w:spacing w:line="276" w:lineRule="auto"/>
                  </w:pPr>
                  <w:r w:rsidRPr="007F43A9">
                    <w:rPr>
                      <w:rFonts w:ascii="Calibri" w:eastAsia="Calibri" w:hAnsi="Calibri" w:cs="Calibri"/>
                      <w:color w:val="9BAABE"/>
                      <w:sz w:val="16"/>
                      <w:szCs w:val="16"/>
                    </w:rPr>
                    <w:t>June 2026 · eia.gov</w:t>
                  </w:r>
                </w:p>
              </w:tc>
            </w:tr>
            <w:tr w:rsidR="00D60688" w14:paraId="72FE89E7" w14:textId="77777777" w:rsidTr="007F43A9">
              <w:tc>
                <w:tcPr>
                  <w:tcW w:w="3673"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3207F561" w14:textId="0B4EEEEF" w:rsidR="00D60688" w:rsidRDefault="00441BC9">
                  <w:pPr>
                    <w:spacing w:line="276" w:lineRule="auto"/>
                  </w:pPr>
                  <w:r w:rsidRPr="00441BC9">
                    <w:rPr>
                      <w:rFonts w:ascii="Calibri" w:eastAsia="Calibri" w:hAnsi="Calibri" w:cs="Calibri"/>
                      <w:i/>
                      <w:iCs/>
                      <w:color w:val="2A2A2A"/>
                      <w:sz w:val="17"/>
                      <w:szCs w:val="17"/>
                    </w:rPr>
                    <w:lastRenderedPageBreak/>
                    <w:t>U.S. GDP growth tracking approximately 1.7–2.2% in 2026.</w:t>
                  </w:r>
                </w:p>
              </w:tc>
              <w:tc>
                <w:tcPr>
                  <w:tcW w:w="2291"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765D47C0" w14:textId="704ACA1A" w:rsidR="00D60688" w:rsidRDefault="00895C07">
                  <w:pPr>
                    <w:spacing w:line="276" w:lineRule="auto"/>
                  </w:pPr>
                  <w:r w:rsidRPr="00895C07">
                    <w:rPr>
                      <w:rFonts w:ascii="Calibri" w:eastAsia="Calibri" w:hAnsi="Calibri" w:cs="Calibri"/>
                      <w:b/>
                      <w:bCs/>
                      <w:color w:val="1B2A4A"/>
                      <w:sz w:val="17"/>
                      <w:szCs w:val="17"/>
                    </w:rPr>
                    <w:t>Conference Board Economic Forecast</w:t>
                  </w:r>
                </w:p>
              </w:tc>
              <w:tc>
                <w:tcPr>
                  <w:tcW w:w="2216" w:type="dxa"/>
                  <w:tcBorders>
                    <w:top w:val="none" w:sz="0" w:space="0" w:color="FFFFFF"/>
                    <w:left w:val="none" w:sz="0" w:space="0" w:color="FFFFFF"/>
                    <w:bottom w:val="single" w:sz="2" w:space="0" w:color="E8E4DC"/>
                    <w:right w:val="none" w:sz="0" w:space="0" w:color="FFFFFF"/>
                  </w:tcBorders>
                  <w:tcMar>
                    <w:top w:w="100" w:type="dxa"/>
                    <w:left w:w="0" w:type="dxa"/>
                    <w:bottom w:w="100" w:type="dxa"/>
                    <w:right w:w="0" w:type="dxa"/>
                  </w:tcMar>
                </w:tcPr>
                <w:p w14:paraId="739695D2" w14:textId="2ADF42C0" w:rsidR="00D60688" w:rsidRDefault="007F43A9">
                  <w:pPr>
                    <w:spacing w:line="276" w:lineRule="auto"/>
                  </w:pPr>
                  <w:r w:rsidRPr="007F43A9">
                    <w:rPr>
                      <w:rFonts w:ascii="Calibri" w:eastAsia="Calibri" w:hAnsi="Calibri" w:cs="Calibri"/>
                      <w:color w:val="9BAABE"/>
                      <w:sz w:val="16"/>
                      <w:szCs w:val="16"/>
                    </w:rPr>
                    <w:t>May 2026 · conference-board.org</w:t>
                  </w:r>
                </w:p>
              </w:tc>
            </w:tr>
            <w:tr w:rsidR="00441BC9" w14:paraId="1A5639B5" w14:textId="77777777" w:rsidTr="007F43A9">
              <w:tc>
                <w:tcPr>
                  <w:tcW w:w="3673"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70E3D431" w14:textId="3B6F5015" w:rsidR="00441BC9" w:rsidRPr="007F43A9" w:rsidRDefault="00441BC9" w:rsidP="00441BC9">
                  <w:pPr>
                    <w:tabs>
                      <w:tab w:val="left" w:pos="215"/>
                    </w:tabs>
                    <w:spacing w:line="276" w:lineRule="auto"/>
                    <w:rPr>
                      <w:rFonts w:ascii="Calibri" w:eastAsia="Calibri" w:hAnsi="Calibri" w:cs="Calibri"/>
                      <w:i/>
                      <w:iCs/>
                      <w:color w:val="2A2A2A"/>
                      <w:sz w:val="17"/>
                      <w:szCs w:val="17"/>
                    </w:rPr>
                  </w:pPr>
                  <w:r w:rsidRPr="00441BC9">
                    <w:rPr>
                      <w:rFonts w:ascii="Calibri" w:eastAsia="Calibri" w:hAnsi="Calibri" w:cs="Calibri"/>
                      <w:i/>
                      <w:iCs/>
                      <w:color w:val="2A2A2A"/>
                      <w:sz w:val="17"/>
                      <w:szCs w:val="17"/>
                    </w:rPr>
                    <w:t>Leading Economic Index remained negative on both six- and twelve-month bases.</w:t>
                  </w:r>
                </w:p>
              </w:tc>
              <w:tc>
                <w:tcPr>
                  <w:tcW w:w="2291"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6F5052EF" w14:textId="731329FF" w:rsidR="00441BC9" w:rsidRPr="007F43A9" w:rsidRDefault="00441BC9" w:rsidP="00441BC9">
                  <w:pPr>
                    <w:spacing w:line="276" w:lineRule="auto"/>
                    <w:rPr>
                      <w:rFonts w:ascii="Calibri" w:eastAsia="Calibri" w:hAnsi="Calibri" w:cs="Calibri"/>
                      <w:b/>
                      <w:bCs/>
                      <w:color w:val="1B2A4A"/>
                      <w:sz w:val="17"/>
                      <w:szCs w:val="17"/>
                    </w:rPr>
                  </w:pPr>
                  <w:r w:rsidRPr="00441BC9">
                    <w:rPr>
                      <w:rFonts w:ascii="Calibri" w:eastAsia="Calibri" w:hAnsi="Calibri" w:cs="Calibri"/>
                      <w:b/>
                      <w:bCs/>
                      <w:color w:val="1B2A4A"/>
                      <w:sz w:val="17"/>
                      <w:szCs w:val="17"/>
                    </w:rPr>
                    <w:t>Conference Board LEI</w:t>
                  </w:r>
                </w:p>
              </w:tc>
              <w:tc>
                <w:tcPr>
                  <w:tcW w:w="2216" w:type="dxa"/>
                  <w:tcBorders>
                    <w:top w:val="none" w:sz="0" w:space="0" w:color="FFFFFF"/>
                    <w:left w:val="none" w:sz="0" w:space="0" w:color="FFFFFF"/>
                    <w:bottom w:val="single" w:sz="2" w:space="0" w:color="E8E4DC"/>
                    <w:right w:val="none" w:sz="0" w:space="0" w:color="FFFFFF"/>
                  </w:tcBorders>
                  <w:tcMar>
                    <w:top w:w="100" w:type="dxa"/>
                    <w:left w:w="0" w:type="dxa"/>
                    <w:bottom w:w="100" w:type="dxa"/>
                    <w:right w:w="0" w:type="dxa"/>
                  </w:tcMar>
                </w:tcPr>
                <w:p w14:paraId="778A93D5" w14:textId="52EC4236" w:rsidR="00441BC9" w:rsidRPr="007F43A9" w:rsidRDefault="00441BC9" w:rsidP="00441BC9">
                  <w:pPr>
                    <w:spacing w:line="276" w:lineRule="auto"/>
                    <w:rPr>
                      <w:rFonts w:ascii="Calibri" w:eastAsia="Calibri" w:hAnsi="Calibri" w:cs="Calibri"/>
                      <w:color w:val="9BAABE"/>
                      <w:sz w:val="16"/>
                      <w:szCs w:val="16"/>
                    </w:rPr>
                  </w:pPr>
                  <w:r w:rsidRPr="007F43A9">
                    <w:rPr>
                      <w:rFonts w:ascii="Calibri" w:eastAsia="Calibri" w:hAnsi="Calibri" w:cs="Calibri"/>
                      <w:color w:val="9BAABE"/>
                      <w:sz w:val="16"/>
                      <w:szCs w:val="16"/>
                    </w:rPr>
                    <w:t>May 2026 · conference-board.org</w:t>
                  </w:r>
                </w:p>
              </w:tc>
            </w:tr>
            <w:tr w:rsidR="00441BC9" w14:paraId="3F950E0F" w14:textId="77777777" w:rsidTr="007F43A9">
              <w:tc>
                <w:tcPr>
                  <w:tcW w:w="3673"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29FD636C" w14:textId="3834AA47" w:rsidR="00441BC9" w:rsidRDefault="00441BC9" w:rsidP="00441BC9">
                  <w:pPr>
                    <w:spacing w:line="276" w:lineRule="auto"/>
                  </w:pPr>
                  <w:r w:rsidRPr="007F43A9">
                    <w:rPr>
                      <w:rFonts w:ascii="Calibri" w:eastAsia="Calibri" w:hAnsi="Calibri" w:cs="Calibri"/>
                      <w:i/>
                      <w:iCs/>
                      <w:color w:val="2A2A2A"/>
                      <w:sz w:val="17"/>
                      <w:szCs w:val="17"/>
                    </w:rPr>
                    <w:t>Federal Reserve reduced policy rates by approximately 175 basis points since September 2024.</w:t>
                  </w:r>
                </w:p>
              </w:tc>
              <w:tc>
                <w:tcPr>
                  <w:tcW w:w="2291"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78DBED7D" w14:textId="3635D5F5" w:rsidR="00441BC9" w:rsidRDefault="00441BC9" w:rsidP="00441BC9">
                  <w:pPr>
                    <w:spacing w:line="276" w:lineRule="auto"/>
                  </w:pPr>
                  <w:r w:rsidRPr="007F43A9">
                    <w:rPr>
                      <w:rFonts w:ascii="Calibri" w:eastAsia="Calibri" w:hAnsi="Calibri" w:cs="Calibri"/>
                      <w:b/>
                      <w:bCs/>
                      <w:color w:val="1B2A4A"/>
                      <w:sz w:val="17"/>
                      <w:szCs w:val="17"/>
                    </w:rPr>
                    <w:t>Federal Reserve; FRED Economic Data</w:t>
                  </w:r>
                </w:p>
              </w:tc>
              <w:tc>
                <w:tcPr>
                  <w:tcW w:w="2216" w:type="dxa"/>
                  <w:tcBorders>
                    <w:top w:val="none" w:sz="0" w:space="0" w:color="FFFFFF"/>
                    <w:left w:val="none" w:sz="0" w:space="0" w:color="FFFFFF"/>
                    <w:bottom w:val="single" w:sz="2" w:space="0" w:color="E8E4DC"/>
                    <w:right w:val="none" w:sz="0" w:space="0" w:color="FFFFFF"/>
                  </w:tcBorders>
                  <w:tcMar>
                    <w:top w:w="100" w:type="dxa"/>
                    <w:left w:w="0" w:type="dxa"/>
                    <w:bottom w:w="100" w:type="dxa"/>
                    <w:right w:w="0" w:type="dxa"/>
                  </w:tcMar>
                </w:tcPr>
                <w:p w14:paraId="2832CAA6" w14:textId="2683A696" w:rsidR="00441BC9" w:rsidRDefault="00441BC9" w:rsidP="00441BC9">
                  <w:pPr>
                    <w:spacing w:line="276" w:lineRule="auto"/>
                  </w:pPr>
                  <w:r w:rsidRPr="007F43A9">
                    <w:rPr>
                      <w:rFonts w:ascii="Calibri" w:eastAsia="Calibri" w:hAnsi="Calibri" w:cs="Calibri"/>
                      <w:color w:val="9BAABE"/>
                      <w:sz w:val="16"/>
                      <w:szCs w:val="16"/>
                    </w:rPr>
                    <w:t>January 2026 · stlouisfed.org</w:t>
                  </w:r>
                </w:p>
              </w:tc>
            </w:tr>
            <w:tr w:rsidR="00441BC9" w14:paraId="38650289" w14:textId="77777777" w:rsidTr="007F43A9">
              <w:tc>
                <w:tcPr>
                  <w:tcW w:w="3673"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5449216D" w14:textId="23860289" w:rsidR="00441BC9" w:rsidRDefault="00441BC9" w:rsidP="00441BC9">
                  <w:pPr>
                    <w:spacing w:line="276" w:lineRule="auto"/>
                  </w:pPr>
                  <w:r w:rsidRPr="007F43A9">
                    <w:rPr>
                      <w:rFonts w:ascii="Calibri" w:eastAsia="Calibri" w:hAnsi="Calibri" w:cs="Calibri"/>
                      <w:i/>
                      <w:iCs/>
                      <w:color w:val="2A2A2A"/>
                      <w:sz w:val="17"/>
                      <w:szCs w:val="17"/>
                    </w:rPr>
                    <w:t>Tentative 60-day memorandum of understanding negotiated; implementation remained pending final political approval.</w:t>
                  </w:r>
                </w:p>
              </w:tc>
              <w:tc>
                <w:tcPr>
                  <w:tcW w:w="2291"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1494337C" w14:textId="57B5919B" w:rsidR="00441BC9" w:rsidRDefault="00441BC9" w:rsidP="00441BC9">
                  <w:pPr>
                    <w:spacing w:line="276" w:lineRule="auto"/>
                  </w:pPr>
                  <w:r w:rsidRPr="007F43A9">
                    <w:rPr>
                      <w:rFonts w:ascii="Calibri" w:eastAsia="Calibri" w:hAnsi="Calibri" w:cs="Calibri"/>
                      <w:b/>
                      <w:bCs/>
                      <w:color w:val="1B2A4A"/>
                      <w:sz w:val="17"/>
                      <w:szCs w:val="17"/>
                    </w:rPr>
                    <w:t>Axios Reporting</w:t>
                  </w:r>
                </w:p>
              </w:tc>
              <w:tc>
                <w:tcPr>
                  <w:tcW w:w="2216" w:type="dxa"/>
                  <w:tcBorders>
                    <w:top w:val="none" w:sz="0" w:space="0" w:color="FFFFFF"/>
                    <w:left w:val="none" w:sz="0" w:space="0" w:color="FFFFFF"/>
                    <w:bottom w:val="single" w:sz="2" w:space="0" w:color="E8E4DC"/>
                    <w:right w:val="none" w:sz="0" w:space="0" w:color="FFFFFF"/>
                  </w:tcBorders>
                  <w:tcMar>
                    <w:top w:w="100" w:type="dxa"/>
                    <w:left w:w="0" w:type="dxa"/>
                    <w:bottom w:w="100" w:type="dxa"/>
                    <w:right w:w="0" w:type="dxa"/>
                  </w:tcMar>
                </w:tcPr>
                <w:p w14:paraId="1487CA35" w14:textId="0156D411" w:rsidR="00441BC9" w:rsidRDefault="00441BC9" w:rsidP="00441BC9">
                  <w:pPr>
                    <w:spacing w:line="276" w:lineRule="auto"/>
                  </w:pPr>
                  <w:r w:rsidRPr="007F43A9">
                    <w:rPr>
                      <w:rFonts w:ascii="Calibri" w:eastAsia="Calibri" w:hAnsi="Calibri" w:cs="Calibri"/>
                      <w:color w:val="9BAABE"/>
                      <w:sz w:val="16"/>
                      <w:szCs w:val="16"/>
                    </w:rPr>
                    <w:t>May 28–31, 2026 · axios.com</w:t>
                  </w:r>
                </w:p>
              </w:tc>
            </w:tr>
            <w:tr w:rsidR="00441BC9" w14:paraId="1A34EDB4" w14:textId="77777777" w:rsidTr="007F43A9">
              <w:tc>
                <w:tcPr>
                  <w:tcW w:w="3673"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161F0CDA" w14:textId="24B650B7" w:rsidR="00441BC9" w:rsidRDefault="00441BC9" w:rsidP="00441BC9">
                  <w:pPr>
                    <w:spacing w:line="276" w:lineRule="auto"/>
                  </w:pPr>
                  <w:r w:rsidRPr="007F43A9">
                    <w:rPr>
                      <w:rFonts w:ascii="Calibri" w:eastAsia="Calibri" w:hAnsi="Calibri" w:cs="Calibri"/>
                      <w:i/>
                      <w:iCs/>
                      <w:color w:val="2A2A2A"/>
                      <w:sz w:val="17"/>
                      <w:szCs w:val="17"/>
                    </w:rPr>
                    <w:t>Proposed agreement envisioned phased reopening of the Strait over roughly 30 days with associated Iranian commitments.</w:t>
                  </w:r>
                </w:p>
              </w:tc>
              <w:tc>
                <w:tcPr>
                  <w:tcW w:w="2291"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403CBAD2" w14:textId="45731268" w:rsidR="00441BC9" w:rsidRDefault="00441BC9" w:rsidP="00441BC9">
                  <w:pPr>
                    <w:spacing w:line="276" w:lineRule="auto"/>
                  </w:pPr>
                  <w:r w:rsidRPr="007F43A9">
                    <w:rPr>
                      <w:rFonts w:ascii="Calibri" w:eastAsia="Calibri" w:hAnsi="Calibri" w:cs="Calibri"/>
                      <w:b/>
                      <w:bCs/>
                      <w:color w:val="1B2A4A"/>
                      <w:sz w:val="17"/>
                      <w:szCs w:val="17"/>
                    </w:rPr>
                    <w:t>Axios; CNN Reporting</w:t>
                  </w:r>
                </w:p>
              </w:tc>
              <w:tc>
                <w:tcPr>
                  <w:tcW w:w="2216" w:type="dxa"/>
                  <w:tcBorders>
                    <w:top w:val="none" w:sz="0" w:space="0" w:color="FFFFFF"/>
                    <w:left w:val="none" w:sz="0" w:space="0" w:color="FFFFFF"/>
                    <w:bottom w:val="single" w:sz="2" w:space="0" w:color="E8E4DC"/>
                    <w:right w:val="none" w:sz="0" w:space="0" w:color="FFFFFF"/>
                  </w:tcBorders>
                  <w:tcMar>
                    <w:top w:w="100" w:type="dxa"/>
                    <w:left w:w="0" w:type="dxa"/>
                    <w:bottom w:w="100" w:type="dxa"/>
                    <w:right w:w="0" w:type="dxa"/>
                  </w:tcMar>
                </w:tcPr>
                <w:p w14:paraId="74D7E9E5" w14:textId="660AF206" w:rsidR="00441BC9" w:rsidRDefault="00441BC9" w:rsidP="00441BC9">
                  <w:pPr>
                    <w:spacing w:line="276" w:lineRule="auto"/>
                  </w:pPr>
                  <w:r w:rsidRPr="007F43A9">
                    <w:rPr>
                      <w:rFonts w:ascii="Calibri" w:eastAsia="Calibri" w:hAnsi="Calibri" w:cs="Calibri"/>
                      <w:color w:val="9BAABE"/>
                      <w:sz w:val="16"/>
                      <w:szCs w:val="16"/>
                    </w:rPr>
                    <w:t>May 23–28, 2026 · axios.com · cnn.com</w:t>
                  </w:r>
                </w:p>
              </w:tc>
            </w:tr>
            <w:tr w:rsidR="00441BC9" w14:paraId="4E44934C" w14:textId="77777777" w:rsidTr="007F43A9">
              <w:tc>
                <w:tcPr>
                  <w:tcW w:w="3673"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7B8FE170" w14:textId="6270A403" w:rsidR="00441BC9" w:rsidRDefault="00895C07" w:rsidP="00441BC9">
                  <w:pPr>
                    <w:spacing w:line="276" w:lineRule="auto"/>
                  </w:pPr>
                  <w:r w:rsidRPr="00895C07">
                    <w:rPr>
                      <w:rFonts w:ascii="Calibri" w:eastAsia="Calibri" w:hAnsi="Calibri" w:cs="Calibri"/>
                      <w:i/>
                      <w:iCs/>
                      <w:color w:val="2A2A2A"/>
                      <w:sz w:val="17"/>
                      <w:szCs w:val="17"/>
                    </w:rPr>
                    <w:t>Strait disruption was described by the International Energy Agency as the largest oil supply disruption in modern market history.</w:t>
                  </w:r>
                </w:p>
              </w:tc>
              <w:tc>
                <w:tcPr>
                  <w:tcW w:w="2291"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59C877BA" w14:textId="3E60A763" w:rsidR="00441BC9" w:rsidRDefault="00441BC9" w:rsidP="00441BC9">
                  <w:pPr>
                    <w:spacing w:line="276" w:lineRule="auto"/>
                  </w:pPr>
                  <w:r w:rsidRPr="007F43A9">
                    <w:rPr>
                      <w:rFonts w:ascii="Calibri" w:eastAsia="Calibri" w:hAnsi="Calibri" w:cs="Calibri"/>
                      <w:b/>
                      <w:bCs/>
                      <w:color w:val="1B2A4A"/>
                      <w:sz w:val="17"/>
                      <w:szCs w:val="17"/>
                    </w:rPr>
                    <w:t>International Energy Agency Oil Market Report</w:t>
                  </w:r>
                </w:p>
              </w:tc>
              <w:tc>
                <w:tcPr>
                  <w:tcW w:w="2216" w:type="dxa"/>
                  <w:tcBorders>
                    <w:top w:val="none" w:sz="0" w:space="0" w:color="FFFFFF"/>
                    <w:left w:val="none" w:sz="0" w:space="0" w:color="FFFFFF"/>
                    <w:bottom w:val="single" w:sz="2" w:space="0" w:color="E8E4DC"/>
                    <w:right w:val="none" w:sz="0" w:space="0" w:color="FFFFFF"/>
                  </w:tcBorders>
                  <w:tcMar>
                    <w:top w:w="100" w:type="dxa"/>
                    <w:left w:w="0" w:type="dxa"/>
                    <w:bottom w:w="100" w:type="dxa"/>
                    <w:right w:w="0" w:type="dxa"/>
                  </w:tcMar>
                </w:tcPr>
                <w:p w14:paraId="7AA60617" w14:textId="3AC62874" w:rsidR="00441BC9" w:rsidRDefault="00441BC9" w:rsidP="00441BC9">
                  <w:pPr>
                    <w:spacing w:line="276" w:lineRule="auto"/>
                  </w:pPr>
                  <w:r w:rsidRPr="007F43A9">
                    <w:rPr>
                      <w:rFonts w:ascii="Calibri" w:eastAsia="Calibri" w:hAnsi="Calibri" w:cs="Calibri"/>
                      <w:color w:val="9BAABE"/>
                      <w:sz w:val="16"/>
                      <w:szCs w:val="16"/>
                    </w:rPr>
                    <w:t>April 2026 · iea.org</w:t>
                  </w:r>
                </w:p>
              </w:tc>
            </w:tr>
            <w:tr w:rsidR="00441BC9" w14:paraId="55B8A489" w14:textId="77777777" w:rsidTr="007F43A9">
              <w:tc>
                <w:tcPr>
                  <w:tcW w:w="3673"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37D396AA" w14:textId="2961DAEC" w:rsidR="00441BC9" w:rsidRDefault="00441BC9" w:rsidP="00441BC9">
                  <w:pPr>
                    <w:spacing w:line="276" w:lineRule="auto"/>
                  </w:pPr>
                  <w:r w:rsidRPr="007F43A9">
                    <w:rPr>
                      <w:rFonts w:ascii="Calibri" w:eastAsia="Calibri" w:hAnsi="Calibri" w:cs="Calibri"/>
                      <w:i/>
                      <w:iCs/>
                      <w:color w:val="2A2A2A"/>
                      <w:sz w:val="17"/>
                      <w:szCs w:val="17"/>
                    </w:rPr>
                    <w:t>Physical normalization of shipping and energy flows may lag diplomatic resolution by several months.</w:t>
                  </w:r>
                </w:p>
              </w:tc>
              <w:tc>
                <w:tcPr>
                  <w:tcW w:w="2291"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4B47B93F" w14:textId="546FBB9B" w:rsidR="00441BC9" w:rsidRDefault="00441BC9" w:rsidP="00441BC9">
                  <w:pPr>
                    <w:spacing w:line="276" w:lineRule="auto"/>
                  </w:pPr>
                  <w:r w:rsidRPr="007F43A9">
                    <w:rPr>
                      <w:rFonts w:ascii="Calibri" w:eastAsia="Calibri" w:hAnsi="Calibri" w:cs="Calibri"/>
                      <w:b/>
                      <w:bCs/>
                      <w:color w:val="1B2A4A"/>
                      <w:sz w:val="17"/>
                      <w:szCs w:val="17"/>
                    </w:rPr>
                    <w:t>International Energy Agency; Dallas Fed Energy Survey</w:t>
                  </w:r>
                </w:p>
              </w:tc>
              <w:tc>
                <w:tcPr>
                  <w:tcW w:w="2216" w:type="dxa"/>
                  <w:tcBorders>
                    <w:top w:val="none" w:sz="0" w:space="0" w:color="FFFFFF"/>
                    <w:left w:val="none" w:sz="0" w:space="0" w:color="FFFFFF"/>
                    <w:bottom w:val="single" w:sz="2" w:space="0" w:color="E8E4DC"/>
                    <w:right w:val="none" w:sz="0" w:space="0" w:color="FFFFFF"/>
                  </w:tcBorders>
                  <w:tcMar>
                    <w:top w:w="100" w:type="dxa"/>
                    <w:left w:w="0" w:type="dxa"/>
                    <w:bottom w:w="100" w:type="dxa"/>
                    <w:right w:w="0" w:type="dxa"/>
                  </w:tcMar>
                </w:tcPr>
                <w:p w14:paraId="199A764A" w14:textId="11F9AB9E" w:rsidR="00441BC9" w:rsidRDefault="00441BC9" w:rsidP="00441BC9">
                  <w:pPr>
                    <w:spacing w:line="276" w:lineRule="auto"/>
                  </w:pPr>
                  <w:r w:rsidRPr="007F43A9">
                    <w:rPr>
                      <w:rFonts w:ascii="Calibri" w:eastAsia="Calibri" w:hAnsi="Calibri" w:cs="Calibri"/>
                      <w:color w:val="9BAABE"/>
                      <w:sz w:val="16"/>
                      <w:szCs w:val="16"/>
                    </w:rPr>
                    <w:t>April 2026</w:t>
                  </w:r>
                </w:p>
              </w:tc>
            </w:tr>
            <w:tr w:rsidR="00441BC9" w14:paraId="6F47DDFC" w14:textId="77777777" w:rsidTr="007F43A9">
              <w:tc>
                <w:tcPr>
                  <w:tcW w:w="3673"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278D09B1" w14:textId="0259E4AF" w:rsidR="00441BC9" w:rsidRDefault="00441BC9" w:rsidP="00441BC9">
                  <w:pPr>
                    <w:spacing w:line="276" w:lineRule="auto"/>
                  </w:pPr>
                  <w:r w:rsidRPr="007F43A9">
                    <w:rPr>
                      <w:rFonts w:ascii="Calibri" w:eastAsia="Calibri" w:hAnsi="Calibri" w:cs="Calibri"/>
                      <w:i/>
                      <w:iCs/>
                      <w:color w:val="2A2A2A"/>
                      <w:sz w:val="17"/>
                      <w:szCs w:val="17"/>
                    </w:rPr>
                    <w:t>Vessel transit volume declined to approximately four vessels per day versus a historical baseline near ninety-five per day.</w:t>
                  </w:r>
                </w:p>
              </w:tc>
              <w:tc>
                <w:tcPr>
                  <w:tcW w:w="2291"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68B990AF" w14:textId="658AE00B" w:rsidR="00441BC9" w:rsidRDefault="00441BC9" w:rsidP="00441BC9">
                  <w:pPr>
                    <w:spacing w:line="276" w:lineRule="auto"/>
                  </w:pPr>
                  <w:r w:rsidRPr="007F43A9">
                    <w:rPr>
                      <w:rFonts w:ascii="Calibri" w:eastAsia="Calibri" w:hAnsi="Calibri" w:cs="Calibri"/>
                      <w:b/>
                      <w:bCs/>
                      <w:color w:val="1B2A4A"/>
                      <w:sz w:val="17"/>
                      <w:szCs w:val="17"/>
                    </w:rPr>
                    <w:t xml:space="preserve">IMF </w:t>
                  </w:r>
                  <w:proofErr w:type="spellStart"/>
                  <w:r w:rsidRPr="007F43A9">
                    <w:rPr>
                      <w:rFonts w:ascii="Calibri" w:eastAsia="Calibri" w:hAnsi="Calibri" w:cs="Calibri"/>
                      <w:b/>
                      <w:bCs/>
                      <w:color w:val="1B2A4A"/>
                      <w:sz w:val="17"/>
                      <w:szCs w:val="17"/>
                    </w:rPr>
                    <w:t>PortWatch</w:t>
                  </w:r>
                  <w:proofErr w:type="spellEnd"/>
                </w:p>
              </w:tc>
              <w:tc>
                <w:tcPr>
                  <w:tcW w:w="2216" w:type="dxa"/>
                  <w:tcBorders>
                    <w:top w:val="none" w:sz="0" w:space="0" w:color="FFFFFF"/>
                    <w:left w:val="none" w:sz="0" w:space="0" w:color="FFFFFF"/>
                    <w:bottom w:val="single" w:sz="2" w:space="0" w:color="E8E4DC"/>
                    <w:right w:val="none" w:sz="0" w:space="0" w:color="FFFFFF"/>
                  </w:tcBorders>
                  <w:tcMar>
                    <w:top w:w="100" w:type="dxa"/>
                    <w:left w:w="0" w:type="dxa"/>
                    <w:bottom w:w="100" w:type="dxa"/>
                    <w:right w:w="0" w:type="dxa"/>
                  </w:tcMar>
                </w:tcPr>
                <w:p w14:paraId="31F06B0F" w14:textId="21EC8F7B" w:rsidR="00441BC9" w:rsidRDefault="00441BC9" w:rsidP="00441BC9">
                  <w:pPr>
                    <w:spacing w:line="276" w:lineRule="auto"/>
                  </w:pPr>
                  <w:r w:rsidRPr="007F43A9">
                    <w:rPr>
                      <w:rFonts w:ascii="Calibri" w:eastAsia="Calibri" w:hAnsi="Calibri" w:cs="Calibri"/>
                      <w:color w:val="9BAABE"/>
                      <w:sz w:val="16"/>
                      <w:szCs w:val="16"/>
                    </w:rPr>
                    <w:t>May 24, 2026 · portwatch.imf.org</w:t>
                  </w:r>
                </w:p>
              </w:tc>
            </w:tr>
            <w:tr w:rsidR="00441BC9" w14:paraId="3B8243CE" w14:textId="77777777" w:rsidTr="007F43A9">
              <w:tc>
                <w:tcPr>
                  <w:tcW w:w="3673"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462CCC1C" w14:textId="030954A9" w:rsidR="00441BC9" w:rsidRDefault="00441BC9" w:rsidP="00441BC9">
                  <w:pPr>
                    <w:spacing w:line="276" w:lineRule="auto"/>
                  </w:pPr>
                  <w:r w:rsidRPr="007F43A9">
                    <w:rPr>
                      <w:rFonts w:ascii="Calibri" w:eastAsia="Calibri" w:hAnsi="Calibri" w:cs="Calibri"/>
                      <w:i/>
                      <w:iCs/>
                      <w:color w:val="2A2A2A"/>
                      <w:sz w:val="17"/>
                      <w:szCs w:val="17"/>
                    </w:rPr>
                    <w:t>Average Hormuz flows reached 20.9 million barrels per day in 1H 2025, representing roughly one-fifth of global petroleum liquids consumption and approximately one-quarter of seaborne oil trade.</w:t>
                  </w:r>
                </w:p>
              </w:tc>
              <w:tc>
                <w:tcPr>
                  <w:tcW w:w="2291"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18786D5A" w14:textId="736EE369" w:rsidR="00441BC9" w:rsidRDefault="00441BC9" w:rsidP="00441BC9">
                  <w:pPr>
                    <w:spacing w:line="276" w:lineRule="auto"/>
                  </w:pPr>
                  <w:r w:rsidRPr="007F43A9">
                    <w:rPr>
                      <w:rFonts w:ascii="Calibri" w:eastAsia="Calibri" w:hAnsi="Calibri" w:cs="Calibri"/>
                      <w:b/>
                      <w:bCs/>
                      <w:color w:val="1B2A4A"/>
                      <w:sz w:val="17"/>
                      <w:szCs w:val="17"/>
                    </w:rPr>
                    <w:t>EIA World Oil Transit Chokepoints</w:t>
                  </w:r>
                </w:p>
              </w:tc>
              <w:tc>
                <w:tcPr>
                  <w:tcW w:w="2216" w:type="dxa"/>
                  <w:tcBorders>
                    <w:top w:val="none" w:sz="0" w:space="0" w:color="FFFFFF"/>
                    <w:left w:val="none" w:sz="0" w:space="0" w:color="FFFFFF"/>
                    <w:bottom w:val="single" w:sz="2" w:space="0" w:color="E8E4DC"/>
                    <w:right w:val="none" w:sz="0" w:space="0" w:color="FFFFFF"/>
                  </w:tcBorders>
                  <w:tcMar>
                    <w:top w:w="100" w:type="dxa"/>
                    <w:left w:w="0" w:type="dxa"/>
                    <w:bottom w:w="100" w:type="dxa"/>
                    <w:right w:w="0" w:type="dxa"/>
                  </w:tcMar>
                </w:tcPr>
                <w:p w14:paraId="411FF268" w14:textId="699C7366" w:rsidR="00441BC9" w:rsidRDefault="00441BC9" w:rsidP="00441BC9">
                  <w:pPr>
                    <w:spacing w:line="276" w:lineRule="auto"/>
                  </w:pPr>
                  <w:r w:rsidRPr="007F43A9">
                    <w:rPr>
                      <w:rFonts w:ascii="Calibri" w:eastAsia="Calibri" w:hAnsi="Calibri" w:cs="Calibri"/>
                      <w:color w:val="9BAABE"/>
                      <w:sz w:val="16"/>
                      <w:szCs w:val="16"/>
                    </w:rPr>
                    <w:t>2024 · eia.gov</w:t>
                  </w:r>
                </w:p>
              </w:tc>
            </w:tr>
            <w:tr w:rsidR="00441BC9" w14:paraId="058AE238" w14:textId="77777777" w:rsidTr="007F43A9">
              <w:tc>
                <w:tcPr>
                  <w:tcW w:w="3673"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1EA46C1A" w14:textId="32A9D265" w:rsidR="00441BC9" w:rsidRDefault="00441BC9" w:rsidP="00441BC9">
                  <w:pPr>
                    <w:spacing w:line="276" w:lineRule="auto"/>
                  </w:pPr>
                  <w:r w:rsidRPr="007F43A9">
                    <w:rPr>
                      <w:rFonts w:ascii="Calibri" w:eastAsia="Calibri" w:hAnsi="Calibri" w:cs="Calibri"/>
                      <w:i/>
                      <w:iCs/>
                      <w:color w:val="2A2A2A"/>
                      <w:sz w:val="17"/>
                      <w:szCs w:val="17"/>
                    </w:rPr>
                    <w:t>During the 1981–1988 Tanker War, shipping traffic declined approximately 20–25% before stabilization through multinational naval protection efforts.</w:t>
                  </w:r>
                </w:p>
              </w:tc>
              <w:tc>
                <w:tcPr>
                  <w:tcW w:w="2291"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3EDDA25D" w14:textId="6DE2F0B7" w:rsidR="00441BC9" w:rsidRDefault="00441BC9" w:rsidP="00441BC9">
                  <w:pPr>
                    <w:spacing w:line="276" w:lineRule="auto"/>
                  </w:pPr>
                  <w:r w:rsidRPr="007F43A9">
                    <w:rPr>
                      <w:rFonts w:ascii="Calibri" w:eastAsia="Calibri" w:hAnsi="Calibri" w:cs="Calibri"/>
                      <w:b/>
                      <w:bCs/>
                      <w:color w:val="1B2A4A"/>
                      <w:sz w:val="17"/>
                      <w:szCs w:val="17"/>
                    </w:rPr>
                    <w:t>Strauss Center</w:t>
                  </w:r>
                </w:p>
              </w:tc>
              <w:tc>
                <w:tcPr>
                  <w:tcW w:w="2216" w:type="dxa"/>
                  <w:tcBorders>
                    <w:top w:val="none" w:sz="0" w:space="0" w:color="FFFFFF"/>
                    <w:left w:val="none" w:sz="0" w:space="0" w:color="FFFFFF"/>
                    <w:bottom w:val="single" w:sz="2" w:space="0" w:color="E8E4DC"/>
                    <w:right w:val="none" w:sz="0" w:space="0" w:color="FFFFFF"/>
                  </w:tcBorders>
                  <w:tcMar>
                    <w:top w:w="100" w:type="dxa"/>
                    <w:left w:w="0" w:type="dxa"/>
                    <w:bottom w:w="100" w:type="dxa"/>
                    <w:right w:w="0" w:type="dxa"/>
                  </w:tcMar>
                </w:tcPr>
                <w:p w14:paraId="58CA5ACE" w14:textId="0BF0A5D8" w:rsidR="00441BC9" w:rsidRDefault="00441BC9" w:rsidP="00441BC9">
                  <w:pPr>
                    <w:spacing w:line="276" w:lineRule="auto"/>
                  </w:pPr>
                  <w:r w:rsidRPr="007F43A9">
                    <w:rPr>
                      <w:rFonts w:ascii="Calibri" w:eastAsia="Calibri" w:hAnsi="Calibri" w:cs="Calibri"/>
                      <w:color w:val="9BAABE"/>
                      <w:sz w:val="16"/>
                      <w:szCs w:val="16"/>
                    </w:rPr>
                    <w:t>strausscenter.org/strait-of-</w:t>
                  </w:r>
                  <w:proofErr w:type="spellStart"/>
                  <w:r w:rsidRPr="007F43A9">
                    <w:rPr>
                      <w:rFonts w:ascii="Calibri" w:eastAsia="Calibri" w:hAnsi="Calibri" w:cs="Calibri"/>
                      <w:color w:val="9BAABE"/>
                      <w:sz w:val="16"/>
                      <w:szCs w:val="16"/>
                    </w:rPr>
                    <w:t>hormuz</w:t>
                  </w:r>
                  <w:proofErr w:type="spellEnd"/>
                  <w:r w:rsidRPr="007F43A9">
                    <w:rPr>
                      <w:rFonts w:ascii="Calibri" w:eastAsia="Calibri" w:hAnsi="Calibri" w:cs="Calibri"/>
                      <w:color w:val="9BAABE"/>
                      <w:sz w:val="16"/>
                      <w:szCs w:val="16"/>
                    </w:rPr>
                    <w:t>-tanker-war</w:t>
                  </w:r>
                </w:p>
              </w:tc>
            </w:tr>
            <w:tr w:rsidR="00441BC9" w14:paraId="702632E8" w14:textId="77777777" w:rsidTr="007F43A9">
              <w:tc>
                <w:tcPr>
                  <w:tcW w:w="3673"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1AD868DC" w14:textId="0CC579F1" w:rsidR="00441BC9" w:rsidRDefault="00441BC9" w:rsidP="00441BC9">
                  <w:pPr>
                    <w:spacing w:line="276" w:lineRule="auto"/>
                  </w:pPr>
                  <w:r w:rsidRPr="007F43A9">
                    <w:rPr>
                      <w:rFonts w:ascii="Calibri" w:eastAsia="Calibri" w:hAnsi="Calibri" w:cs="Calibri"/>
                      <w:i/>
                      <w:iCs/>
                      <w:color w:val="2A2A2A"/>
                      <w:sz w:val="17"/>
                      <w:szCs w:val="17"/>
                    </w:rPr>
                    <w:t>Following the September 2019 Abqaiq attack, Brent crude prices surged approximately 15% intraday before retracing within two weeks.</w:t>
                  </w:r>
                </w:p>
              </w:tc>
              <w:tc>
                <w:tcPr>
                  <w:tcW w:w="2291"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20919F18" w14:textId="5B0C2A26" w:rsidR="00441BC9" w:rsidRDefault="00441BC9" w:rsidP="00441BC9">
                  <w:pPr>
                    <w:spacing w:line="276" w:lineRule="auto"/>
                  </w:pPr>
                  <w:r w:rsidRPr="007F43A9">
                    <w:rPr>
                      <w:rFonts w:ascii="Calibri" w:eastAsia="Calibri" w:hAnsi="Calibri" w:cs="Calibri"/>
                      <w:b/>
                      <w:bCs/>
                      <w:color w:val="1B2A4A"/>
                      <w:sz w:val="17"/>
                      <w:szCs w:val="17"/>
                    </w:rPr>
                    <w:t>NPR; Baker Institute</w:t>
                  </w:r>
                </w:p>
              </w:tc>
              <w:tc>
                <w:tcPr>
                  <w:tcW w:w="2216" w:type="dxa"/>
                  <w:tcBorders>
                    <w:top w:val="none" w:sz="0" w:space="0" w:color="FFFFFF"/>
                    <w:left w:val="none" w:sz="0" w:space="0" w:color="FFFFFF"/>
                    <w:bottom w:val="single" w:sz="2" w:space="0" w:color="E8E4DC"/>
                    <w:right w:val="none" w:sz="0" w:space="0" w:color="FFFFFF"/>
                  </w:tcBorders>
                  <w:tcMar>
                    <w:top w:w="100" w:type="dxa"/>
                    <w:left w:w="0" w:type="dxa"/>
                    <w:bottom w:w="100" w:type="dxa"/>
                    <w:right w:w="0" w:type="dxa"/>
                  </w:tcMar>
                </w:tcPr>
                <w:p w14:paraId="49E409AD" w14:textId="67623AAF" w:rsidR="00441BC9" w:rsidRDefault="00441BC9" w:rsidP="00441BC9">
                  <w:pPr>
                    <w:spacing w:line="276" w:lineRule="auto"/>
                  </w:pPr>
                  <w:r w:rsidRPr="007F43A9">
                    <w:rPr>
                      <w:rFonts w:ascii="Calibri" w:eastAsia="Calibri" w:hAnsi="Calibri" w:cs="Calibri"/>
                      <w:color w:val="9BAABE"/>
                      <w:sz w:val="16"/>
                      <w:szCs w:val="16"/>
                    </w:rPr>
                    <w:t>September 2019</w:t>
                  </w:r>
                </w:p>
              </w:tc>
            </w:tr>
            <w:tr w:rsidR="00441BC9" w14:paraId="74BCD2D4" w14:textId="77777777" w:rsidTr="007F43A9">
              <w:tc>
                <w:tcPr>
                  <w:tcW w:w="3673"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619B6B08" w14:textId="35214408" w:rsidR="00441BC9" w:rsidRDefault="00441BC9" w:rsidP="00441BC9">
                  <w:pPr>
                    <w:spacing w:line="276" w:lineRule="auto"/>
                  </w:pPr>
                  <w:r w:rsidRPr="007F43A9">
                    <w:rPr>
                      <w:rFonts w:ascii="Calibri" w:eastAsia="Calibri" w:hAnsi="Calibri" w:cs="Calibri"/>
                      <w:i/>
                      <w:iCs/>
                      <w:color w:val="2A2A2A"/>
                      <w:sz w:val="17"/>
                      <w:szCs w:val="17"/>
                    </w:rPr>
                    <w:t>War-risk insurance premiums increased to approximately eight times pre-crisis levels.</w:t>
                  </w:r>
                </w:p>
              </w:tc>
              <w:tc>
                <w:tcPr>
                  <w:tcW w:w="2291" w:type="dxa"/>
                  <w:tcBorders>
                    <w:top w:val="none" w:sz="0" w:space="0" w:color="FFFFFF"/>
                    <w:left w:val="none" w:sz="0" w:space="0" w:color="FFFFFF"/>
                    <w:bottom w:val="single" w:sz="2" w:space="0" w:color="E8E4DC"/>
                    <w:right w:val="none" w:sz="0" w:space="0" w:color="FFFFFF"/>
                  </w:tcBorders>
                  <w:tcMar>
                    <w:top w:w="100" w:type="dxa"/>
                    <w:left w:w="0" w:type="dxa"/>
                    <w:bottom w:w="100" w:type="dxa"/>
                    <w:right w:w="80" w:type="dxa"/>
                  </w:tcMar>
                </w:tcPr>
                <w:p w14:paraId="3B2545D9" w14:textId="6ED8D710" w:rsidR="00441BC9" w:rsidRDefault="00441BC9" w:rsidP="00441BC9">
                  <w:pPr>
                    <w:spacing w:line="276" w:lineRule="auto"/>
                  </w:pPr>
                  <w:r w:rsidRPr="007F43A9">
                    <w:rPr>
                      <w:rFonts w:ascii="Calibri" w:eastAsia="Calibri" w:hAnsi="Calibri" w:cs="Calibri"/>
                      <w:b/>
                      <w:bCs/>
                      <w:color w:val="1B2A4A"/>
                      <w:sz w:val="17"/>
                      <w:szCs w:val="17"/>
                    </w:rPr>
                    <w:t xml:space="preserve">IMF </w:t>
                  </w:r>
                  <w:proofErr w:type="spellStart"/>
                  <w:r w:rsidRPr="007F43A9">
                    <w:rPr>
                      <w:rFonts w:ascii="Calibri" w:eastAsia="Calibri" w:hAnsi="Calibri" w:cs="Calibri"/>
                      <w:b/>
                      <w:bCs/>
                      <w:color w:val="1B2A4A"/>
                      <w:sz w:val="17"/>
                      <w:szCs w:val="17"/>
                    </w:rPr>
                    <w:t>PortWatch</w:t>
                  </w:r>
                  <w:proofErr w:type="spellEnd"/>
                </w:p>
              </w:tc>
              <w:tc>
                <w:tcPr>
                  <w:tcW w:w="2216" w:type="dxa"/>
                  <w:tcBorders>
                    <w:top w:val="none" w:sz="0" w:space="0" w:color="FFFFFF"/>
                    <w:left w:val="none" w:sz="0" w:space="0" w:color="FFFFFF"/>
                    <w:bottom w:val="single" w:sz="2" w:space="0" w:color="E8E4DC"/>
                    <w:right w:val="none" w:sz="0" w:space="0" w:color="FFFFFF"/>
                  </w:tcBorders>
                  <w:tcMar>
                    <w:top w:w="100" w:type="dxa"/>
                    <w:left w:w="0" w:type="dxa"/>
                    <w:bottom w:w="100" w:type="dxa"/>
                    <w:right w:w="0" w:type="dxa"/>
                  </w:tcMar>
                </w:tcPr>
                <w:p w14:paraId="661AE482" w14:textId="77CE9834" w:rsidR="00441BC9" w:rsidRDefault="00441BC9" w:rsidP="00441BC9">
                  <w:pPr>
                    <w:spacing w:line="276" w:lineRule="auto"/>
                  </w:pPr>
                  <w:r w:rsidRPr="007F43A9">
                    <w:rPr>
                      <w:rFonts w:ascii="Calibri" w:eastAsia="Calibri" w:hAnsi="Calibri" w:cs="Calibri"/>
                      <w:color w:val="9BAABE"/>
                      <w:sz w:val="16"/>
                      <w:szCs w:val="16"/>
                    </w:rPr>
                    <w:t>May 2026 · portwatch.imf.org</w:t>
                  </w:r>
                </w:p>
              </w:tc>
            </w:tr>
          </w:tbl>
          <w:p w14:paraId="331C0DF3" w14:textId="77777777" w:rsidR="00D60688" w:rsidRDefault="00D60688"/>
        </w:tc>
      </w:tr>
    </w:tbl>
    <w:p w14:paraId="53EDCDBF" w14:textId="77777777" w:rsidR="00D60688" w:rsidRDefault="00D60688">
      <w:pPr>
        <w:sectPr w:rsidR="00D60688">
          <w:headerReference w:type="default" r:id="rId16"/>
          <w:footerReference w:type="default" r:id="rId17"/>
          <w:pgSz w:w="12240" w:h="15840"/>
          <w:pgMar w:top="720" w:right="720" w:bottom="720" w:left="720" w:header="708" w:footer="708" w:gutter="0"/>
          <w:cols w:space="720"/>
          <w:docGrid w:linePitch="360"/>
        </w:sectPr>
      </w:pPr>
    </w:p>
    <w:p w14:paraId="64FAE87C" w14:textId="77777777" w:rsidR="00D60688" w:rsidRDefault="00000000">
      <w:pPr>
        <w:pBdr>
          <w:bottom w:val="single" w:sz="2" w:space="0" w:color="E8E4DC"/>
        </w:pBdr>
        <w:spacing w:after="200" w:line="276" w:lineRule="auto"/>
      </w:pPr>
      <w:r>
        <w:rPr>
          <w:rFonts w:ascii="Palatino Linotype" w:eastAsia="Palatino Linotype" w:hAnsi="Palatino Linotype" w:cs="Palatino Linotype"/>
          <w:b/>
          <w:bCs/>
          <w:color w:val="1B2A4A"/>
          <w:sz w:val="28"/>
          <w:szCs w:val="28"/>
        </w:rPr>
        <w:lastRenderedPageBreak/>
        <w:t>Nexus Research</w:t>
      </w:r>
      <w:r>
        <w:rPr>
          <w:rFonts w:ascii="Calibri" w:eastAsia="Calibri" w:hAnsi="Calibri" w:cs="Calibri"/>
          <w:color w:val="9BAABE"/>
          <w:sz w:val="28"/>
          <w:szCs w:val="28"/>
        </w:rPr>
        <w:t xml:space="preserve">  —  Disclaimer &amp; Legal Notice</w:t>
      </w:r>
    </w:p>
    <w:p w14:paraId="08B5BD8F" w14:textId="77777777" w:rsidR="00D60688" w:rsidRDefault="00000000">
      <w:pPr>
        <w:spacing w:before="160" w:after="60" w:line="276" w:lineRule="auto"/>
      </w:pPr>
      <w:r>
        <w:rPr>
          <w:rFonts w:ascii="Calibri" w:eastAsia="Calibri" w:hAnsi="Calibri" w:cs="Calibri"/>
          <w:b/>
          <w:bCs/>
          <w:color w:val="1B2A4A"/>
          <w:sz w:val="22"/>
          <w:szCs w:val="22"/>
        </w:rPr>
        <w:t>Who I Am</w:t>
      </w:r>
    </w:p>
    <w:p w14:paraId="3F35C8A1" w14:textId="77777777" w:rsidR="00D60688" w:rsidRDefault="00000000">
      <w:pPr>
        <w:spacing w:line="320" w:lineRule="auto"/>
      </w:pPr>
      <w:r>
        <w:rPr>
          <w:rFonts w:ascii="Calibri" w:eastAsia="Calibri" w:hAnsi="Calibri" w:cs="Calibri"/>
          <w:color w:val="2A2A2A"/>
          <w:sz w:val="19"/>
          <w:szCs w:val="19"/>
        </w:rPr>
        <w:t>My name is Mary Scott. I am an independent researcher producing equity and macro research under the name Nexus Research. I am not a licensed financial advisor, broker, investment adviser, or any other regulated financial professional. I do not manage money on behalf of others. Nothing in this document should be construed as professional financial advice of any kind.</w:t>
      </w:r>
    </w:p>
    <w:p w14:paraId="0D5E8C60" w14:textId="77777777" w:rsidR="00D60688" w:rsidRDefault="00000000">
      <w:pPr>
        <w:spacing w:before="160" w:after="60" w:line="276" w:lineRule="auto"/>
      </w:pPr>
      <w:r>
        <w:rPr>
          <w:rFonts w:ascii="Calibri" w:eastAsia="Calibri" w:hAnsi="Calibri" w:cs="Calibri"/>
          <w:b/>
          <w:bCs/>
          <w:color w:val="1B2A4A"/>
          <w:sz w:val="22"/>
          <w:szCs w:val="22"/>
        </w:rPr>
        <w:t>What Nexus Research Is</w:t>
      </w:r>
    </w:p>
    <w:p w14:paraId="7F3C0814" w14:textId="77777777" w:rsidR="00D60688" w:rsidRDefault="00000000">
      <w:pPr>
        <w:spacing w:line="320" w:lineRule="auto"/>
      </w:pPr>
      <w:r>
        <w:rPr>
          <w:rFonts w:ascii="Calibri" w:eastAsia="Calibri" w:hAnsi="Calibri" w:cs="Calibri"/>
          <w:color w:val="2A2A2A"/>
          <w:sz w:val="19"/>
          <w:szCs w:val="19"/>
        </w:rPr>
        <w:t>Nexus Research is a self-directed body of macro and equity research focused on building and testing investment theses. Each note is an original, rigorous analysis built around a clearly stated thesis, a mapped set of drivers, a defined falsification test, and a tracked outcome. The goal is to identify where the market may be mispricing a macro dynamic, explain the mechanism precisely, and be specific enough that the passage of time confirms or disproves the argument. Every note is written as if it will be read professionally, because the habit of that standard is the point.</w:t>
      </w:r>
    </w:p>
    <w:p w14:paraId="3D0ED2DD" w14:textId="77777777" w:rsidR="00D60688" w:rsidRDefault="00000000">
      <w:pPr>
        <w:spacing w:before="160" w:after="60" w:line="276" w:lineRule="auto"/>
      </w:pPr>
      <w:r>
        <w:rPr>
          <w:rFonts w:ascii="Calibri" w:eastAsia="Calibri" w:hAnsi="Calibri" w:cs="Calibri"/>
          <w:b/>
          <w:bCs/>
          <w:color w:val="1B2A4A"/>
          <w:sz w:val="22"/>
          <w:szCs w:val="22"/>
        </w:rPr>
        <w:t>What This Research Is Not</w:t>
      </w:r>
    </w:p>
    <w:p w14:paraId="7CBC3BD4" w14:textId="77777777" w:rsidR="00D60688" w:rsidRDefault="00000000">
      <w:pPr>
        <w:spacing w:line="320" w:lineRule="auto"/>
      </w:pPr>
      <w:r>
        <w:rPr>
          <w:rFonts w:ascii="Calibri" w:eastAsia="Calibri" w:hAnsi="Calibri" w:cs="Calibri"/>
          <w:color w:val="2A2A2A"/>
          <w:sz w:val="19"/>
          <w:szCs w:val="19"/>
        </w:rPr>
        <w:t>Nothing published under Nexus Research constitutes investment advice, a solicitation to buy or sell any security, or a recommendation of any kind. These notes represent personal analytical views at the time of writing. They are not audited, not independently verified, and not guaranteed to be accurate or complete. Views may change as new information becomes available. Any companies or securities mentioned are discussed for analytical purposes only.</w:t>
      </w:r>
    </w:p>
    <w:p w14:paraId="5C502229" w14:textId="77777777" w:rsidR="00D60688" w:rsidRDefault="00000000">
      <w:pPr>
        <w:spacing w:before="160" w:after="60" w:line="276" w:lineRule="auto"/>
      </w:pPr>
      <w:r>
        <w:rPr>
          <w:rFonts w:ascii="Calibri" w:eastAsia="Calibri" w:hAnsi="Calibri" w:cs="Calibri"/>
          <w:b/>
          <w:bCs/>
          <w:color w:val="1B2A4A"/>
          <w:sz w:val="22"/>
          <w:szCs w:val="22"/>
        </w:rPr>
        <w:t>Outcome Tracking</w:t>
      </w:r>
    </w:p>
    <w:p w14:paraId="093B5956" w14:textId="77777777" w:rsidR="00D60688" w:rsidRDefault="00000000">
      <w:pPr>
        <w:spacing w:line="320" w:lineRule="auto"/>
      </w:pPr>
      <w:r>
        <w:rPr>
          <w:rFonts w:ascii="Calibri" w:eastAsia="Calibri" w:hAnsi="Calibri" w:cs="Calibri"/>
          <w:color w:val="2A2A2A"/>
          <w:sz w:val="19"/>
          <w:szCs w:val="19"/>
        </w:rPr>
        <w:t>Each Nexus Research note includes a defined falsification test — specific, observable conditions under which the thesis is confirmed or invalidated. Where prior notes exist on a topic, a subsequent check-in note documents what actually happened: whether the thesis played out, where the analysis was wrong, and what the market ultimately priced in. This public record of outcomes is intentional. The only way to know if an analytical process works is to check.</w:t>
      </w:r>
    </w:p>
    <w:p w14:paraId="44DEF4EF" w14:textId="77777777" w:rsidR="00D60688" w:rsidRDefault="00000000">
      <w:pPr>
        <w:spacing w:before="160" w:after="60" w:line="276" w:lineRule="auto"/>
      </w:pPr>
      <w:r>
        <w:rPr>
          <w:rFonts w:ascii="Calibri" w:eastAsia="Calibri" w:hAnsi="Calibri" w:cs="Calibri"/>
          <w:b/>
          <w:bCs/>
          <w:color w:val="1B2A4A"/>
          <w:sz w:val="22"/>
          <w:szCs w:val="22"/>
        </w:rPr>
        <w:t>No Reliance</w:t>
      </w:r>
    </w:p>
    <w:p w14:paraId="3867539C" w14:textId="77777777" w:rsidR="00D60688" w:rsidRDefault="00000000">
      <w:pPr>
        <w:spacing w:line="320" w:lineRule="auto"/>
      </w:pPr>
      <w:r>
        <w:rPr>
          <w:rFonts w:ascii="Calibri" w:eastAsia="Calibri" w:hAnsi="Calibri" w:cs="Calibri"/>
          <w:color w:val="2A2A2A"/>
          <w:sz w:val="19"/>
          <w:szCs w:val="19"/>
        </w:rPr>
        <w:t>You should not make any investment decision based on anything written in these notes. Always do your own research and consult a qualified financial professional before making any investment decision. Past analytical accuracy, where it exists, is not indicative of future results. Nexus Research accepts no liability for any loss or damage arising from reliance on this material.</w:t>
      </w:r>
    </w:p>
    <w:p w14:paraId="6EFF58E4" w14:textId="77777777" w:rsidR="00D60688" w:rsidRDefault="00000000">
      <w:pPr>
        <w:spacing w:before="160" w:after="60" w:line="276" w:lineRule="auto"/>
      </w:pPr>
      <w:r>
        <w:rPr>
          <w:rFonts w:ascii="Calibri" w:eastAsia="Calibri" w:hAnsi="Calibri" w:cs="Calibri"/>
          <w:b/>
          <w:bCs/>
          <w:color w:val="1B2A4A"/>
          <w:sz w:val="22"/>
          <w:szCs w:val="22"/>
        </w:rPr>
        <w:t>Data Sources</w:t>
      </w:r>
    </w:p>
    <w:p w14:paraId="0FE9AECA" w14:textId="12E34650" w:rsidR="004A5997" w:rsidRDefault="00000000" w:rsidP="004A5997">
      <w:pPr>
        <w:spacing w:line="320" w:lineRule="auto"/>
      </w:pPr>
      <w:r>
        <w:rPr>
          <w:rFonts w:ascii="Calibri" w:eastAsia="Calibri" w:hAnsi="Calibri" w:cs="Calibri"/>
          <w:color w:val="2A2A2A"/>
          <w:sz w:val="19"/>
          <w:szCs w:val="19"/>
        </w:rPr>
        <w:t>Macroeconomic data and financial market data referenced in Nexus Research thematic notes are sourced from: the Federal Reserve Economic Data (FRED) database; the U.S. Bureau of Economic Analysis (BEA); the U.S. Bureau of Labor Statistics (BLS); the International Monetary Fund (IMF) World Economic Outlook database; the U.S. Treasury and Federal Reserve Statistical Releases; SEC EDGAR filings; company investor relations materials and earnings call transcripts; FactSet; Bloomberg terminal data; S&amp;P Global Market Intelligence; Moody's and S&amp;P credit rating releases; Koyfin; and Yahoo Finance. Consensus estimates reflect publicly available analyst data as of the report date. Nexus Research does not independently verify third-party data. Where a specific data point is material to the thesis, the source and date are cited inline.</w:t>
      </w:r>
    </w:p>
    <w:p w14:paraId="0D0C53B7" w14:textId="77777777" w:rsidR="00D60688" w:rsidRDefault="00000000">
      <w:pPr>
        <w:spacing w:line="276" w:lineRule="auto"/>
        <w:jc w:val="center"/>
      </w:pPr>
      <w:r>
        <w:rPr>
          <w:rFonts w:ascii="Calibri" w:eastAsia="Calibri" w:hAnsi="Calibri" w:cs="Calibri"/>
          <w:i/>
          <w:iCs/>
          <w:color w:val="9BAABE"/>
          <w:sz w:val="16"/>
          <w:szCs w:val="16"/>
        </w:rPr>
        <w:t>© Mary Scott  ·  Nexus Research  ·  All notes are for educational and informational purposes only</w:t>
      </w:r>
    </w:p>
    <w:sectPr w:rsidR="00D60688">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6CD74" w14:textId="77777777" w:rsidR="001F4F7F" w:rsidRDefault="001F4F7F">
      <w:r>
        <w:separator/>
      </w:r>
    </w:p>
  </w:endnote>
  <w:endnote w:type="continuationSeparator" w:id="0">
    <w:p w14:paraId="739E8D7A" w14:textId="77777777" w:rsidR="001F4F7F" w:rsidRDefault="001F4F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0"/>
      <w:gridCol w:w="3200"/>
    </w:tblGrid>
    <w:tr w:rsidR="00D60688" w14:paraId="2B23A30A" w14:textId="77777777">
      <w:tc>
        <w:tcPr>
          <w:tcW w:w="7600" w:type="dxa"/>
          <w:tcBorders>
            <w:top w:val="none" w:sz="0" w:space="0" w:color="FFFFFF"/>
            <w:left w:val="none" w:sz="0" w:space="0" w:color="FFFFFF"/>
            <w:bottom w:val="none" w:sz="0" w:space="0" w:color="FFFFFF"/>
            <w:right w:val="none" w:sz="0" w:space="0" w:color="FFFFFF"/>
          </w:tcBorders>
          <w:shd w:val="clear" w:color="auto" w:fill="1B2A4A"/>
          <w:tcMar>
            <w:top w:w="160" w:type="dxa"/>
            <w:left w:w="360" w:type="dxa"/>
            <w:bottom w:w="160" w:type="dxa"/>
            <w:right w:w="200" w:type="dxa"/>
          </w:tcMar>
        </w:tcPr>
        <w:p w14:paraId="1C05955B" w14:textId="3F0ECCF1" w:rsidR="00D60688" w:rsidRDefault="00000000">
          <w:pPr>
            <w:spacing w:line="276" w:lineRule="auto"/>
          </w:pPr>
          <w:r>
            <w:rPr>
              <w:rFonts w:ascii="Calibri" w:eastAsia="Calibri" w:hAnsi="Calibri" w:cs="Calibri"/>
              <w:color w:val="9BAABE"/>
              <w:sz w:val="16"/>
              <w:szCs w:val="16"/>
            </w:rPr>
            <w:t xml:space="preserve">Mary </w:t>
          </w:r>
          <w:proofErr w:type="gramStart"/>
          <w:r>
            <w:rPr>
              <w:rFonts w:ascii="Calibri" w:eastAsia="Calibri" w:hAnsi="Calibri" w:cs="Calibri"/>
              <w:color w:val="9BAABE"/>
              <w:sz w:val="16"/>
              <w:szCs w:val="16"/>
            </w:rPr>
            <w:t>Scott  ·</w:t>
          </w:r>
          <w:proofErr w:type="gramEnd"/>
          <w:r>
            <w:rPr>
              <w:rFonts w:ascii="Calibri" w:eastAsia="Calibri" w:hAnsi="Calibri" w:cs="Calibri"/>
              <w:color w:val="9BAABE"/>
              <w:sz w:val="16"/>
              <w:szCs w:val="16"/>
            </w:rPr>
            <w:t xml:space="preserve">  Nexus </w:t>
          </w:r>
          <w:proofErr w:type="gramStart"/>
          <w:r>
            <w:rPr>
              <w:rFonts w:ascii="Calibri" w:eastAsia="Calibri" w:hAnsi="Calibri" w:cs="Calibri"/>
              <w:color w:val="9BAABE"/>
              <w:sz w:val="16"/>
              <w:szCs w:val="16"/>
            </w:rPr>
            <w:t>Research  ·</w:t>
          </w:r>
          <w:proofErr w:type="gramEnd"/>
          <w:r>
            <w:rPr>
              <w:rFonts w:ascii="Calibri" w:eastAsia="Calibri" w:hAnsi="Calibri" w:cs="Calibri"/>
              <w:color w:val="9BAABE"/>
              <w:sz w:val="16"/>
              <w:szCs w:val="16"/>
            </w:rPr>
            <w:t xml:space="preserve">  </w:t>
          </w:r>
          <w:hyperlink r:id="rId1" w:history="1">
            <w:r w:rsidR="00C20A85" w:rsidRPr="005B054C">
              <w:rPr>
                <w:rStyle w:val="Hyperlink"/>
                <w:rFonts w:ascii="Calibri" w:eastAsia="Calibri" w:hAnsi="Calibri" w:cs="Calibri"/>
                <w:sz w:val="16"/>
                <w:szCs w:val="16"/>
              </w:rPr>
              <w:t>marygzscott8600@gmail.com</w:t>
            </w:r>
          </w:hyperlink>
          <w:r w:rsidR="00C20A85">
            <w:rPr>
              <w:rFonts w:ascii="Calibri" w:eastAsia="Calibri" w:hAnsi="Calibri" w:cs="Calibri"/>
              <w:color w:val="9BAABE"/>
              <w:sz w:val="16"/>
              <w:szCs w:val="16"/>
            </w:rPr>
            <w:t xml:space="preserve"> · </w:t>
          </w:r>
          <w:hyperlink r:id="rId2" w:history="1">
            <w:r w:rsidR="00C20A85">
              <w:rPr>
                <w:rStyle w:val="Hyperlink"/>
                <w:rFonts w:ascii="Calibri" w:eastAsia="Calibri" w:hAnsi="Calibri" w:cs="Calibri"/>
                <w:sz w:val="16"/>
                <w:szCs w:val="16"/>
              </w:rPr>
              <w:t>https://raptor8600.github.io/Portfolio-Site/</w:t>
            </w:r>
          </w:hyperlink>
        </w:p>
      </w:tc>
      <w:tc>
        <w:tcPr>
          <w:tcW w:w="3200" w:type="dxa"/>
          <w:tcBorders>
            <w:top w:val="none" w:sz="0" w:space="0" w:color="FFFFFF"/>
            <w:left w:val="none" w:sz="0" w:space="0" w:color="FFFFFF"/>
            <w:bottom w:val="none" w:sz="0" w:space="0" w:color="FFFFFF"/>
            <w:right w:val="none" w:sz="0" w:space="0" w:color="FFFFFF"/>
          </w:tcBorders>
          <w:shd w:val="clear" w:color="auto" w:fill="1B2A4A"/>
          <w:tcMar>
            <w:top w:w="160" w:type="dxa"/>
            <w:left w:w="200" w:type="dxa"/>
            <w:bottom w:w="160" w:type="dxa"/>
            <w:right w:w="360" w:type="dxa"/>
          </w:tcMar>
        </w:tcPr>
        <w:p w14:paraId="1D3F9429" w14:textId="77777777" w:rsidR="00D60688" w:rsidRDefault="00000000">
          <w:pPr>
            <w:spacing w:line="276" w:lineRule="auto"/>
            <w:jc w:val="right"/>
          </w:pPr>
          <w:r>
            <w:rPr>
              <w:rFonts w:ascii="Calibri" w:eastAsia="Calibri" w:hAnsi="Calibri" w:cs="Calibri"/>
              <w:color w:val="9BAABE"/>
              <w:sz w:val="16"/>
              <w:szCs w:val="16"/>
            </w:rPr>
            <w:t>For educational purposes only. Not investment advice.</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gridCol w:w="1000"/>
    </w:tblGrid>
    <w:tr w:rsidR="00D60688" w14:paraId="01192D61" w14:textId="77777777">
      <w:tc>
        <w:tcPr>
          <w:tcW w:w="9800" w:type="dxa"/>
          <w:tcBorders>
            <w:top w:val="single" w:sz="2" w:space="0" w:color="E8E4DC"/>
            <w:left w:val="none" w:sz="0" w:space="0" w:color="FFFFFF"/>
            <w:bottom w:val="none" w:sz="0" w:space="0" w:color="FFFFFF"/>
            <w:right w:val="none" w:sz="0" w:space="0" w:color="FFFFFF"/>
          </w:tcBorders>
          <w:tcMar>
            <w:top w:w="80" w:type="dxa"/>
            <w:left w:w="0" w:type="dxa"/>
            <w:bottom w:w="0" w:type="dxa"/>
            <w:right w:w="0" w:type="dxa"/>
          </w:tcMar>
        </w:tcPr>
        <w:p w14:paraId="6010705A" w14:textId="77777777" w:rsidR="00D60688" w:rsidRDefault="00000000">
          <w:pPr>
            <w:spacing w:line="276" w:lineRule="auto"/>
          </w:pPr>
          <w:r>
            <w:rPr>
              <w:rFonts w:ascii="Calibri" w:eastAsia="Calibri" w:hAnsi="Calibri" w:cs="Calibri"/>
              <w:color w:val="9BAABE"/>
              <w:sz w:val="14"/>
              <w:szCs w:val="14"/>
            </w:rPr>
            <w:t>For educational purposes only. Not investment advice. © Nexus Research.</w:t>
          </w:r>
        </w:p>
      </w:tc>
      <w:tc>
        <w:tcPr>
          <w:tcW w:w="1000" w:type="dxa"/>
          <w:tcBorders>
            <w:top w:val="single" w:sz="2" w:space="0" w:color="E8E4DC"/>
            <w:left w:val="none" w:sz="0" w:space="0" w:color="FFFFFF"/>
            <w:bottom w:val="none" w:sz="0" w:space="0" w:color="FFFFFF"/>
            <w:right w:val="none" w:sz="0" w:space="0" w:color="FFFFFF"/>
          </w:tcBorders>
          <w:tcMar>
            <w:top w:w="80" w:type="dxa"/>
            <w:left w:w="0" w:type="dxa"/>
            <w:bottom w:w="0" w:type="dxa"/>
            <w:right w:w="0" w:type="dxa"/>
          </w:tcMar>
        </w:tcPr>
        <w:p w14:paraId="71B3282D" w14:textId="77777777" w:rsidR="00D60688" w:rsidRDefault="00000000">
          <w:pPr>
            <w:spacing w:line="276" w:lineRule="auto"/>
            <w:jc w:val="right"/>
          </w:pPr>
          <w:r>
            <w:rPr>
              <w:rFonts w:ascii="Calibri" w:eastAsia="Calibri" w:hAnsi="Calibri" w:cs="Calibri"/>
              <w:color w:val="9BAABE"/>
              <w:sz w:val="14"/>
              <w:szCs w:val="14"/>
            </w:rPr>
            <w:t>2</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gridCol w:w="1000"/>
    </w:tblGrid>
    <w:tr w:rsidR="00D60688" w14:paraId="2E10B4BC" w14:textId="77777777">
      <w:tc>
        <w:tcPr>
          <w:tcW w:w="9800" w:type="dxa"/>
          <w:tcBorders>
            <w:top w:val="single" w:sz="2" w:space="0" w:color="E8E4DC"/>
            <w:left w:val="none" w:sz="0" w:space="0" w:color="FFFFFF"/>
            <w:bottom w:val="none" w:sz="0" w:space="0" w:color="FFFFFF"/>
            <w:right w:val="none" w:sz="0" w:space="0" w:color="FFFFFF"/>
          </w:tcBorders>
          <w:tcMar>
            <w:top w:w="80" w:type="dxa"/>
            <w:left w:w="0" w:type="dxa"/>
            <w:bottom w:w="0" w:type="dxa"/>
            <w:right w:w="0" w:type="dxa"/>
          </w:tcMar>
        </w:tcPr>
        <w:p w14:paraId="7431654F" w14:textId="77777777" w:rsidR="00D60688" w:rsidRDefault="00000000">
          <w:pPr>
            <w:spacing w:line="276" w:lineRule="auto"/>
          </w:pPr>
          <w:r>
            <w:rPr>
              <w:rFonts w:ascii="Calibri" w:eastAsia="Calibri" w:hAnsi="Calibri" w:cs="Calibri"/>
              <w:color w:val="9BAABE"/>
              <w:sz w:val="14"/>
              <w:szCs w:val="14"/>
            </w:rPr>
            <w:t>For educational purposes only. Not investment advice. © Nexus Research.</w:t>
          </w:r>
        </w:p>
      </w:tc>
      <w:tc>
        <w:tcPr>
          <w:tcW w:w="1000" w:type="dxa"/>
          <w:tcBorders>
            <w:top w:val="single" w:sz="2" w:space="0" w:color="E8E4DC"/>
            <w:left w:val="none" w:sz="0" w:space="0" w:color="FFFFFF"/>
            <w:bottom w:val="none" w:sz="0" w:space="0" w:color="FFFFFF"/>
            <w:right w:val="none" w:sz="0" w:space="0" w:color="FFFFFF"/>
          </w:tcBorders>
          <w:tcMar>
            <w:top w:w="80" w:type="dxa"/>
            <w:left w:w="0" w:type="dxa"/>
            <w:bottom w:w="0" w:type="dxa"/>
            <w:right w:w="0" w:type="dxa"/>
          </w:tcMar>
        </w:tcPr>
        <w:p w14:paraId="260878D8" w14:textId="77777777" w:rsidR="00D60688" w:rsidRDefault="00000000">
          <w:pPr>
            <w:spacing w:line="276" w:lineRule="auto"/>
            <w:jc w:val="right"/>
          </w:pPr>
          <w:r>
            <w:rPr>
              <w:rFonts w:ascii="Calibri" w:eastAsia="Calibri" w:hAnsi="Calibri" w:cs="Calibri"/>
              <w:color w:val="9BAABE"/>
              <w:sz w:val="14"/>
              <w:szCs w:val="14"/>
            </w:rPr>
            <w:t>3</w:t>
          </w:r>
        </w:p>
      </w:tc>
    </w:tr>
  </w:tbl>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gridCol w:w="1000"/>
    </w:tblGrid>
    <w:tr w:rsidR="00D60688" w14:paraId="4FF86E30" w14:textId="77777777">
      <w:tc>
        <w:tcPr>
          <w:tcW w:w="9800" w:type="dxa"/>
          <w:tcBorders>
            <w:top w:val="single" w:sz="2" w:space="0" w:color="E8E4DC"/>
            <w:left w:val="none" w:sz="0" w:space="0" w:color="FFFFFF"/>
            <w:bottom w:val="none" w:sz="0" w:space="0" w:color="FFFFFF"/>
            <w:right w:val="none" w:sz="0" w:space="0" w:color="FFFFFF"/>
          </w:tcBorders>
          <w:tcMar>
            <w:top w:w="80" w:type="dxa"/>
            <w:left w:w="0" w:type="dxa"/>
            <w:bottom w:w="0" w:type="dxa"/>
            <w:right w:w="0" w:type="dxa"/>
          </w:tcMar>
        </w:tcPr>
        <w:p w14:paraId="39911143" w14:textId="77777777" w:rsidR="00D60688" w:rsidRDefault="00000000">
          <w:pPr>
            <w:spacing w:line="276" w:lineRule="auto"/>
          </w:pPr>
          <w:r>
            <w:rPr>
              <w:rFonts w:ascii="Calibri" w:eastAsia="Calibri" w:hAnsi="Calibri" w:cs="Calibri"/>
              <w:color w:val="9BAABE"/>
              <w:sz w:val="14"/>
              <w:szCs w:val="14"/>
            </w:rPr>
            <w:t>For educational purposes only. Not investment advice. © Nexus Research.</w:t>
          </w:r>
        </w:p>
      </w:tc>
      <w:tc>
        <w:tcPr>
          <w:tcW w:w="1000" w:type="dxa"/>
          <w:tcBorders>
            <w:top w:val="single" w:sz="2" w:space="0" w:color="E8E4DC"/>
            <w:left w:val="none" w:sz="0" w:space="0" w:color="FFFFFF"/>
            <w:bottom w:val="none" w:sz="0" w:space="0" w:color="FFFFFF"/>
            <w:right w:val="none" w:sz="0" w:space="0" w:color="FFFFFF"/>
          </w:tcBorders>
          <w:tcMar>
            <w:top w:w="80" w:type="dxa"/>
            <w:left w:w="0" w:type="dxa"/>
            <w:bottom w:w="0" w:type="dxa"/>
            <w:right w:w="0" w:type="dxa"/>
          </w:tcMar>
        </w:tcPr>
        <w:p w14:paraId="0D4FF862" w14:textId="77777777" w:rsidR="00D60688" w:rsidRDefault="00000000">
          <w:pPr>
            <w:spacing w:line="276" w:lineRule="auto"/>
            <w:jc w:val="right"/>
          </w:pPr>
          <w:r>
            <w:rPr>
              <w:rFonts w:ascii="Calibri" w:eastAsia="Calibri" w:hAnsi="Calibri" w:cs="Calibri"/>
              <w:color w:val="9BAABE"/>
              <w:sz w:val="14"/>
              <w:szCs w:val="14"/>
            </w:rPr>
            <w:t>4</w:t>
          </w:r>
        </w:p>
      </w:tc>
    </w:tr>
  </w:tbl>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gridCol w:w="1000"/>
    </w:tblGrid>
    <w:tr w:rsidR="00D60688" w14:paraId="26FB5590" w14:textId="77777777">
      <w:tc>
        <w:tcPr>
          <w:tcW w:w="9800" w:type="dxa"/>
          <w:tcBorders>
            <w:top w:val="single" w:sz="2" w:space="0" w:color="E8E4DC"/>
            <w:left w:val="none" w:sz="0" w:space="0" w:color="FFFFFF"/>
            <w:bottom w:val="none" w:sz="0" w:space="0" w:color="FFFFFF"/>
            <w:right w:val="none" w:sz="0" w:space="0" w:color="FFFFFF"/>
          </w:tcBorders>
          <w:tcMar>
            <w:top w:w="80" w:type="dxa"/>
            <w:left w:w="0" w:type="dxa"/>
            <w:bottom w:w="0" w:type="dxa"/>
            <w:right w:w="0" w:type="dxa"/>
          </w:tcMar>
        </w:tcPr>
        <w:p w14:paraId="66C54358" w14:textId="77777777" w:rsidR="00D60688" w:rsidRDefault="00000000">
          <w:pPr>
            <w:spacing w:line="276" w:lineRule="auto"/>
          </w:pPr>
          <w:r>
            <w:rPr>
              <w:rFonts w:ascii="Calibri" w:eastAsia="Calibri" w:hAnsi="Calibri" w:cs="Calibri"/>
              <w:color w:val="9BAABE"/>
              <w:sz w:val="14"/>
              <w:szCs w:val="14"/>
            </w:rPr>
            <w:t>For educational purposes only. Not investment advice. © Nexus Research.</w:t>
          </w:r>
        </w:p>
      </w:tc>
      <w:tc>
        <w:tcPr>
          <w:tcW w:w="1000" w:type="dxa"/>
          <w:tcBorders>
            <w:top w:val="single" w:sz="2" w:space="0" w:color="E8E4DC"/>
            <w:left w:val="none" w:sz="0" w:space="0" w:color="FFFFFF"/>
            <w:bottom w:val="none" w:sz="0" w:space="0" w:color="FFFFFF"/>
            <w:right w:val="none" w:sz="0" w:space="0" w:color="FFFFFF"/>
          </w:tcBorders>
          <w:tcMar>
            <w:top w:w="80" w:type="dxa"/>
            <w:left w:w="0" w:type="dxa"/>
            <w:bottom w:w="0" w:type="dxa"/>
            <w:right w:w="0" w:type="dxa"/>
          </w:tcMar>
        </w:tcPr>
        <w:p w14:paraId="38B586A6" w14:textId="77777777" w:rsidR="00D60688" w:rsidRDefault="00000000">
          <w:pPr>
            <w:spacing w:line="276" w:lineRule="auto"/>
            <w:jc w:val="right"/>
          </w:pPr>
          <w:r>
            <w:rPr>
              <w:rFonts w:ascii="Calibri" w:eastAsia="Calibri" w:hAnsi="Calibri" w:cs="Calibri"/>
              <w:color w:val="9BAABE"/>
              <w:sz w:val="14"/>
              <w:szCs w:val="14"/>
            </w:rPr>
            <w:t>5</w:t>
          </w:r>
        </w:p>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0"/>
      <w:gridCol w:w="1000"/>
    </w:tblGrid>
    <w:tr w:rsidR="00D60688" w14:paraId="121F10D8" w14:textId="77777777">
      <w:tc>
        <w:tcPr>
          <w:tcW w:w="9800" w:type="dxa"/>
          <w:tcBorders>
            <w:top w:val="single" w:sz="2" w:space="0" w:color="E8E4DC"/>
            <w:left w:val="none" w:sz="0" w:space="0" w:color="FFFFFF"/>
            <w:bottom w:val="none" w:sz="0" w:space="0" w:color="FFFFFF"/>
            <w:right w:val="none" w:sz="0" w:space="0" w:color="FFFFFF"/>
          </w:tcBorders>
          <w:tcMar>
            <w:top w:w="80" w:type="dxa"/>
            <w:left w:w="0" w:type="dxa"/>
            <w:bottom w:w="0" w:type="dxa"/>
            <w:right w:w="0" w:type="dxa"/>
          </w:tcMar>
        </w:tcPr>
        <w:p w14:paraId="6A039E82" w14:textId="77777777" w:rsidR="00D60688" w:rsidRDefault="00000000">
          <w:pPr>
            <w:spacing w:line="276" w:lineRule="auto"/>
          </w:pPr>
          <w:r>
            <w:rPr>
              <w:rFonts w:ascii="Calibri" w:eastAsia="Calibri" w:hAnsi="Calibri" w:cs="Calibri"/>
              <w:color w:val="9BAABE"/>
              <w:sz w:val="14"/>
              <w:szCs w:val="14"/>
            </w:rPr>
            <w:t>For educational purposes only. Not investment advice. © Nexus Research.</w:t>
          </w:r>
        </w:p>
      </w:tc>
      <w:tc>
        <w:tcPr>
          <w:tcW w:w="1000" w:type="dxa"/>
          <w:tcBorders>
            <w:top w:val="single" w:sz="2" w:space="0" w:color="E8E4DC"/>
            <w:left w:val="none" w:sz="0" w:space="0" w:color="FFFFFF"/>
            <w:bottom w:val="none" w:sz="0" w:space="0" w:color="FFFFFF"/>
            <w:right w:val="none" w:sz="0" w:space="0" w:color="FFFFFF"/>
          </w:tcBorders>
          <w:tcMar>
            <w:top w:w="80" w:type="dxa"/>
            <w:left w:w="0" w:type="dxa"/>
            <w:bottom w:w="0" w:type="dxa"/>
            <w:right w:w="0" w:type="dxa"/>
          </w:tcMar>
        </w:tcPr>
        <w:p w14:paraId="27E4DDD6" w14:textId="77777777" w:rsidR="00D60688" w:rsidRDefault="00000000">
          <w:pPr>
            <w:spacing w:line="276" w:lineRule="auto"/>
            <w:jc w:val="right"/>
          </w:pPr>
          <w:r>
            <w:rPr>
              <w:rFonts w:ascii="Calibri" w:eastAsia="Calibri" w:hAnsi="Calibri" w:cs="Calibri"/>
              <w:color w:val="9BAABE"/>
              <w:sz w:val="14"/>
              <w:szCs w:val="14"/>
            </w:rPr>
            <w:t>6</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A453A" w14:textId="77777777" w:rsidR="001F4F7F" w:rsidRDefault="001F4F7F">
      <w:r>
        <w:separator/>
      </w:r>
    </w:p>
  </w:footnote>
  <w:footnote w:type="continuationSeparator" w:id="0">
    <w:p w14:paraId="6E905E15" w14:textId="77777777" w:rsidR="001F4F7F" w:rsidRDefault="001F4F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0"/>
      <w:gridCol w:w="2400"/>
    </w:tblGrid>
    <w:tr w:rsidR="00D60688" w14:paraId="3C3536AF" w14:textId="77777777">
      <w:tc>
        <w:tcPr>
          <w:tcW w:w="8400" w:type="dxa"/>
          <w:tcBorders>
            <w:top w:val="none" w:sz="0" w:space="0" w:color="FFFFFF"/>
            <w:left w:val="none" w:sz="0" w:space="0" w:color="FFFFFF"/>
            <w:bottom w:val="none" w:sz="0" w:space="0" w:color="FFFFFF"/>
            <w:right w:val="none" w:sz="0" w:space="0" w:color="FFFFFF"/>
          </w:tcBorders>
          <w:shd w:val="clear" w:color="auto" w:fill="1B2A4A"/>
          <w:tcMar>
            <w:top w:w="200" w:type="dxa"/>
            <w:left w:w="360" w:type="dxa"/>
            <w:bottom w:w="200" w:type="dxa"/>
            <w:right w:w="200" w:type="dxa"/>
          </w:tcMar>
        </w:tcPr>
        <w:p w14:paraId="5EDCFE58" w14:textId="77777777" w:rsidR="00D60688" w:rsidRDefault="00000000">
          <w:pPr>
            <w:spacing w:after="40" w:line="276" w:lineRule="auto"/>
          </w:pPr>
          <w:r>
            <w:rPr>
              <w:rFonts w:ascii="Palatino Linotype" w:eastAsia="Palatino Linotype" w:hAnsi="Palatino Linotype" w:cs="Palatino Linotype"/>
              <w:color w:val="FFFFFF"/>
              <w:sz w:val="40"/>
              <w:szCs w:val="40"/>
            </w:rPr>
            <w:t>Nexus</w:t>
          </w:r>
          <w:r>
            <w:rPr>
              <w:rFonts w:ascii="Palatino Linotype" w:eastAsia="Palatino Linotype" w:hAnsi="Palatino Linotype" w:cs="Palatino Linotype"/>
              <w:color w:val="C9A84C"/>
              <w:sz w:val="40"/>
              <w:szCs w:val="40"/>
            </w:rPr>
            <w:t xml:space="preserve"> Research</w:t>
          </w:r>
        </w:p>
        <w:p w14:paraId="5F166E74" w14:textId="11D38781" w:rsidR="00D60688" w:rsidRDefault="00000000">
          <w:pPr>
            <w:spacing w:line="276" w:lineRule="auto"/>
          </w:pPr>
          <w:r>
            <w:rPr>
              <w:rFonts w:ascii="Calibri" w:eastAsia="Calibri" w:hAnsi="Calibri" w:cs="Calibri"/>
              <w:color w:val="9BAABE"/>
              <w:sz w:val="16"/>
              <w:szCs w:val="16"/>
            </w:rPr>
            <w:t xml:space="preserve">Independent Macro </w:t>
          </w:r>
          <w:proofErr w:type="gramStart"/>
          <w:r w:rsidR="0058096F">
            <w:rPr>
              <w:rFonts w:ascii="Calibri" w:eastAsia="Calibri" w:hAnsi="Calibri" w:cs="Calibri"/>
              <w:color w:val="9BAABE"/>
              <w:sz w:val="16"/>
              <w:szCs w:val="16"/>
            </w:rPr>
            <w:t>Analysis  ·</w:t>
          </w:r>
          <w:proofErr w:type="gramEnd"/>
          <w:r>
            <w:rPr>
              <w:rFonts w:ascii="Calibri" w:eastAsia="Calibri" w:hAnsi="Calibri" w:cs="Calibri"/>
              <w:color w:val="9BAABE"/>
              <w:sz w:val="16"/>
              <w:szCs w:val="16"/>
            </w:rPr>
            <w:t xml:space="preserve">  Thematic Note</w:t>
          </w:r>
        </w:p>
      </w:tc>
      <w:tc>
        <w:tcPr>
          <w:tcW w:w="2400" w:type="dxa"/>
          <w:tcBorders>
            <w:top w:val="none" w:sz="0" w:space="0" w:color="FFFFFF"/>
            <w:left w:val="none" w:sz="0" w:space="0" w:color="FFFFFF"/>
            <w:bottom w:val="none" w:sz="0" w:space="0" w:color="FFFFFF"/>
            <w:right w:val="none" w:sz="0" w:space="0" w:color="FFFFFF"/>
          </w:tcBorders>
          <w:shd w:val="clear" w:color="auto" w:fill="1B2A4A"/>
          <w:tcMar>
            <w:top w:w="200" w:type="dxa"/>
            <w:left w:w="200" w:type="dxa"/>
            <w:bottom w:w="200" w:type="dxa"/>
            <w:right w:w="360" w:type="dxa"/>
          </w:tcMar>
        </w:tcPr>
        <w:p w14:paraId="7A9834F9" w14:textId="3DEF3093" w:rsidR="00D60688" w:rsidRDefault="0058096F">
          <w:pPr>
            <w:spacing w:line="276" w:lineRule="auto"/>
            <w:jc w:val="right"/>
          </w:pPr>
          <w:r>
            <w:rPr>
              <w:rFonts w:ascii="Calibri" w:eastAsia="Calibri" w:hAnsi="Calibri" w:cs="Calibri"/>
              <w:color w:val="9BAABE"/>
              <w:sz w:val="16"/>
              <w:szCs w:val="16"/>
            </w:rPr>
            <w:t>June 8</w:t>
          </w:r>
          <w:r w:rsidR="004345F3">
            <w:rPr>
              <w:rFonts w:ascii="Calibri" w:eastAsia="Calibri" w:hAnsi="Calibri" w:cs="Calibri"/>
              <w:color w:val="9BAABE"/>
              <w:sz w:val="16"/>
              <w:szCs w:val="16"/>
            </w:rPr>
            <w:t>, 2026</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400"/>
      <w:gridCol w:w="2200"/>
    </w:tblGrid>
    <w:tr w:rsidR="00D60688" w14:paraId="0748BFA2" w14:textId="77777777">
      <w:tc>
        <w:tcPr>
          <w:tcW w:w="2200" w:type="dxa"/>
          <w:tcBorders>
            <w:top w:val="none" w:sz="0" w:space="0" w:color="FFFFFF"/>
            <w:left w:val="none" w:sz="0" w:space="0" w:color="FFFFFF"/>
            <w:bottom w:val="none" w:sz="0" w:space="0" w:color="FFFFFF"/>
            <w:right w:val="none" w:sz="0" w:space="0" w:color="FFFFFF"/>
          </w:tcBorders>
          <w:shd w:val="clear" w:color="auto" w:fill="1B2A4A"/>
          <w:tcMar>
            <w:top w:w="120" w:type="dxa"/>
            <w:left w:w="360" w:type="dxa"/>
            <w:bottom w:w="120" w:type="dxa"/>
            <w:right w:w="200" w:type="dxa"/>
          </w:tcMar>
        </w:tcPr>
        <w:p w14:paraId="5B9846BB" w14:textId="77777777" w:rsidR="00D60688" w:rsidRDefault="00000000">
          <w:pPr>
            <w:spacing w:line="276" w:lineRule="auto"/>
          </w:pPr>
          <w:r>
            <w:rPr>
              <w:rFonts w:ascii="Calibri" w:eastAsia="Calibri" w:hAnsi="Calibri" w:cs="Calibri"/>
              <w:b/>
              <w:bCs/>
              <w:color w:val="C9A84C"/>
              <w:sz w:val="16"/>
              <w:szCs w:val="16"/>
            </w:rPr>
            <w:t>Nexus Research</w:t>
          </w:r>
        </w:p>
      </w:tc>
      <w:tc>
        <w:tcPr>
          <w:tcW w:w="640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vAlign w:val="center"/>
        </w:tcPr>
        <w:p w14:paraId="7BDE6380" w14:textId="77777777" w:rsidR="00D60688" w:rsidRDefault="00000000">
          <w:pPr>
            <w:spacing w:line="276" w:lineRule="auto"/>
            <w:jc w:val="center"/>
          </w:pPr>
          <w:r>
            <w:rPr>
              <w:rFonts w:ascii="Calibri" w:eastAsia="Calibri" w:hAnsi="Calibri" w:cs="Calibri"/>
              <w:color w:val="9BAABE"/>
              <w:sz w:val="14"/>
              <w:szCs w:val="14"/>
            </w:rPr>
            <w:t>Running on Empty</w:t>
          </w:r>
        </w:p>
      </w:tc>
      <w:tc>
        <w:tcPr>
          <w:tcW w:w="220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360" w:type="dxa"/>
          </w:tcMar>
        </w:tcPr>
        <w:p w14:paraId="1D9C1119" w14:textId="2A873328" w:rsidR="00D60688" w:rsidRDefault="0058096F">
          <w:pPr>
            <w:spacing w:line="276" w:lineRule="auto"/>
            <w:jc w:val="right"/>
          </w:pPr>
          <w:r>
            <w:rPr>
              <w:rFonts w:ascii="Calibri" w:eastAsia="Calibri" w:hAnsi="Calibri" w:cs="Calibri"/>
              <w:color w:val="9BAABE"/>
              <w:sz w:val="14"/>
              <w:szCs w:val="14"/>
            </w:rPr>
            <w:t>June 8</w:t>
          </w:r>
          <w:r w:rsidR="004345F3" w:rsidRPr="004345F3">
            <w:rPr>
              <w:rFonts w:ascii="Calibri" w:eastAsia="Calibri" w:hAnsi="Calibri" w:cs="Calibri"/>
              <w:color w:val="9BAABE"/>
              <w:sz w:val="14"/>
              <w:szCs w:val="14"/>
            </w:rPr>
            <w:t>, 2026</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400"/>
      <w:gridCol w:w="2200"/>
    </w:tblGrid>
    <w:tr w:rsidR="00D60688" w14:paraId="1AE621B2" w14:textId="77777777">
      <w:tc>
        <w:tcPr>
          <w:tcW w:w="2200" w:type="dxa"/>
          <w:tcBorders>
            <w:top w:val="none" w:sz="0" w:space="0" w:color="FFFFFF"/>
            <w:left w:val="none" w:sz="0" w:space="0" w:color="FFFFFF"/>
            <w:bottom w:val="none" w:sz="0" w:space="0" w:color="FFFFFF"/>
            <w:right w:val="none" w:sz="0" w:space="0" w:color="FFFFFF"/>
          </w:tcBorders>
          <w:shd w:val="clear" w:color="auto" w:fill="1B2A4A"/>
          <w:tcMar>
            <w:top w:w="120" w:type="dxa"/>
            <w:left w:w="360" w:type="dxa"/>
            <w:bottom w:w="120" w:type="dxa"/>
            <w:right w:w="200" w:type="dxa"/>
          </w:tcMar>
        </w:tcPr>
        <w:p w14:paraId="038DEF32" w14:textId="77777777" w:rsidR="00D60688" w:rsidRDefault="00000000">
          <w:pPr>
            <w:spacing w:line="276" w:lineRule="auto"/>
          </w:pPr>
          <w:r>
            <w:rPr>
              <w:rFonts w:ascii="Calibri" w:eastAsia="Calibri" w:hAnsi="Calibri" w:cs="Calibri"/>
              <w:b/>
              <w:bCs/>
              <w:color w:val="C9A84C"/>
              <w:sz w:val="16"/>
              <w:szCs w:val="16"/>
            </w:rPr>
            <w:t>Nexus Research</w:t>
          </w:r>
        </w:p>
      </w:tc>
      <w:tc>
        <w:tcPr>
          <w:tcW w:w="640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vAlign w:val="center"/>
        </w:tcPr>
        <w:p w14:paraId="771DF594" w14:textId="77777777" w:rsidR="00D60688" w:rsidRDefault="00000000">
          <w:pPr>
            <w:spacing w:line="276" w:lineRule="auto"/>
            <w:jc w:val="center"/>
          </w:pPr>
          <w:r>
            <w:rPr>
              <w:rFonts w:ascii="Calibri" w:eastAsia="Calibri" w:hAnsi="Calibri" w:cs="Calibri"/>
              <w:color w:val="9BAABE"/>
              <w:sz w:val="14"/>
              <w:szCs w:val="14"/>
            </w:rPr>
            <w:t>Running on Empty</w:t>
          </w:r>
        </w:p>
      </w:tc>
      <w:tc>
        <w:tcPr>
          <w:tcW w:w="220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360" w:type="dxa"/>
          </w:tcMar>
        </w:tcPr>
        <w:p w14:paraId="5363133E" w14:textId="7A902232" w:rsidR="00D60688" w:rsidRDefault="0058096F">
          <w:pPr>
            <w:spacing w:line="276" w:lineRule="auto"/>
            <w:jc w:val="right"/>
          </w:pPr>
          <w:r>
            <w:rPr>
              <w:rFonts w:ascii="Calibri" w:eastAsia="Calibri" w:hAnsi="Calibri" w:cs="Calibri"/>
              <w:color w:val="9BAABE"/>
              <w:sz w:val="14"/>
              <w:szCs w:val="14"/>
            </w:rPr>
            <w:t>June 8</w:t>
          </w:r>
          <w:r w:rsidR="004345F3" w:rsidRPr="004345F3">
            <w:rPr>
              <w:rFonts w:ascii="Calibri" w:eastAsia="Calibri" w:hAnsi="Calibri" w:cs="Calibri"/>
              <w:color w:val="9BAABE"/>
              <w:sz w:val="14"/>
              <w:szCs w:val="14"/>
            </w:rPr>
            <w:t>, 2026</w:t>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400"/>
      <w:gridCol w:w="2200"/>
    </w:tblGrid>
    <w:tr w:rsidR="00D60688" w14:paraId="6D98A492" w14:textId="77777777">
      <w:tc>
        <w:tcPr>
          <w:tcW w:w="2200" w:type="dxa"/>
          <w:tcBorders>
            <w:top w:val="none" w:sz="0" w:space="0" w:color="FFFFFF"/>
            <w:left w:val="none" w:sz="0" w:space="0" w:color="FFFFFF"/>
            <w:bottom w:val="none" w:sz="0" w:space="0" w:color="FFFFFF"/>
            <w:right w:val="none" w:sz="0" w:space="0" w:color="FFFFFF"/>
          </w:tcBorders>
          <w:shd w:val="clear" w:color="auto" w:fill="1B2A4A"/>
          <w:tcMar>
            <w:top w:w="120" w:type="dxa"/>
            <w:left w:w="360" w:type="dxa"/>
            <w:bottom w:w="120" w:type="dxa"/>
            <w:right w:w="200" w:type="dxa"/>
          </w:tcMar>
        </w:tcPr>
        <w:p w14:paraId="5B8B3623" w14:textId="77777777" w:rsidR="00D60688" w:rsidRDefault="00000000">
          <w:pPr>
            <w:spacing w:line="276" w:lineRule="auto"/>
          </w:pPr>
          <w:r>
            <w:rPr>
              <w:rFonts w:ascii="Calibri" w:eastAsia="Calibri" w:hAnsi="Calibri" w:cs="Calibri"/>
              <w:b/>
              <w:bCs/>
              <w:color w:val="C9A84C"/>
              <w:sz w:val="16"/>
              <w:szCs w:val="16"/>
            </w:rPr>
            <w:t>Nexus Research</w:t>
          </w:r>
        </w:p>
      </w:tc>
      <w:tc>
        <w:tcPr>
          <w:tcW w:w="640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vAlign w:val="center"/>
        </w:tcPr>
        <w:p w14:paraId="06A8BA87" w14:textId="77777777" w:rsidR="00D60688" w:rsidRDefault="00000000">
          <w:pPr>
            <w:spacing w:line="276" w:lineRule="auto"/>
            <w:jc w:val="center"/>
          </w:pPr>
          <w:r>
            <w:rPr>
              <w:rFonts w:ascii="Calibri" w:eastAsia="Calibri" w:hAnsi="Calibri" w:cs="Calibri"/>
              <w:color w:val="9BAABE"/>
              <w:sz w:val="14"/>
              <w:szCs w:val="14"/>
            </w:rPr>
            <w:t>Running on Empty</w:t>
          </w:r>
        </w:p>
      </w:tc>
      <w:tc>
        <w:tcPr>
          <w:tcW w:w="220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360" w:type="dxa"/>
          </w:tcMar>
        </w:tcPr>
        <w:p w14:paraId="12089068" w14:textId="7CCD93C1" w:rsidR="00D60688" w:rsidRDefault="0058096F">
          <w:pPr>
            <w:spacing w:line="276" w:lineRule="auto"/>
            <w:jc w:val="right"/>
          </w:pPr>
          <w:r>
            <w:rPr>
              <w:rFonts w:ascii="Calibri" w:eastAsia="Calibri" w:hAnsi="Calibri" w:cs="Calibri"/>
              <w:color w:val="9BAABE"/>
              <w:sz w:val="14"/>
              <w:szCs w:val="14"/>
            </w:rPr>
            <w:t>June 8</w:t>
          </w:r>
          <w:r w:rsidR="004345F3" w:rsidRPr="004345F3">
            <w:rPr>
              <w:rFonts w:ascii="Calibri" w:eastAsia="Calibri" w:hAnsi="Calibri" w:cs="Calibri"/>
              <w:color w:val="9BAABE"/>
              <w:sz w:val="14"/>
              <w:szCs w:val="14"/>
            </w:rPr>
            <w:t>, 2026</w:t>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400"/>
      <w:gridCol w:w="2200"/>
    </w:tblGrid>
    <w:tr w:rsidR="00D60688" w14:paraId="77ABA29C" w14:textId="77777777">
      <w:tc>
        <w:tcPr>
          <w:tcW w:w="2200" w:type="dxa"/>
          <w:tcBorders>
            <w:top w:val="none" w:sz="0" w:space="0" w:color="FFFFFF"/>
            <w:left w:val="none" w:sz="0" w:space="0" w:color="FFFFFF"/>
            <w:bottom w:val="none" w:sz="0" w:space="0" w:color="FFFFFF"/>
            <w:right w:val="none" w:sz="0" w:space="0" w:color="FFFFFF"/>
          </w:tcBorders>
          <w:shd w:val="clear" w:color="auto" w:fill="1B2A4A"/>
          <w:tcMar>
            <w:top w:w="120" w:type="dxa"/>
            <w:left w:w="360" w:type="dxa"/>
            <w:bottom w:w="120" w:type="dxa"/>
            <w:right w:w="200" w:type="dxa"/>
          </w:tcMar>
        </w:tcPr>
        <w:p w14:paraId="3367CE62" w14:textId="77777777" w:rsidR="00D60688" w:rsidRDefault="00000000">
          <w:pPr>
            <w:spacing w:line="276" w:lineRule="auto"/>
          </w:pPr>
          <w:r>
            <w:rPr>
              <w:rFonts w:ascii="Calibri" w:eastAsia="Calibri" w:hAnsi="Calibri" w:cs="Calibri"/>
              <w:b/>
              <w:bCs/>
              <w:color w:val="C9A84C"/>
              <w:sz w:val="16"/>
              <w:szCs w:val="16"/>
            </w:rPr>
            <w:t>Nexus Research</w:t>
          </w:r>
        </w:p>
      </w:tc>
      <w:tc>
        <w:tcPr>
          <w:tcW w:w="640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vAlign w:val="center"/>
        </w:tcPr>
        <w:p w14:paraId="3065601E" w14:textId="77777777" w:rsidR="00D60688" w:rsidRDefault="00000000">
          <w:pPr>
            <w:spacing w:line="276" w:lineRule="auto"/>
            <w:jc w:val="center"/>
          </w:pPr>
          <w:r>
            <w:rPr>
              <w:rFonts w:ascii="Calibri" w:eastAsia="Calibri" w:hAnsi="Calibri" w:cs="Calibri"/>
              <w:color w:val="9BAABE"/>
              <w:sz w:val="14"/>
              <w:szCs w:val="14"/>
            </w:rPr>
            <w:t>Running on Empty</w:t>
          </w:r>
        </w:p>
      </w:tc>
      <w:tc>
        <w:tcPr>
          <w:tcW w:w="220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360" w:type="dxa"/>
          </w:tcMar>
        </w:tcPr>
        <w:p w14:paraId="3C25228F" w14:textId="2111CA59" w:rsidR="00D60688" w:rsidRDefault="0058096F">
          <w:pPr>
            <w:spacing w:line="276" w:lineRule="auto"/>
            <w:jc w:val="right"/>
          </w:pPr>
          <w:r>
            <w:rPr>
              <w:rFonts w:ascii="Calibri" w:eastAsia="Calibri" w:hAnsi="Calibri" w:cs="Calibri"/>
              <w:color w:val="9BAABE"/>
              <w:sz w:val="14"/>
              <w:szCs w:val="14"/>
            </w:rPr>
            <w:t>June 8</w:t>
          </w:r>
          <w:r w:rsidR="004345F3" w:rsidRPr="004345F3">
            <w:rPr>
              <w:rFonts w:ascii="Calibri" w:eastAsia="Calibri" w:hAnsi="Calibri" w:cs="Calibri"/>
              <w:color w:val="9BAABE"/>
              <w:sz w:val="14"/>
              <w:szCs w:val="14"/>
            </w:rPr>
            <w:t>, 2026</w:t>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Ind w:w="-717"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400"/>
      <w:gridCol w:w="2200"/>
    </w:tblGrid>
    <w:tr w:rsidR="00D60688" w14:paraId="1FABBA77" w14:textId="77777777" w:rsidTr="004A5997">
      <w:tc>
        <w:tcPr>
          <w:tcW w:w="2200" w:type="dxa"/>
          <w:tcBorders>
            <w:top w:val="none" w:sz="0" w:space="0" w:color="FFFFFF"/>
            <w:left w:val="none" w:sz="0" w:space="0" w:color="FFFFFF"/>
            <w:bottom w:val="none" w:sz="0" w:space="0" w:color="FFFFFF"/>
            <w:right w:val="none" w:sz="0" w:space="0" w:color="FFFFFF"/>
          </w:tcBorders>
          <w:shd w:val="clear" w:color="auto" w:fill="1B2A4A"/>
          <w:tcMar>
            <w:top w:w="120" w:type="dxa"/>
            <w:left w:w="360" w:type="dxa"/>
            <w:bottom w:w="120" w:type="dxa"/>
            <w:right w:w="200" w:type="dxa"/>
          </w:tcMar>
        </w:tcPr>
        <w:p w14:paraId="25810E0B" w14:textId="77777777" w:rsidR="00D60688" w:rsidRDefault="00000000">
          <w:pPr>
            <w:spacing w:line="276" w:lineRule="auto"/>
          </w:pPr>
          <w:r>
            <w:rPr>
              <w:rFonts w:ascii="Calibri" w:eastAsia="Calibri" w:hAnsi="Calibri" w:cs="Calibri"/>
              <w:b/>
              <w:bCs/>
              <w:color w:val="C9A84C"/>
              <w:sz w:val="16"/>
              <w:szCs w:val="16"/>
            </w:rPr>
            <w:t>Nexus Research</w:t>
          </w:r>
        </w:p>
      </w:tc>
      <w:tc>
        <w:tcPr>
          <w:tcW w:w="640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vAlign w:val="center"/>
        </w:tcPr>
        <w:p w14:paraId="63047A09" w14:textId="77777777" w:rsidR="00D60688" w:rsidRDefault="00000000">
          <w:pPr>
            <w:spacing w:line="276" w:lineRule="auto"/>
            <w:jc w:val="center"/>
          </w:pPr>
          <w:r>
            <w:rPr>
              <w:rFonts w:ascii="Calibri" w:eastAsia="Calibri" w:hAnsi="Calibri" w:cs="Calibri"/>
              <w:color w:val="9BAABE"/>
              <w:sz w:val="14"/>
              <w:szCs w:val="14"/>
            </w:rPr>
            <w:t>Running on Empty</w:t>
          </w:r>
        </w:p>
      </w:tc>
      <w:tc>
        <w:tcPr>
          <w:tcW w:w="220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360" w:type="dxa"/>
          </w:tcMar>
        </w:tcPr>
        <w:p w14:paraId="3DCA9465" w14:textId="206CB1BC" w:rsidR="00D60688" w:rsidRDefault="0058096F">
          <w:pPr>
            <w:spacing w:line="276" w:lineRule="auto"/>
            <w:jc w:val="right"/>
          </w:pPr>
          <w:r>
            <w:rPr>
              <w:rFonts w:ascii="Calibri" w:eastAsia="Calibri" w:hAnsi="Calibri" w:cs="Calibri"/>
              <w:color w:val="9BAABE"/>
              <w:sz w:val="14"/>
              <w:szCs w:val="14"/>
            </w:rPr>
            <w:t>June 8</w:t>
          </w:r>
          <w:r w:rsidR="004345F3" w:rsidRPr="004345F3">
            <w:rPr>
              <w:rFonts w:ascii="Calibri" w:eastAsia="Calibri" w:hAnsi="Calibri" w:cs="Calibri"/>
              <w:color w:val="9BAABE"/>
              <w:sz w:val="14"/>
              <w:szCs w:val="14"/>
            </w:rPr>
            <w:t>,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9718A"/>
    <w:multiLevelType w:val="hybridMultilevel"/>
    <w:tmpl w:val="5ED2107E"/>
    <w:lvl w:ilvl="0" w:tplc="0B841838">
      <w:start w:val="1"/>
      <w:numFmt w:val="bullet"/>
      <w:lvlText w:val="●"/>
      <w:lvlJc w:val="left"/>
      <w:pPr>
        <w:ind w:left="720" w:hanging="360"/>
      </w:pPr>
    </w:lvl>
    <w:lvl w:ilvl="1" w:tplc="8CD441A8">
      <w:start w:val="1"/>
      <w:numFmt w:val="bullet"/>
      <w:lvlText w:val="○"/>
      <w:lvlJc w:val="left"/>
      <w:pPr>
        <w:ind w:left="1440" w:hanging="360"/>
      </w:pPr>
    </w:lvl>
    <w:lvl w:ilvl="2" w:tplc="1B3AEE2E">
      <w:start w:val="1"/>
      <w:numFmt w:val="bullet"/>
      <w:lvlText w:val="■"/>
      <w:lvlJc w:val="left"/>
      <w:pPr>
        <w:ind w:left="2160" w:hanging="360"/>
      </w:pPr>
    </w:lvl>
    <w:lvl w:ilvl="3" w:tplc="1ED2C4F0">
      <w:start w:val="1"/>
      <w:numFmt w:val="bullet"/>
      <w:lvlText w:val="●"/>
      <w:lvlJc w:val="left"/>
      <w:pPr>
        <w:ind w:left="2880" w:hanging="360"/>
      </w:pPr>
    </w:lvl>
    <w:lvl w:ilvl="4" w:tplc="B5FE4A4E">
      <w:start w:val="1"/>
      <w:numFmt w:val="bullet"/>
      <w:lvlText w:val="○"/>
      <w:lvlJc w:val="left"/>
      <w:pPr>
        <w:ind w:left="3600" w:hanging="360"/>
      </w:pPr>
    </w:lvl>
    <w:lvl w:ilvl="5" w:tplc="14765338">
      <w:start w:val="1"/>
      <w:numFmt w:val="bullet"/>
      <w:lvlText w:val="■"/>
      <w:lvlJc w:val="left"/>
      <w:pPr>
        <w:ind w:left="4320" w:hanging="360"/>
      </w:pPr>
    </w:lvl>
    <w:lvl w:ilvl="6" w:tplc="04B88346">
      <w:start w:val="1"/>
      <w:numFmt w:val="bullet"/>
      <w:lvlText w:val="●"/>
      <w:lvlJc w:val="left"/>
      <w:pPr>
        <w:ind w:left="5040" w:hanging="360"/>
      </w:pPr>
    </w:lvl>
    <w:lvl w:ilvl="7" w:tplc="9FB0A89E">
      <w:start w:val="1"/>
      <w:numFmt w:val="bullet"/>
      <w:lvlText w:val="●"/>
      <w:lvlJc w:val="left"/>
      <w:pPr>
        <w:ind w:left="5760" w:hanging="360"/>
      </w:pPr>
    </w:lvl>
    <w:lvl w:ilvl="8" w:tplc="33804246">
      <w:start w:val="1"/>
      <w:numFmt w:val="bullet"/>
      <w:lvlText w:val="●"/>
      <w:lvlJc w:val="left"/>
      <w:pPr>
        <w:ind w:left="6480" w:hanging="360"/>
      </w:pPr>
    </w:lvl>
  </w:abstractNum>
  <w:num w:numId="1" w16cid:durableId="11433478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688"/>
    <w:rsid w:val="00051FA8"/>
    <w:rsid w:val="000B2921"/>
    <w:rsid w:val="000C1F8A"/>
    <w:rsid w:val="001218DB"/>
    <w:rsid w:val="001264A1"/>
    <w:rsid w:val="001F4F7F"/>
    <w:rsid w:val="00234F8E"/>
    <w:rsid w:val="0024161E"/>
    <w:rsid w:val="002711CA"/>
    <w:rsid w:val="00325CC8"/>
    <w:rsid w:val="003E0A16"/>
    <w:rsid w:val="003F6A72"/>
    <w:rsid w:val="0042203E"/>
    <w:rsid w:val="004345F3"/>
    <w:rsid w:val="00441BC9"/>
    <w:rsid w:val="00445525"/>
    <w:rsid w:val="004A5997"/>
    <w:rsid w:val="0055066E"/>
    <w:rsid w:val="0058096F"/>
    <w:rsid w:val="00597041"/>
    <w:rsid w:val="005B295A"/>
    <w:rsid w:val="005B4364"/>
    <w:rsid w:val="00601181"/>
    <w:rsid w:val="00650D43"/>
    <w:rsid w:val="00771DF4"/>
    <w:rsid w:val="007A2B17"/>
    <w:rsid w:val="007F43A9"/>
    <w:rsid w:val="008312A5"/>
    <w:rsid w:val="008636B0"/>
    <w:rsid w:val="00895C07"/>
    <w:rsid w:val="008C2CFD"/>
    <w:rsid w:val="009342CE"/>
    <w:rsid w:val="009E389A"/>
    <w:rsid w:val="00A77371"/>
    <w:rsid w:val="00AC47A0"/>
    <w:rsid w:val="00B93B76"/>
    <w:rsid w:val="00BB7AF6"/>
    <w:rsid w:val="00C20A85"/>
    <w:rsid w:val="00CB79AD"/>
    <w:rsid w:val="00D51210"/>
    <w:rsid w:val="00D60688"/>
    <w:rsid w:val="00D66204"/>
    <w:rsid w:val="00DA6BC5"/>
    <w:rsid w:val="00E6624C"/>
    <w:rsid w:val="00E75B11"/>
    <w:rsid w:val="00E802B4"/>
    <w:rsid w:val="00EB072F"/>
    <w:rsid w:val="00EF710D"/>
    <w:rsid w:val="00FE3F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64E454"/>
  <w15:docId w15:val="{6D765B5C-D55B-4DA7-A7F0-C2842ABC8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A5997"/>
    <w:pPr>
      <w:tabs>
        <w:tab w:val="center" w:pos="4680"/>
        <w:tab w:val="right" w:pos="9360"/>
      </w:tabs>
    </w:pPr>
  </w:style>
  <w:style w:type="character" w:customStyle="1" w:styleId="HeaderChar">
    <w:name w:val="Header Char"/>
    <w:basedOn w:val="DefaultParagraphFont"/>
    <w:link w:val="Header"/>
    <w:uiPriority w:val="99"/>
    <w:rsid w:val="004A5997"/>
  </w:style>
  <w:style w:type="paragraph" w:styleId="Footer">
    <w:name w:val="footer"/>
    <w:basedOn w:val="Normal"/>
    <w:link w:val="FooterChar"/>
    <w:uiPriority w:val="99"/>
    <w:unhideWhenUsed/>
    <w:rsid w:val="004A5997"/>
    <w:pPr>
      <w:tabs>
        <w:tab w:val="center" w:pos="4680"/>
        <w:tab w:val="right" w:pos="9360"/>
      </w:tabs>
    </w:pPr>
  </w:style>
  <w:style w:type="character" w:customStyle="1" w:styleId="FooterChar">
    <w:name w:val="Footer Char"/>
    <w:basedOn w:val="DefaultParagraphFont"/>
    <w:link w:val="Footer"/>
    <w:uiPriority w:val="99"/>
    <w:rsid w:val="004A5997"/>
  </w:style>
  <w:style w:type="character" w:styleId="UnresolvedMention">
    <w:name w:val="Unresolved Mention"/>
    <w:basedOn w:val="DefaultParagraphFont"/>
    <w:uiPriority w:val="99"/>
    <w:semiHidden/>
    <w:unhideWhenUsed/>
    <w:rsid w:val="00C20A85"/>
    <w:rPr>
      <w:color w:val="605E5C"/>
      <w:shd w:val="clear" w:color="auto" w:fill="E1DFDD"/>
    </w:rPr>
  </w:style>
  <w:style w:type="paragraph" w:styleId="Caption">
    <w:name w:val="caption"/>
    <w:basedOn w:val="Normal"/>
    <w:next w:val="Normal"/>
    <w:uiPriority w:val="35"/>
    <w:unhideWhenUsed/>
    <w:qFormat/>
    <w:rsid w:val="00895C07"/>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4.xml"/></Relationships>
</file>

<file path=word/_rels/footer1.xml.rels><?xml version="1.0" encoding="UTF-8" standalone="yes"?>
<Relationships xmlns="http://schemas.openxmlformats.org/package/2006/relationships"><Relationship Id="rId2" Type="http://schemas.openxmlformats.org/officeDocument/2006/relationships/hyperlink" Target="https://raptor8600.github.io/Portfolio-Site/" TargetMode="External"/><Relationship Id="rId1" Type="http://schemas.openxmlformats.org/officeDocument/2006/relationships/hyperlink" Target="mailto:marygzscott860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721</TotalTime>
  <Pages>10</Pages>
  <Words>3894</Words>
  <Characters>22199</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Mary Grace Scott</cp:lastModifiedBy>
  <cp:revision>55</cp:revision>
  <dcterms:created xsi:type="dcterms:W3CDTF">2026-06-05T09:15:00Z</dcterms:created>
  <dcterms:modified xsi:type="dcterms:W3CDTF">2026-06-08T16:11:00Z</dcterms:modified>
</cp:coreProperties>
</file>