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43B8" w14:textId="24FD5340" w:rsidR="003B7EC9" w:rsidRPr="00E07A91" w:rsidRDefault="00DD284B" w:rsidP="00225B3E">
      <w:pPr>
        <w:tabs>
          <w:tab w:val="left" w:pos="3119"/>
        </w:tabs>
        <w:rPr>
          <w:rFonts w:ascii="Barlow" w:hAnsi="Barlow"/>
        </w:rPr>
      </w:pPr>
      <w:r w:rsidRPr="00E07A91">
        <w:rPr>
          <w:rFonts w:ascii="Barlow" w:hAnsi="Barlow"/>
          <w:noProof/>
          <w:lang w:eastAsia="en-US"/>
        </w:rPr>
        <mc:AlternateContent>
          <mc:Choice Requires="wps">
            <w:drawing>
              <wp:anchor distT="45720" distB="45720" distL="114300" distR="114300" simplePos="0" relativeHeight="251664384" behindDoc="0" locked="0" layoutInCell="1" allowOverlap="1" wp14:anchorId="1C8EC06D" wp14:editId="4135FB44">
                <wp:simplePos x="0" y="0"/>
                <wp:positionH relativeFrom="margin">
                  <wp:posOffset>173355</wp:posOffset>
                </wp:positionH>
                <wp:positionV relativeFrom="paragraph">
                  <wp:posOffset>3562559</wp:posOffset>
                </wp:positionV>
                <wp:extent cx="5443855" cy="91186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855" cy="911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1970" w14:textId="71A7ED75" w:rsidR="002C5093" w:rsidRDefault="002C5093" w:rsidP="00DD284B">
                            <w:pPr>
                              <w:jc w:val="center"/>
                              <w:rPr>
                                <w:rFonts w:ascii="Gotham" w:hAnsi="Gotham" w:cs="Calibri"/>
                                <w:b/>
                                <w:color w:val="04364D"/>
                                <w:sz w:val="72"/>
                                <w:szCs w:val="72"/>
                              </w:rPr>
                            </w:pPr>
                            <w:r>
                              <w:rPr>
                                <w:rFonts w:ascii="Gotham" w:hAnsi="Gotham" w:cs="Calibri"/>
                                <w:b/>
                                <w:color w:val="04364D"/>
                                <w:sz w:val="72"/>
                                <w:szCs w:val="72"/>
                              </w:rPr>
                              <w:t>Open Call 1</w:t>
                            </w:r>
                          </w:p>
                          <w:p w14:paraId="05BC4977" w14:textId="77777777" w:rsidR="002C5093" w:rsidRDefault="002C5093" w:rsidP="00DD284B">
                            <w:pPr>
                              <w:jc w:val="center"/>
                              <w:rPr>
                                <w:rFonts w:ascii="Gotham" w:hAnsi="Gotham" w:cs="Calibri"/>
                                <w:b/>
                                <w:color w:val="04364D"/>
                                <w:sz w:val="72"/>
                                <w:szCs w:val="72"/>
                              </w:rPr>
                            </w:pPr>
                          </w:p>
                          <w:p w14:paraId="71831797" w14:textId="1B6B7D8D" w:rsidR="00DD284B" w:rsidRPr="00D2626E" w:rsidRDefault="00DD284B" w:rsidP="00DD284B">
                            <w:pPr>
                              <w:jc w:val="center"/>
                              <w:rPr>
                                <w:rFonts w:ascii="Gotham" w:hAnsi="Gotham" w:cs="Calibri"/>
                                <w:b/>
                                <w:color w:val="04364D"/>
                                <w:sz w:val="72"/>
                                <w:szCs w:val="72"/>
                              </w:rPr>
                            </w:pPr>
                            <w:r w:rsidRPr="00D2626E">
                              <w:rPr>
                                <w:rFonts w:ascii="Gotham" w:hAnsi="Gotham" w:cs="Calibri"/>
                                <w:b/>
                                <w:color w:val="04364D"/>
                                <w:sz w:val="72"/>
                                <w:szCs w:val="72"/>
                              </w:rPr>
                              <w:t>D2.1</w:t>
                            </w:r>
                          </w:p>
                          <w:p w14:paraId="4D2CE907" w14:textId="77777777" w:rsidR="00DD284B" w:rsidRPr="00D2626E" w:rsidRDefault="00DD284B" w:rsidP="00DD284B">
                            <w:pPr>
                              <w:jc w:val="center"/>
                              <w:rPr>
                                <w:rFonts w:ascii="Gotham" w:hAnsi="Gotham" w:cs="Calibri"/>
                                <w:b/>
                                <w:color w:val="04364D"/>
                                <w:sz w:val="72"/>
                                <w:szCs w:val="72"/>
                              </w:rPr>
                            </w:pPr>
                            <w:r w:rsidRPr="00D2626E">
                              <w:rPr>
                                <w:rFonts w:ascii="Gotham" w:hAnsi="Gotham" w:cs="Calibri"/>
                                <w:b/>
                                <w:color w:val="04364D"/>
                                <w:sz w:val="72"/>
                                <w:szCs w:val="72"/>
                              </w:rPr>
                              <w:t>System Architecture Specification</w:t>
                            </w:r>
                          </w:p>
                          <w:p w14:paraId="4EF47E0B" w14:textId="1B8B9D2D" w:rsidR="00DD284B" w:rsidRPr="00225B3E" w:rsidRDefault="00DD284B" w:rsidP="00DD284B">
                            <w:pPr>
                              <w:jc w:val="center"/>
                              <w:rPr>
                                <w:rFonts w:ascii="Gotham" w:hAnsi="Gotham" w:cs="Calibri"/>
                                <w:color w:val="2D67B3"/>
                                <w:sz w:val="40"/>
                                <w:szCs w:val="4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C8EC06D" id="_x0000_t202" coordsize="21600,21600" o:spt="202" path="m,l,21600r21600,l21600,xe">
                <v:stroke joinstyle="miter"/>
                <v:path gradientshapeok="t" o:connecttype="rect"/>
              </v:shapetype>
              <v:shape id="Text Box 2" o:spid="_x0000_s1026" type="#_x0000_t202" style="position:absolute;margin-left:13.65pt;margin-top:280.5pt;width:428.65pt;height:71.8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" filled="f" stroked="f">
                <v:textbox style="mso-fit-shape-to-text:t">
                  <w:txbxContent>
                    <w:p w14:paraId="7BE41970" w14:textId="71A7ED75" w:rsidR="002C5093" w:rsidRDefault="002C5093" w:rsidP="00DD284B">
                      <w:pPr>
                        <w:jc w:val="center"/>
                        <w:rPr>
                          <w:rFonts w:ascii="Gotham" w:hAnsi="Gotham" w:cs="Calibri"/>
                          <w:b/>
                          <w:color w:val="04364D"/>
                          <w:sz w:val="72"/>
                          <w:szCs w:val="72"/>
                        </w:rPr>
                      </w:pPr>
                      <w:r>
                        <w:rPr>
                          <w:rFonts w:ascii="Gotham" w:hAnsi="Gotham" w:cs="Calibri"/>
                          <w:b/>
                          <w:color w:val="04364D"/>
                          <w:sz w:val="72"/>
                          <w:szCs w:val="72"/>
                        </w:rPr>
                        <w:t>Open Call 1</w:t>
                      </w:r>
                    </w:p>
                    <w:p w14:paraId="05BC4977" w14:textId="77777777" w:rsidR="002C5093" w:rsidRDefault="002C5093" w:rsidP="00DD284B">
                      <w:pPr>
                        <w:jc w:val="center"/>
                        <w:rPr>
                          <w:rFonts w:ascii="Gotham" w:hAnsi="Gotham" w:cs="Calibri"/>
                          <w:b/>
                          <w:color w:val="04364D"/>
                          <w:sz w:val="72"/>
                          <w:szCs w:val="72"/>
                        </w:rPr>
                      </w:pPr>
                    </w:p>
                    <w:p w14:paraId="71831797" w14:textId="1B6B7D8D" w:rsidR="00DD284B" w:rsidRPr="00D2626E" w:rsidRDefault="00DD284B" w:rsidP="00DD284B">
                      <w:pPr>
                        <w:jc w:val="center"/>
                        <w:rPr>
                          <w:rFonts w:ascii="Gotham" w:hAnsi="Gotham" w:cs="Calibri"/>
                          <w:b/>
                          <w:color w:val="04364D"/>
                          <w:sz w:val="72"/>
                          <w:szCs w:val="72"/>
                        </w:rPr>
                      </w:pPr>
                      <w:r w:rsidRPr="00D2626E">
                        <w:rPr>
                          <w:rFonts w:ascii="Gotham" w:hAnsi="Gotham" w:cs="Calibri"/>
                          <w:b/>
                          <w:color w:val="04364D"/>
                          <w:sz w:val="72"/>
                          <w:szCs w:val="72"/>
                        </w:rPr>
                        <w:t>D2.1</w:t>
                      </w:r>
                    </w:p>
                    <w:p w14:paraId="4D2CE907" w14:textId="77777777" w:rsidR="00DD284B" w:rsidRPr="00D2626E" w:rsidRDefault="00DD284B" w:rsidP="00DD284B">
                      <w:pPr>
                        <w:jc w:val="center"/>
                        <w:rPr>
                          <w:rFonts w:ascii="Gotham" w:hAnsi="Gotham" w:cs="Calibri"/>
                          <w:b/>
                          <w:color w:val="04364D"/>
                          <w:sz w:val="72"/>
                          <w:szCs w:val="72"/>
                        </w:rPr>
                      </w:pPr>
                      <w:r w:rsidRPr="00D2626E">
                        <w:rPr>
                          <w:rFonts w:ascii="Gotham" w:hAnsi="Gotham" w:cs="Calibri"/>
                          <w:b/>
                          <w:color w:val="04364D"/>
                          <w:sz w:val="72"/>
                          <w:szCs w:val="72"/>
                        </w:rPr>
                        <w:t>System Architecture Specification</w:t>
                      </w:r>
                    </w:p>
                    <w:p w14:paraId="4EF47E0B" w14:textId="1B8B9D2D" w:rsidR="00DD284B" w:rsidRPr="00225B3E" w:rsidRDefault="00DD284B" w:rsidP="00DD284B">
                      <w:pPr>
                        <w:jc w:val="center"/>
                        <w:rPr>
                          <w:rFonts w:ascii="Gotham" w:hAnsi="Gotham" w:cs="Calibri"/>
                          <w:color w:val="2D67B3"/>
                          <w:sz w:val="40"/>
                          <w:szCs w:val="40"/>
                        </w:rPr>
                      </w:pPr>
                    </w:p>
                  </w:txbxContent>
                </v:textbox>
                <w10:wrap type="square" anchorx="margin"/>
              </v:shape>
            </w:pict>
          </mc:Fallback>
        </mc:AlternateContent>
      </w:r>
      <w:r w:rsidRPr="00E07A91">
        <w:rPr>
          <w:rFonts w:ascii="Barlow" w:hAnsi="Barlow"/>
        </w:rPr>
        <w:br w:type="page"/>
      </w:r>
    </w:p>
    <w:p w14:paraId="626B6106" w14:textId="77777777" w:rsidR="003B7EC9" w:rsidRPr="00E07A91" w:rsidRDefault="003B7EC9" w:rsidP="003B7EC9">
      <w:pPr>
        <w:pStyle w:val="Title"/>
        <w:rPr>
          <w:rFonts w:ascii="Barlow" w:hAnsi="Barlow"/>
          <w:color w:val="00344B"/>
        </w:rPr>
      </w:pPr>
      <w:r w:rsidRPr="00E07A91">
        <w:rPr>
          <w:rFonts w:ascii="Barlow" w:hAnsi="Barlow"/>
          <w:color w:val="00344B"/>
        </w:rPr>
        <w:lastRenderedPageBreak/>
        <w:t>DOCUMENT CONTROL SHEET</w:t>
      </w:r>
    </w:p>
    <w:p w14:paraId="4C7616F2" w14:textId="3A28E911" w:rsidR="003B7EC9" w:rsidRPr="00E07A91" w:rsidRDefault="00AF2F71" w:rsidP="003B7EC9">
      <w:pPr>
        <w:spacing w:line="480" w:lineRule="auto"/>
        <w:rPr>
          <w:rFonts w:ascii="Barlow" w:hAnsi="Barlow"/>
          <w:smallCaps/>
          <w:color w:val="31AE71"/>
        </w:rPr>
      </w:pPr>
      <w:r>
        <w:rPr>
          <w:rFonts w:ascii="Barlow" w:hAnsi="Barlow"/>
          <w:smallCaps/>
          <w:color w:val="31AE71"/>
        </w:rPr>
        <w:t>HEDGE IoT</w:t>
      </w:r>
      <w:r w:rsidRPr="00E07A91">
        <w:rPr>
          <w:rFonts w:ascii="Barlow" w:hAnsi="Barlow"/>
          <w:smallCaps/>
          <w:color w:val="31AE71"/>
        </w:rPr>
        <w:t xml:space="preserve"> </w:t>
      </w:r>
      <w:r w:rsidR="003B7EC9" w:rsidRPr="00E07A91">
        <w:rPr>
          <w:rFonts w:ascii="Barlow" w:hAnsi="Barlow"/>
          <w:smallCaps/>
          <w:color w:val="31AE71"/>
        </w:rPr>
        <w:t>PROJECT INFORMATION</w:t>
      </w:r>
    </w:p>
    <w:tbl>
      <w:tblPr>
        <w:tblpPr w:leftFromText="142" w:rightFromText="142" w:bottomFromText="425" w:vertAnchor="text" w:tblpY="1"/>
        <w:tblOverlap w:val="never"/>
        <w:tblW w:w="5000" w:type="pct"/>
        <w:tblBorders>
          <w:top w:val="single" w:sz="2" w:space="0" w:color="CECFD0" w:themeColor="accent1"/>
          <w:left w:val="single" w:sz="2" w:space="0" w:color="CECFD0" w:themeColor="accent1"/>
          <w:bottom w:val="single" w:sz="2" w:space="0" w:color="CECFD0" w:themeColor="accent1"/>
          <w:right w:val="single" w:sz="2" w:space="0" w:color="CECFD0" w:themeColor="accent1"/>
          <w:insideH w:val="single" w:sz="2" w:space="0" w:color="CECFD0" w:themeColor="accent1"/>
          <w:insideV w:val="single" w:sz="2" w:space="0" w:color="CECFD0" w:themeColor="accent1"/>
        </w:tblBorders>
        <w:tblCellMar>
          <w:left w:w="57" w:type="dxa"/>
          <w:right w:w="0" w:type="dxa"/>
        </w:tblCellMar>
        <w:tblLook w:val="01E0" w:firstRow="1" w:lastRow="1" w:firstColumn="1" w:lastColumn="1" w:noHBand="0" w:noVBand="0"/>
      </w:tblPr>
      <w:tblGrid>
        <w:gridCol w:w="2369"/>
        <w:gridCol w:w="1655"/>
        <w:gridCol w:w="1505"/>
        <w:gridCol w:w="3820"/>
      </w:tblGrid>
      <w:tr w:rsidR="003B7EC9" w:rsidRPr="00E07A91" w14:paraId="3E6A7ADB" w14:textId="77777777" w:rsidTr="008D43A2">
        <w:trPr>
          <w:trHeight w:val="369"/>
        </w:trPr>
        <w:tc>
          <w:tcPr>
            <w:tcW w:w="1267" w:type="pct"/>
            <w:tcBorders>
              <w:bottom w:val="single" w:sz="4" w:space="0" w:color="CECFD0" w:themeColor="background1"/>
            </w:tcBorders>
            <w:shd w:val="clear" w:color="auto" w:fill="1E588C" w:themeFill="text2" w:themeFillShade="BF"/>
            <w:vAlign w:val="center"/>
          </w:tcPr>
          <w:p w14:paraId="695B0DBD"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Number</w:t>
            </w:r>
          </w:p>
        </w:tc>
        <w:tc>
          <w:tcPr>
            <w:tcW w:w="3733" w:type="pct"/>
            <w:gridSpan w:val="3"/>
            <w:vAlign w:val="center"/>
          </w:tcPr>
          <w:p w14:paraId="652B04F8" w14:textId="01A5A82C" w:rsidR="003B7EC9" w:rsidRPr="00E07A91" w:rsidRDefault="002C5093" w:rsidP="002500AF">
            <w:pPr>
              <w:pStyle w:val="TableParagraph"/>
              <w:spacing w:before="60" w:after="60"/>
              <w:jc w:val="left"/>
              <w:rPr>
                <w:rFonts w:ascii="Barlow" w:hAnsi="Barlow" w:cstheme="majorHAnsi"/>
                <w:sz w:val="20"/>
                <w:szCs w:val="20"/>
              </w:rPr>
            </w:pPr>
            <w:r w:rsidRPr="00577962">
              <w:rPr>
                <w:rFonts w:ascii="Barlow" w:hAnsi="Barlow"/>
                <w:smallCaps/>
                <w:color w:val="4D4F52"/>
                <w:sz w:val="20"/>
                <w:szCs w:val="20"/>
              </w:rPr>
              <w:t>101136216</w:t>
            </w:r>
          </w:p>
        </w:tc>
      </w:tr>
      <w:tr w:rsidR="003B7EC9" w:rsidRPr="00E07A91" w14:paraId="4A91832D" w14:textId="77777777" w:rsidTr="008D43A2">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15F7F875"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Acronym</w:t>
            </w:r>
          </w:p>
        </w:tc>
        <w:tc>
          <w:tcPr>
            <w:tcW w:w="3733" w:type="pct"/>
            <w:gridSpan w:val="3"/>
            <w:vAlign w:val="center"/>
          </w:tcPr>
          <w:p w14:paraId="65034C43" w14:textId="50828D13" w:rsidR="003B7EC9" w:rsidRPr="00E07A91" w:rsidRDefault="00225B3E" w:rsidP="002500AF">
            <w:pPr>
              <w:pStyle w:val="TableParagraph"/>
              <w:spacing w:before="60" w:after="60"/>
              <w:jc w:val="left"/>
              <w:rPr>
                <w:rFonts w:ascii="Barlow" w:eastAsia="DM Sans" w:hAnsi="Barlow" w:cs="DM Sans"/>
                <w:color w:val="686A6E"/>
                <w:sz w:val="20"/>
                <w:szCs w:val="20"/>
              </w:rPr>
            </w:pPr>
            <w:r w:rsidRPr="00E07A91">
              <w:rPr>
                <w:rFonts w:ascii="Barlow" w:eastAsia="DM Sans" w:hAnsi="Barlow" w:cs="DM Sans"/>
                <w:color w:val="686A6E"/>
                <w:sz w:val="20"/>
                <w:szCs w:val="20"/>
              </w:rPr>
              <w:t>HEDGE-IoT</w:t>
            </w:r>
          </w:p>
        </w:tc>
      </w:tr>
      <w:tr w:rsidR="003B7EC9" w:rsidRPr="00E07A91" w14:paraId="48FF349C" w14:textId="77777777" w:rsidTr="008D43A2">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4B623136"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Full title</w:t>
            </w:r>
          </w:p>
        </w:tc>
        <w:tc>
          <w:tcPr>
            <w:tcW w:w="3733" w:type="pct"/>
            <w:gridSpan w:val="3"/>
            <w:vAlign w:val="center"/>
          </w:tcPr>
          <w:p w14:paraId="1106B29F" w14:textId="2E30130C" w:rsidR="003B7EC9" w:rsidRPr="00E07A91" w:rsidRDefault="00225B3E" w:rsidP="00225B3E">
            <w:pPr>
              <w:pStyle w:val="TableParagraph"/>
              <w:spacing w:before="60" w:after="60"/>
              <w:rPr>
                <w:rFonts w:ascii="Barlow" w:eastAsia="DM Sans" w:hAnsi="Barlow" w:cs="DM Sans"/>
                <w:color w:val="686A6E"/>
                <w:sz w:val="20"/>
                <w:szCs w:val="20"/>
              </w:rPr>
            </w:pPr>
            <w:r w:rsidRPr="00E07A91">
              <w:rPr>
                <w:rFonts w:ascii="Barlow" w:eastAsia="DM Sans" w:hAnsi="Barlow" w:cs="DM Sans"/>
                <w:color w:val="686A6E"/>
                <w:sz w:val="20"/>
                <w:szCs w:val="20"/>
              </w:rPr>
              <w:t>Holistic Approach towards Empowerment of the Digitalization of the Energy Ecosystem through adoption of IoT solutions</w:t>
            </w:r>
          </w:p>
        </w:tc>
      </w:tr>
      <w:tr w:rsidR="003B7EC9" w:rsidRPr="00E07A91" w14:paraId="2751F2EB" w14:textId="77777777" w:rsidTr="008D43A2">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01921D04"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Start Date</w:t>
            </w:r>
          </w:p>
        </w:tc>
        <w:tc>
          <w:tcPr>
            <w:tcW w:w="3733" w:type="pct"/>
            <w:gridSpan w:val="3"/>
            <w:vAlign w:val="center"/>
          </w:tcPr>
          <w:p w14:paraId="5D6FDBD9" w14:textId="4B74C2E0" w:rsidR="003B7EC9" w:rsidRPr="00E07A91" w:rsidRDefault="007B3E06" w:rsidP="002500AF">
            <w:pPr>
              <w:pStyle w:val="TableParagraph"/>
              <w:spacing w:before="60" w:after="60"/>
              <w:jc w:val="left"/>
              <w:rPr>
                <w:rFonts w:ascii="Barlow" w:eastAsia="DM Sans" w:hAnsi="Barlow" w:cs="DM Sans"/>
                <w:color w:val="686A6E"/>
                <w:sz w:val="20"/>
                <w:szCs w:val="20"/>
              </w:rPr>
            </w:pPr>
            <w:r w:rsidRPr="00E07A91">
              <w:rPr>
                <w:rFonts w:ascii="Barlow" w:eastAsia="DM Sans" w:hAnsi="Barlow" w:cs="DM Sans"/>
                <w:color w:val="686A6E"/>
                <w:sz w:val="20"/>
                <w:szCs w:val="20"/>
              </w:rPr>
              <w:t>01 October 202</w:t>
            </w:r>
            <w:r w:rsidR="002500AF" w:rsidRPr="00E07A91">
              <w:rPr>
                <w:rFonts w:ascii="Barlow" w:eastAsia="DM Sans" w:hAnsi="Barlow" w:cs="DM Sans"/>
                <w:color w:val="686A6E"/>
                <w:sz w:val="20"/>
                <w:szCs w:val="20"/>
              </w:rPr>
              <w:t>4</w:t>
            </w:r>
          </w:p>
        </w:tc>
      </w:tr>
      <w:tr w:rsidR="003B7EC9" w:rsidRPr="00E07A91" w14:paraId="602C776C" w14:textId="77777777" w:rsidTr="008D43A2">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0DE0F392"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Duration</w:t>
            </w:r>
          </w:p>
        </w:tc>
        <w:tc>
          <w:tcPr>
            <w:tcW w:w="3733" w:type="pct"/>
            <w:gridSpan w:val="3"/>
            <w:vAlign w:val="center"/>
          </w:tcPr>
          <w:p w14:paraId="09ECE57C" w14:textId="72F3633F" w:rsidR="003B7EC9" w:rsidRPr="00E07A91" w:rsidRDefault="007B3E06" w:rsidP="002500AF">
            <w:pPr>
              <w:pStyle w:val="TableParagraph"/>
              <w:spacing w:before="60" w:after="60"/>
              <w:jc w:val="left"/>
              <w:rPr>
                <w:rFonts w:ascii="Barlow" w:eastAsia="DM Sans" w:hAnsi="Barlow" w:cs="DM Sans"/>
                <w:color w:val="686A6E"/>
                <w:sz w:val="20"/>
                <w:szCs w:val="20"/>
              </w:rPr>
            </w:pPr>
            <w:r w:rsidRPr="00E07A91">
              <w:rPr>
                <w:rFonts w:ascii="Barlow" w:eastAsia="DM Sans" w:hAnsi="Barlow" w:cs="DM Sans"/>
                <w:color w:val="686A6E"/>
                <w:sz w:val="20"/>
                <w:szCs w:val="20"/>
              </w:rPr>
              <w:t>48 months</w:t>
            </w:r>
          </w:p>
        </w:tc>
      </w:tr>
      <w:tr w:rsidR="003B7EC9" w:rsidRPr="00E07A91" w14:paraId="43AB8CAE" w14:textId="77777777" w:rsidTr="008D43A2">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24EE5EFA"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Funding Instrument</w:t>
            </w:r>
          </w:p>
        </w:tc>
        <w:tc>
          <w:tcPr>
            <w:tcW w:w="885" w:type="pct"/>
            <w:vAlign w:val="center"/>
          </w:tcPr>
          <w:p w14:paraId="67BE5025" w14:textId="153C08F1" w:rsidR="003B7EC9" w:rsidRPr="00E07A91" w:rsidRDefault="002C5093" w:rsidP="002500AF">
            <w:pPr>
              <w:pStyle w:val="TableParagraph"/>
              <w:spacing w:before="60" w:after="60"/>
              <w:jc w:val="left"/>
              <w:rPr>
                <w:rFonts w:ascii="Barlow" w:eastAsia="DM Sans" w:hAnsi="Barlow" w:cs="DM Sans"/>
                <w:color w:val="686A6E"/>
                <w:sz w:val="20"/>
                <w:szCs w:val="20"/>
              </w:rPr>
            </w:pPr>
            <w:r>
              <w:rPr>
                <w:rFonts w:ascii="Barlow" w:eastAsia="DM Sans" w:hAnsi="Barlow" w:cs="DM Sans"/>
                <w:color w:val="686A6E"/>
                <w:sz w:val="20"/>
                <w:szCs w:val="20"/>
              </w:rPr>
              <w:t>HORIZON</w:t>
            </w:r>
          </w:p>
        </w:tc>
        <w:tc>
          <w:tcPr>
            <w:tcW w:w="805" w:type="pct"/>
            <w:shd w:val="clear" w:color="auto" w:fill="1E588C" w:themeFill="text2" w:themeFillShade="BF"/>
            <w:vAlign w:val="center"/>
          </w:tcPr>
          <w:p w14:paraId="0B15858B" w14:textId="77777777" w:rsidR="003B7EC9" w:rsidRPr="00E07A91" w:rsidRDefault="003B7EC9" w:rsidP="002500AF">
            <w:pPr>
              <w:pStyle w:val="TableParagraph"/>
              <w:spacing w:before="60" w:after="60"/>
              <w:jc w:val="left"/>
              <w:rPr>
                <w:rFonts w:ascii="Barlow" w:hAnsi="Barlow" w:cstheme="majorHAnsi"/>
                <w:color w:val="CECFD0" w:themeColor="background1"/>
                <w:sz w:val="20"/>
                <w:szCs w:val="20"/>
              </w:rPr>
            </w:pPr>
            <w:r w:rsidRPr="00E07A91">
              <w:rPr>
                <w:rFonts w:ascii="Barlow" w:hAnsi="Barlow" w:cstheme="majorHAnsi"/>
                <w:color w:val="CECFD0" w:themeColor="background1"/>
                <w:sz w:val="20"/>
                <w:szCs w:val="20"/>
              </w:rPr>
              <w:t>Type of action</w:t>
            </w:r>
          </w:p>
        </w:tc>
        <w:tc>
          <w:tcPr>
            <w:tcW w:w="2043" w:type="pct"/>
            <w:vAlign w:val="center"/>
          </w:tcPr>
          <w:p w14:paraId="53B0E0C3" w14:textId="34C26636" w:rsidR="003B7EC9" w:rsidRPr="00E07A91" w:rsidRDefault="002C5093" w:rsidP="002500AF">
            <w:pPr>
              <w:pStyle w:val="TableParagraph"/>
              <w:spacing w:before="60" w:after="60"/>
              <w:jc w:val="left"/>
              <w:rPr>
                <w:rFonts w:ascii="Barlow" w:hAnsi="Barlow" w:cstheme="majorHAnsi"/>
                <w:sz w:val="20"/>
                <w:szCs w:val="20"/>
              </w:rPr>
            </w:pPr>
            <w:r w:rsidRPr="00577962">
              <w:rPr>
                <w:rFonts w:ascii="Barlow" w:eastAsia="DM Sans" w:hAnsi="Barlow" w:cs="DM Sans"/>
                <w:color w:val="686A6E"/>
                <w:sz w:val="20"/>
                <w:szCs w:val="20"/>
                <w:lang w:val="en-US"/>
              </w:rPr>
              <w:t>HORIZON Innovation Actions</w:t>
            </w:r>
          </w:p>
        </w:tc>
      </w:tr>
      <w:tr w:rsidR="002C5093" w:rsidRPr="00E07A91" w14:paraId="157D02CF" w14:textId="77777777" w:rsidTr="008D43A2">
        <w:trPr>
          <w:trHeight w:val="369"/>
        </w:trPr>
        <w:tc>
          <w:tcPr>
            <w:tcW w:w="1267" w:type="pct"/>
            <w:tcBorders>
              <w:top w:val="single" w:sz="4" w:space="0" w:color="CECFD0" w:themeColor="background1"/>
              <w:bottom w:val="single" w:sz="2" w:space="0" w:color="CECFD0" w:themeColor="accent1"/>
            </w:tcBorders>
            <w:shd w:val="clear" w:color="auto" w:fill="1E588C" w:themeFill="text2" w:themeFillShade="BF"/>
            <w:vAlign w:val="center"/>
          </w:tcPr>
          <w:p w14:paraId="1149E09D" w14:textId="0A5A273D" w:rsidR="002C5093" w:rsidRPr="00E07A91" w:rsidRDefault="002C5093" w:rsidP="002C5093">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Call</w:t>
            </w:r>
          </w:p>
        </w:tc>
        <w:tc>
          <w:tcPr>
            <w:tcW w:w="3733" w:type="pct"/>
            <w:gridSpan w:val="3"/>
            <w:vAlign w:val="center"/>
          </w:tcPr>
          <w:p w14:paraId="5A3A9BEF" w14:textId="42044955" w:rsidR="002C5093" w:rsidRPr="00E07A91" w:rsidRDefault="002C5093" w:rsidP="002C5093">
            <w:pPr>
              <w:pStyle w:val="TableParagraph"/>
              <w:spacing w:before="60" w:after="60"/>
              <w:jc w:val="left"/>
              <w:rPr>
                <w:rFonts w:ascii="Barlow" w:hAnsi="Barlow" w:cstheme="majorHAnsi"/>
                <w:color w:val="4D4F52"/>
                <w:sz w:val="20"/>
                <w:szCs w:val="20"/>
                <w:lang w:val="en-US"/>
              </w:rPr>
            </w:pPr>
            <w:r w:rsidRPr="00577962">
              <w:rPr>
                <w:rFonts w:ascii="Barlow" w:hAnsi="Barlow"/>
                <w:smallCaps/>
                <w:color w:val="4D4F52"/>
                <w:sz w:val="20"/>
                <w:szCs w:val="20"/>
              </w:rPr>
              <w:t>HORIZON-CL5-2023-D3-01</w:t>
            </w:r>
          </w:p>
        </w:tc>
      </w:tr>
      <w:tr w:rsidR="002C5093" w:rsidRPr="00E07A91" w14:paraId="3FF91F5C" w14:textId="77777777" w:rsidTr="008D43A2">
        <w:trPr>
          <w:trHeight w:val="369"/>
        </w:trPr>
        <w:tc>
          <w:tcPr>
            <w:tcW w:w="1267" w:type="pct"/>
            <w:tcBorders>
              <w:top w:val="single" w:sz="4" w:space="0" w:color="CECFD0" w:themeColor="background1"/>
              <w:bottom w:val="single" w:sz="2" w:space="0" w:color="CECFD0" w:themeColor="accent1"/>
            </w:tcBorders>
            <w:shd w:val="clear" w:color="auto" w:fill="1E588C" w:themeFill="text2" w:themeFillShade="BF"/>
            <w:vAlign w:val="center"/>
          </w:tcPr>
          <w:p w14:paraId="2740C202" w14:textId="77777777" w:rsidR="002C5093" w:rsidRPr="00E07A91" w:rsidRDefault="002C5093" w:rsidP="002C5093">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Topic</w:t>
            </w:r>
          </w:p>
        </w:tc>
        <w:tc>
          <w:tcPr>
            <w:tcW w:w="3733" w:type="pct"/>
            <w:gridSpan w:val="3"/>
            <w:vAlign w:val="center"/>
          </w:tcPr>
          <w:p w14:paraId="7A5F958C" w14:textId="3C0D6B69" w:rsidR="002C5093" w:rsidRPr="00E07A91" w:rsidRDefault="002C5093" w:rsidP="002C5093">
            <w:pPr>
              <w:pStyle w:val="TableParagraph"/>
              <w:spacing w:before="60" w:after="60"/>
              <w:jc w:val="left"/>
              <w:rPr>
                <w:rFonts w:ascii="Barlow" w:hAnsi="Barlow" w:cstheme="majorHAnsi"/>
                <w:sz w:val="20"/>
                <w:szCs w:val="20"/>
              </w:rPr>
            </w:pPr>
            <w:r w:rsidRPr="00577962">
              <w:rPr>
                <w:rFonts w:ascii="Barlow" w:hAnsi="Barlow"/>
                <w:smallCaps/>
                <w:color w:val="4D4F52"/>
                <w:sz w:val="20"/>
                <w:szCs w:val="20"/>
              </w:rPr>
              <w:t>HORIZON-CL5-2023-D3-01-15</w:t>
            </w:r>
          </w:p>
        </w:tc>
      </w:tr>
      <w:tr w:rsidR="003B7EC9" w:rsidRPr="00E07A91" w14:paraId="148B7ABA" w14:textId="77777777" w:rsidTr="008D43A2">
        <w:trPr>
          <w:trHeight w:val="369"/>
        </w:trPr>
        <w:tc>
          <w:tcPr>
            <w:tcW w:w="1267" w:type="pct"/>
            <w:tcBorders>
              <w:bottom w:val="single" w:sz="4" w:space="0" w:color="CECFD0" w:themeColor="accent1"/>
            </w:tcBorders>
            <w:shd w:val="clear" w:color="auto" w:fill="1E588C" w:themeFill="text2" w:themeFillShade="BF"/>
            <w:vAlign w:val="center"/>
          </w:tcPr>
          <w:p w14:paraId="5334DDDE" w14:textId="77777777" w:rsidR="003B7EC9" w:rsidRPr="00E07A91" w:rsidRDefault="003B7EC9" w:rsidP="002500AF">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Coordinator</w:t>
            </w:r>
          </w:p>
        </w:tc>
        <w:tc>
          <w:tcPr>
            <w:tcW w:w="3733" w:type="pct"/>
            <w:gridSpan w:val="3"/>
            <w:vAlign w:val="center"/>
          </w:tcPr>
          <w:p w14:paraId="2E30787F" w14:textId="235F840B" w:rsidR="003B7EC9" w:rsidRPr="00E07A91" w:rsidRDefault="002C5093" w:rsidP="002500AF">
            <w:pPr>
              <w:pStyle w:val="TableParagraph"/>
              <w:spacing w:before="60" w:after="60"/>
              <w:jc w:val="left"/>
              <w:rPr>
                <w:rFonts w:ascii="Barlow" w:hAnsi="Barlow" w:cstheme="majorHAnsi"/>
                <w:sz w:val="20"/>
                <w:szCs w:val="20"/>
                <w:lang w:val="pt-PT"/>
              </w:rPr>
            </w:pPr>
            <w:r w:rsidRPr="00BB465E">
              <w:rPr>
                <w:rFonts w:ascii="Barlow" w:hAnsi="Barlow"/>
                <w:smallCaps/>
                <w:color w:val="4D4F52"/>
                <w:sz w:val="20"/>
                <w:szCs w:val="20"/>
                <w:lang w:val="pt-PT"/>
              </w:rPr>
              <w:t>EUROPEAN DYNAMICS LUXEMBOURG SA (ED)</w:t>
            </w:r>
          </w:p>
        </w:tc>
      </w:tr>
    </w:tbl>
    <w:p w14:paraId="60E0CF53" w14:textId="124764D3" w:rsidR="003E34AF" w:rsidRPr="00E07A91" w:rsidRDefault="00AF2F71" w:rsidP="003E34AF">
      <w:pPr>
        <w:spacing w:line="480" w:lineRule="auto"/>
        <w:rPr>
          <w:rFonts w:ascii="Barlow" w:hAnsi="Barlow"/>
          <w:smallCaps/>
          <w:color w:val="31AE71"/>
        </w:rPr>
      </w:pPr>
      <w:r>
        <w:rPr>
          <w:rFonts w:ascii="Barlow" w:hAnsi="Barlow"/>
          <w:smallCaps/>
          <w:color w:val="31AE71"/>
        </w:rPr>
        <w:t xml:space="preserve">OPEN CALL </w:t>
      </w:r>
      <w:r w:rsidR="00320400">
        <w:rPr>
          <w:rFonts w:ascii="Barlow" w:hAnsi="Barlow"/>
          <w:smallCaps/>
          <w:color w:val="31AE71"/>
        </w:rPr>
        <w:t>1  PROJECT</w:t>
      </w:r>
      <w:r>
        <w:rPr>
          <w:rFonts w:ascii="Barlow" w:hAnsi="Barlow"/>
          <w:smallCaps/>
          <w:color w:val="31AE71"/>
        </w:rPr>
        <w:t xml:space="preserve"> </w:t>
      </w:r>
      <w:r w:rsidR="003E34AF" w:rsidRPr="00E07A91">
        <w:rPr>
          <w:rFonts w:ascii="Barlow" w:hAnsi="Barlow"/>
          <w:smallCaps/>
          <w:color w:val="31AE71"/>
        </w:rPr>
        <w:t>INFORMATION</w:t>
      </w:r>
    </w:p>
    <w:tbl>
      <w:tblPr>
        <w:tblpPr w:leftFromText="142" w:rightFromText="142" w:bottomFromText="425" w:vertAnchor="text" w:tblpY="1"/>
        <w:tblOverlap w:val="never"/>
        <w:tblW w:w="5000" w:type="pct"/>
        <w:tblBorders>
          <w:top w:val="single" w:sz="2" w:space="0" w:color="CECFD0" w:themeColor="accent1"/>
          <w:left w:val="single" w:sz="2" w:space="0" w:color="CECFD0" w:themeColor="accent1"/>
          <w:bottom w:val="single" w:sz="2" w:space="0" w:color="CECFD0" w:themeColor="accent1"/>
          <w:right w:val="single" w:sz="2" w:space="0" w:color="CECFD0" w:themeColor="accent1"/>
          <w:insideH w:val="single" w:sz="2" w:space="0" w:color="CECFD0" w:themeColor="accent1"/>
          <w:insideV w:val="single" w:sz="2" w:space="0" w:color="CECFD0" w:themeColor="accent1"/>
        </w:tblBorders>
        <w:tblCellMar>
          <w:left w:w="57" w:type="dxa"/>
          <w:right w:w="0" w:type="dxa"/>
        </w:tblCellMar>
        <w:tblLook w:val="01E0" w:firstRow="1" w:lastRow="1" w:firstColumn="1" w:lastColumn="1" w:noHBand="0" w:noVBand="0"/>
      </w:tblPr>
      <w:tblGrid>
        <w:gridCol w:w="2369"/>
        <w:gridCol w:w="6980"/>
      </w:tblGrid>
      <w:tr w:rsidR="006338EB" w:rsidRPr="00E07A91" w14:paraId="612CF931" w14:textId="77777777" w:rsidTr="006D47B3">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4CC30519" w14:textId="6DF2CDA1" w:rsidR="006338EB" w:rsidRPr="00E07A91" w:rsidRDefault="006338EB" w:rsidP="006D47B3">
            <w:pPr>
              <w:pStyle w:val="TableParagraph"/>
              <w:spacing w:before="60" w:after="60"/>
              <w:jc w:val="left"/>
              <w:rPr>
                <w:rFonts w:ascii="Barlow" w:hAnsi="Barlow" w:cstheme="minorHAnsi"/>
                <w:color w:val="FFFFFF" w:themeColor="accent6"/>
                <w:sz w:val="20"/>
                <w:szCs w:val="20"/>
              </w:rPr>
            </w:pPr>
            <w:r>
              <w:rPr>
                <w:rFonts w:ascii="Barlow" w:hAnsi="Barlow" w:cstheme="minorHAnsi"/>
                <w:color w:val="FFFFFF" w:themeColor="accent6"/>
                <w:sz w:val="20"/>
                <w:szCs w:val="20"/>
              </w:rPr>
              <w:t>Third Party</w:t>
            </w:r>
            <w:r w:rsidRPr="00E07A91">
              <w:rPr>
                <w:rFonts w:ascii="Barlow" w:hAnsi="Barlow" w:cstheme="minorHAnsi"/>
                <w:color w:val="FFFFFF" w:themeColor="accent6"/>
                <w:sz w:val="20"/>
                <w:szCs w:val="20"/>
              </w:rPr>
              <w:t xml:space="preserve"> </w:t>
            </w:r>
            <w:r w:rsidR="003E1555">
              <w:rPr>
                <w:rFonts w:ascii="Barlow" w:hAnsi="Barlow" w:cstheme="minorHAnsi"/>
                <w:color w:val="FFFFFF" w:themeColor="accent6"/>
                <w:sz w:val="20"/>
                <w:szCs w:val="20"/>
              </w:rPr>
              <w:t>Name</w:t>
            </w:r>
          </w:p>
        </w:tc>
        <w:tc>
          <w:tcPr>
            <w:tcW w:w="3733" w:type="pct"/>
            <w:vAlign w:val="center"/>
          </w:tcPr>
          <w:p>
            <w:pPr>
              <w:pStyle w:val="Table-content"/>
              <w:spacing w:after="0"/>
            </w:pPr>
            <w:r/>
            <w:r>
              <w:rPr>
                <w:rFonts w:ascii="Arial" w:hAnsi="Arial"/>
                <w:b w:val="0"/>
                <w:color w:val="102A43"/>
                <w:sz w:val="18"/>
              </w:rPr>
            </w:r>
          </w:p>
        </w:tc>
      </w:tr>
      <w:tr w:rsidR="003E34AF" w:rsidRPr="00E07A91" w14:paraId="3225B944" w14:textId="77777777" w:rsidTr="006D47B3">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5BF1727F" w14:textId="77777777" w:rsidR="003E34AF" w:rsidRPr="00E07A91" w:rsidRDefault="003E34AF" w:rsidP="006D47B3">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Acronym</w:t>
            </w:r>
          </w:p>
        </w:tc>
        <w:tc>
          <w:tcPr>
            <w:tcW w:w="3733" w:type="pct"/>
            <w:vAlign w:val="center"/>
          </w:tcPr>
          <w:p>
            <w:pPr>
              <w:pStyle w:val="Table-content"/>
              <w:spacing w:after="0"/>
            </w:pPr>
            <w:r/>
            <w:r>
              <w:rPr>
                <w:rFonts w:ascii="Arial" w:hAnsi="Arial"/>
                <w:b w:val="0"/>
                <w:color w:val="102A43"/>
                <w:sz w:val="18"/>
              </w:rPr>
              <w:t>HEDGE-ExpertAI</w:t>
            </w:r>
          </w:p>
        </w:tc>
      </w:tr>
      <w:tr w:rsidR="003E34AF" w:rsidRPr="00E07A91" w14:paraId="08E27665" w14:textId="77777777" w:rsidTr="006D47B3">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6C414622" w14:textId="77777777" w:rsidR="003E34AF" w:rsidRPr="00E07A91" w:rsidRDefault="003E34AF" w:rsidP="006D47B3">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Full title</w:t>
            </w:r>
          </w:p>
        </w:tc>
        <w:tc>
          <w:tcPr>
            <w:tcW w:w="3733" w:type="pct"/>
            <w:vAlign w:val="center"/>
          </w:tcPr>
          <w:p>
            <w:pPr>
              <w:pStyle w:val="Table-content"/>
              <w:spacing w:after="0"/>
            </w:pPr>
            <w:r/>
            <w:r>
              <w:rPr>
                <w:rFonts w:ascii="Arial" w:hAnsi="Arial"/>
                <w:b w:val="0"/>
                <w:color w:val="102A43"/>
                <w:sz w:val="18"/>
              </w:rPr>
              <w:t>Context-Aware AI Discovery and Recommendation Assistant for the HEDGE-IoT App Store</w:t>
            </w:r>
          </w:p>
        </w:tc>
      </w:tr>
      <w:tr w:rsidR="003E34AF" w:rsidRPr="00E07A91" w14:paraId="5F0EDC87" w14:textId="77777777" w:rsidTr="006D47B3">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72E4A328" w14:textId="77777777" w:rsidR="003E34AF" w:rsidRPr="00E07A91" w:rsidRDefault="003E34AF" w:rsidP="006D47B3">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Start Date</w:t>
            </w:r>
          </w:p>
        </w:tc>
        <w:tc>
          <w:tcPr>
            <w:tcW w:w="3733" w:type="pct"/>
            <w:vAlign w:val="center"/>
          </w:tcPr>
          <w:p>
            <w:pPr>
              <w:pStyle w:val="Table-content"/>
              <w:spacing w:after="0"/>
            </w:pPr>
            <w:r/>
            <w:r>
              <w:rPr>
                <w:rFonts w:ascii="Arial" w:hAnsi="Arial"/>
                <w:b w:val="0"/>
                <w:color w:val="102A43"/>
                <w:sz w:val="18"/>
              </w:rPr>
            </w:r>
          </w:p>
        </w:tc>
      </w:tr>
      <w:tr w:rsidR="003E34AF" w:rsidRPr="00E07A91" w14:paraId="603F5141" w14:textId="77777777" w:rsidTr="006D47B3">
        <w:trPr>
          <w:trHeight w:val="369"/>
        </w:trPr>
        <w:tc>
          <w:tcPr>
            <w:tcW w:w="1267" w:type="pct"/>
            <w:tcBorders>
              <w:top w:val="single" w:sz="4" w:space="0" w:color="CECFD0" w:themeColor="background1"/>
              <w:bottom w:val="single" w:sz="4" w:space="0" w:color="CECFD0" w:themeColor="background1"/>
            </w:tcBorders>
            <w:shd w:val="clear" w:color="auto" w:fill="1E588C" w:themeFill="text2" w:themeFillShade="BF"/>
            <w:vAlign w:val="center"/>
          </w:tcPr>
          <w:p w14:paraId="582F1A48" w14:textId="77777777" w:rsidR="003E34AF" w:rsidRPr="00E07A91" w:rsidRDefault="003E34AF" w:rsidP="006D47B3">
            <w:pPr>
              <w:pStyle w:val="TableParagraph"/>
              <w:spacing w:before="60" w:after="60"/>
              <w:jc w:val="left"/>
              <w:rPr>
                <w:rFonts w:ascii="Barlow" w:hAnsi="Barlow" w:cstheme="minorHAnsi"/>
                <w:color w:val="FFFFFF" w:themeColor="accent6"/>
                <w:sz w:val="20"/>
                <w:szCs w:val="20"/>
              </w:rPr>
            </w:pPr>
            <w:r w:rsidRPr="00E07A91">
              <w:rPr>
                <w:rFonts w:ascii="Barlow" w:hAnsi="Barlow" w:cstheme="minorHAnsi"/>
                <w:color w:val="FFFFFF" w:themeColor="accent6"/>
                <w:sz w:val="20"/>
                <w:szCs w:val="20"/>
              </w:rPr>
              <w:t>Project Duration</w:t>
            </w:r>
          </w:p>
        </w:tc>
        <w:tc>
          <w:tcPr>
            <w:tcW w:w="3733" w:type="pct"/>
            <w:vAlign w:val="center"/>
          </w:tcPr>
          <w:p>
            <w:pPr>
              <w:pStyle w:val="Table-content"/>
              <w:spacing w:after="0"/>
            </w:pPr>
            <w:r/>
            <w:r>
              <w:rPr>
                <w:rFonts w:ascii="Arial" w:hAnsi="Arial"/>
                <w:b w:val="0"/>
                <w:color w:val="102A43"/>
                <w:sz w:val="18"/>
              </w:rPr>
              <w:t>6 months</w:t>
            </w:r>
          </w:p>
        </w:tc>
      </w:tr>
      <w:tr w:rsidR="003E34AF" w:rsidRPr="00E07A91" w14:paraId="266282EA" w14:textId="77777777" w:rsidTr="006D47B3">
        <w:trPr>
          <w:trHeight w:val="369"/>
        </w:trPr>
        <w:tc>
          <w:tcPr>
            <w:tcW w:w="1267" w:type="pct"/>
            <w:tcBorders>
              <w:top w:val="single" w:sz="4" w:space="0" w:color="CECFD0" w:themeColor="background1"/>
              <w:bottom w:val="single" w:sz="2" w:space="0" w:color="CECFD0" w:themeColor="accent1"/>
            </w:tcBorders>
            <w:shd w:val="clear" w:color="auto" w:fill="1E588C" w:themeFill="text2" w:themeFillShade="BF"/>
            <w:vAlign w:val="center"/>
          </w:tcPr>
          <w:p w14:paraId="7BEF5005" w14:textId="4CEB6EF1" w:rsidR="003E34AF" w:rsidRPr="00E07A91" w:rsidRDefault="003E34AF" w:rsidP="006D47B3">
            <w:pPr>
              <w:pStyle w:val="TableParagraph"/>
              <w:spacing w:before="60" w:after="60"/>
              <w:jc w:val="left"/>
              <w:rPr>
                <w:rFonts w:ascii="Barlow" w:hAnsi="Barlow" w:cstheme="minorHAnsi"/>
                <w:color w:val="FFFFFF" w:themeColor="accent6"/>
                <w:sz w:val="20"/>
                <w:szCs w:val="20"/>
              </w:rPr>
            </w:pPr>
            <w:r>
              <w:rPr>
                <w:rFonts w:ascii="Barlow" w:hAnsi="Barlow" w:cstheme="minorHAnsi"/>
                <w:color w:val="FFFFFF" w:themeColor="accent6"/>
                <w:sz w:val="20"/>
                <w:szCs w:val="20"/>
              </w:rPr>
              <w:t>Topic</w:t>
            </w:r>
            <w:r w:rsidR="00F470C1">
              <w:rPr>
                <w:rFonts w:ascii="Barlow" w:hAnsi="Barlow" w:cstheme="minorHAnsi"/>
                <w:color w:val="FFFFFF" w:themeColor="accent6"/>
                <w:sz w:val="20"/>
                <w:szCs w:val="20"/>
              </w:rPr>
              <w:t xml:space="preserve"> </w:t>
            </w:r>
          </w:p>
        </w:tc>
        <w:tc>
          <w:tcPr>
            <w:tcW w:w="3733" w:type="pct"/>
            <w:vAlign w:val="center"/>
          </w:tcPr>
          <w:p>
            <w:pPr>
              <w:pStyle w:val="Table-content"/>
              <w:spacing w:after="0"/>
            </w:pPr>
            <w:r/>
            <w:r>
              <w:rPr>
                <w:rFonts w:ascii="Arial" w:hAnsi="Arial"/>
                <w:b w:val="0"/>
                <w:color w:val="102A43"/>
                <w:sz w:val="18"/>
              </w:rPr>
              <w:t>Topic 15 — AI-Enhanced Data App Discovery &amp; Recommendation Engine</w:t>
            </w:r>
          </w:p>
        </w:tc>
      </w:tr>
      <w:tr w:rsidR="003E34AF" w:rsidRPr="00E07A91" w14:paraId="4C53E4B8" w14:textId="77777777" w:rsidTr="006D47B3">
        <w:trPr>
          <w:trHeight w:val="369"/>
        </w:trPr>
        <w:tc>
          <w:tcPr>
            <w:tcW w:w="1267" w:type="pct"/>
            <w:tcBorders>
              <w:top w:val="single" w:sz="4" w:space="0" w:color="CECFD0" w:themeColor="background1"/>
              <w:bottom w:val="single" w:sz="2" w:space="0" w:color="CECFD0" w:themeColor="accent1"/>
            </w:tcBorders>
            <w:shd w:val="clear" w:color="auto" w:fill="1E588C" w:themeFill="text2" w:themeFillShade="BF"/>
            <w:vAlign w:val="center"/>
          </w:tcPr>
          <w:p w14:paraId="2C450501" w14:textId="7C06F781" w:rsidR="003E34AF" w:rsidRPr="00E07A91" w:rsidRDefault="003E34AF" w:rsidP="006D47B3">
            <w:pPr>
              <w:pStyle w:val="TableParagraph"/>
              <w:spacing w:before="60" w:after="60"/>
              <w:jc w:val="left"/>
              <w:rPr>
                <w:rFonts w:ascii="Barlow" w:hAnsi="Barlow" w:cstheme="minorHAnsi"/>
                <w:color w:val="FFFFFF" w:themeColor="accent6"/>
                <w:sz w:val="20"/>
                <w:szCs w:val="20"/>
              </w:rPr>
            </w:pPr>
            <w:r>
              <w:rPr>
                <w:rFonts w:ascii="Barlow" w:hAnsi="Barlow" w:cstheme="minorHAnsi"/>
                <w:color w:val="FFFFFF" w:themeColor="accent6"/>
                <w:sz w:val="20"/>
                <w:szCs w:val="20"/>
              </w:rPr>
              <w:t>Pilot</w:t>
            </w:r>
          </w:p>
        </w:tc>
        <w:tc>
          <w:tcPr>
            <w:tcW w:w="3733" w:type="pct"/>
            <w:vAlign w:val="center"/>
          </w:tcPr>
          <w:p>
            <w:pPr>
              <w:pStyle w:val="Table-content"/>
              <w:spacing w:after="0"/>
            </w:pPr>
            <w:r/>
            <w:r>
              <w:rPr>
                <w:rFonts w:ascii="Arial" w:hAnsi="Arial"/>
                <w:b w:val="0"/>
                <w:color w:val="102A43"/>
                <w:sz w:val="18"/>
              </w:rPr>
              <w:t>HEDGE-IoT App Store</w:t>
            </w:r>
          </w:p>
        </w:tc>
      </w:tr>
      <w:tr w:rsidR="003E34AF" w:rsidRPr="00E07A91" w14:paraId="13275AAA" w14:textId="77777777" w:rsidTr="006D47B3">
        <w:trPr>
          <w:trHeight w:val="369"/>
        </w:trPr>
        <w:tc>
          <w:tcPr>
            <w:tcW w:w="1267" w:type="pct"/>
            <w:tcBorders>
              <w:bottom w:val="single" w:sz="4" w:space="0" w:color="CECFD0" w:themeColor="accent1"/>
            </w:tcBorders>
            <w:shd w:val="clear" w:color="auto" w:fill="1E588C" w:themeFill="text2" w:themeFillShade="BF"/>
            <w:vAlign w:val="center"/>
          </w:tcPr>
          <w:p w14:paraId="497A55AA" w14:textId="7F03B95F" w:rsidR="003E34AF" w:rsidRPr="00E07A91" w:rsidRDefault="003E34AF" w:rsidP="006D47B3">
            <w:pPr>
              <w:pStyle w:val="TableParagraph"/>
              <w:spacing w:before="60" w:after="60"/>
              <w:jc w:val="left"/>
              <w:rPr>
                <w:rFonts w:ascii="Barlow" w:hAnsi="Barlow" w:cstheme="minorHAnsi"/>
                <w:color w:val="FFFFFF" w:themeColor="accent6"/>
                <w:sz w:val="20"/>
                <w:szCs w:val="20"/>
              </w:rPr>
            </w:pPr>
            <w:r>
              <w:rPr>
                <w:rFonts w:ascii="Barlow" w:hAnsi="Barlow" w:cstheme="minorHAnsi"/>
                <w:color w:val="FFFFFF" w:themeColor="accent6"/>
                <w:sz w:val="20"/>
                <w:szCs w:val="20"/>
              </w:rPr>
              <w:t>Mentor</w:t>
            </w:r>
            <w:r w:rsidR="00F470C1">
              <w:rPr>
                <w:rFonts w:ascii="Barlow" w:hAnsi="Barlow" w:cstheme="minorHAnsi"/>
                <w:color w:val="FFFFFF" w:themeColor="accent6"/>
                <w:sz w:val="20"/>
                <w:szCs w:val="20"/>
              </w:rPr>
              <w:t xml:space="preserve"> </w:t>
            </w:r>
          </w:p>
        </w:tc>
        <w:tc>
          <w:tcPr>
            <w:tcW w:w="3733" w:type="pct"/>
            <w:vAlign w:val="center"/>
          </w:tcPr>
          <w:p>
            <w:pPr>
              <w:pStyle w:val="Table-content"/>
              <w:spacing w:after="0"/>
            </w:pPr>
            <w:r/>
            <w:r>
              <w:rPr>
                <w:rFonts w:ascii="Arial" w:hAnsi="Arial"/>
                <w:b w:val="0"/>
                <w:color w:val="102A43"/>
                <w:sz w:val="18"/>
              </w:rPr>
            </w:r>
          </w:p>
        </w:tc>
      </w:tr>
    </w:tbl>
    <w:p w14:paraId="45EFFC33" w14:textId="77777777" w:rsidR="003B7EC9" w:rsidRPr="003E34AF" w:rsidRDefault="003B7EC9" w:rsidP="003B7EC9">
      <w:pPr>
        <w:rPr>
          <w:rFonts w:ascii="Barlow" w:hAnsi="Barlow"/>
        </w:rPr>
      </w:pPr>
    </w:p>
    <w:p w14:paraId="22AB0712" w14:textId="77777777" w:rsidR="003B7EC9" w:rsidRPr="00E07A91" w:rsidRDefault="003B7EC9" w:rsidP="003B7EC9">
      <w:pPr>
        <w:spacing w:line="480" w:lineRule="auto"/>
        <w:rPr>
          <w:rFonts w:ascii="Barlow" w:hAnsi="Barlow"/>
          <w:smallCaps/>
          <w:color w:val="31AE71"/>
        </w:rPr>
      </w:pPr>
      <w:r w:rsidRPr="00E07A91">
        <w:rPr>
          <w:rFonts w:ascii="Barlow" w:hAnsi="Barlow"/>
          <w:smallCaps/>
          <w:color w:val="31AE71"/>
        </w:rPr>
        <w:t>DELIVERABLE INFORMATION</w:t>
      </w:r>
    </w:p>
    <w:tbl>
      <w:tblPr>
        <w:tblStyle w:val="TEMPLATEtable"/>
        <w:tblW w:w="5000" w:type="pct"/>
        <w:tblBorders>
          <w:top w:val="single" w:sz="2" w:space="0" w:color="686A6E" w:themeColor="text1"/>
          <w:left w:val="single" w:sz="2" w:space="0" w:color="686A6E" w:themeColor="text1"/>
          <w:bottom w:val="single" w:sz="2" w:space="0" w:color="686A6E" w:themeColor="text1"/>
          <w:right w:val="single" w:sz="2" w:space="0" w:color="686A6E" w:themeColor="text1"/>
          <w:insideH w:val="single" w:sz="2" w:space="0" w:color="686A6E" w:themeColor="text1"/>
          <w:insideV w:val="single" w:sz="2" w:space="0" w:color="686A6E" w:themeColor="text1"/>
        </w:tblBorders>
        <w:tblLayout w:type="fixed"/>
        <w:tblLook w:val="01E0" w:firstRow="1" w:lastRow="1" w:firstColumn="1" w:lastColumn="1" w:noHBand="0" w:noVBand="0"/>
      </w:tblPr>
      <w:tblGrid>
        <w:gridCol w:w="2279"/>
        <w:gridCol w:w="465"/>
        <w:gridCol w:w="1238"/>
        <w:gridCol w:w="411"/>
        <w:gridCol w:w="1649"/>
        <w:gridCol w:w="415"/>
        <w:gridCol w:w="1651"/>
        <w:gridCol w:w="413"/>
        <w:gridCol w:w="826"/>
      </w:tblGrid>
      <w:tr w:rsidR="003B7EC9" w:rsidRPr="00E07A91" w14:paraId="05FA1685" w14:textId="77777777" w:rsidTr="00FF14BD">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219" w:type="pct"/>
            <w:tcBorders>
              <w:bottom w:val="single" w:sz="4" w:space="0" w:color="CECFD0" w:themeColor="background1"/>
            </w:tcBorders>
            <w:shd w:val="clear" w:color="auto" w:fill="1E588C" w:themeFill="text2" w:themeFillShade="BF"/>
          </w:tcPr>
          <w:p w14:paraId="163B0F83" w14:textId="77777777" w:rsidR="003B7EC9" w:rsidRPr="00E07A91" w:rsidRDefault="003B7EC9" w:rsidP="007A2020">
            <w:pPr>
              <w:pStyle w:val="TableParagraph"/>
              <w:spacing w:before="60" w:after="60"/>
              <w:jc w:val="left"/>
              <w:rPr>
                <w:rFonts w:ascii="Barlow" w:hAnsi="Barlow" w:cstheme="minorHAnsi"/>
                <w:b w:val="0"/>
                <w:bCs/>
                <w:color w:val="FFFFFF" w:themeColor="accent6"/>
                <w:sz w:val="20"/>
                <w:szCs w:val="20"/>
              </w:rPr>
            </w:pPr>
            <w:r w:rsidRPr="00E07A91">
              <w:rPr>
                <w:rFonts w:ascii="Barlow" w:hAnsi="Barlow" w:cstheme="minorHAnsi"/>
                <w:b w:val="0"/>
                <w:bCs/>
                <w:color w:val="FFFFFF" w:themeColor="accent6"/>
                <w:sz w:val="20"/>
                <w:szCs w:val="20"/>
              </w:rPr>
              <w:t xml:space="preserve">Deliverable No. </w:t>
            </w:r>
          </w:p>
        </w:tc>
        <w:tc>
          <w:tcPr>
            <w:tcW w:w="3781" w:type="pct"/>
            <w:gridSpan w:val="8"/>
            <w:tcBorders>
              <w:top w:val="single" w:sz="4" w:space="0" w:color="CECFD0"/>
              <w:bottom w:val="single" w:sz="4" w:space="0" w:color="CECFD0"/>
              <w:right w:val="single" w:sz="4" w:space="0" w:color="CECFD0"/>
            </w:tcBorders>
            <w:shd w:val="clear" w:color="auto" w:fill="auto"/>
            <w:vAlign w:val="center"/>
          </w:tcPr>
          <w:p>
            <w:pPr>
              <w:pStyle w:val="Table-content"/>
              <w:spacing w:after="0"/>
            </w:pPr>
            <w:r/>
            <w:r>
              <w:rPr>
                <w:rFonts w:ascii="Arial" w:hAnsi="Arial"/>
                <w:b w:val="0"/>
                <w:color w:val="102A43"/>
                <w:sz w:val="18"/>
              </w:rPr>
              <w:t>D2.1</w:t>
            </w:r>
          </w:p>
        </w:tc>
      </w:tr>
      <w:tr w:rsidR="003B7EC9" w:rsidRPr="00E07A91" w14:paraId="2A3864A1" w14:textId="77777777" w:rsidTr="007B3E06">
        <w:trPr>
          <w:trHeight w:val="369"/>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bottom w:val="single" w:sz="4" w:space="0" w:color="CECFD0" w:themeColor="background1"/>
            </w:tcBorders>
            <w:shd w:val="clear" w:color="auto" w:fill="1E588C" w:themeFill="text2" w:themeFillShade="BF"/>
          </w:tcPr>
          <w:p w14:paraId="663E9334" w14:textId="77777777" w:rsidR="003B7EC9" w:rsidRPr="00E07A91" w:rsidRDefault="003B7EC9" w:rsidP="007A2020">
            <w:pPr>
              <w:pStyle w:val="TableParagraph"/>
              <w:spacing w:before="60" w:after="60"/>
              <w:jc w:val="left"/>
              <w:rPr>
                <w:rFonts w:ascii="Barlow" w:hAnsi="Barlow" w:cstheme="minorHAnsi"/>
                <w:b w:val="0"/>
                <w:bCs/>
                <w:color w:val="FFFFFF" w:themeColor="accent6"/>
                <w:sz w:val="20"/>
                <w:szCs w:val="20"/>
              </w:rPr>
            </w:pPr>
            <w:r w:rsidRPr="00E07A91">
              <w:rPr>
                <w:rFonts w:ascii="Barlow" w:hAnsi="Barlow" w:cstheme="minorHAnsi"/>
                <w:b w:val="0"/>
                <w:bCs/>
                <w:color w:val="FFFFFF" w:themeColor="accent6"/>
                <w:sz w:val="20"/>
                <w:szCs w:val="20"/>
              </w:rPr>
              <w:t>Deliverable Title</w:t>
            </w:r>
          </w:p>
        </w:tc>
        <w:tc>
          <w:tcPr>
            <w:tcW w:w="3781" w:type="pct"/>
            <w:gridSpan w:val="8"/>
            <w:tcBorders>
              <w:top w:val="single" w:sz="4" w:space="0" w:color="CECFD0"/>
              <w:bottom w:val="single" w:sz="4" w:space="0" w:color="CECFD0"/>
              <w:right w:val="single" w:sz="4" w:space="0" w:color="CECFD0"/>
            </w:tcBorders>
            <w:vAlign w:val="center"/>
          </w:tcPr>
          <w:p>
            <w:pPr>
              <w:pStyle w:val="Table-content"/>
              <w:spacing w:after="0"/>
            </w:pPr>
            <w:r/>
            <w:r>
              <w:rPr>
                <w:rFonts w:ascii="Arial" w:hAnsi="Arial"/>
                <w:b w:val="0"/>
                <w:color w:val="102A43"/>
                <w:sz w:val="18"/>
              </w:rPr>
              <w:t>System Architecture Specification</w:t>
            </w:r>
          </w:p>
        </w:tc>
      </w:tr>
      <w:tr w:rsidR="003B7EC9" w:rsidRPr="00E07A91" w14:paraId="03E20FFE" w14:textId="77777777" w:rsidTr="007B3E06">
        <w:trPr>
          <w:trHeight w:val="369"/>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bottom w:val="single" w:sz="4" w:space="0" w:color="CECFD0" w:themeColor="background1"/>
            </w:tcBorders>
            <w:shd w:val="clear" w:color="auto" w:fill="1E588C" w:themeFill="text2" w:themeFillShade="BF"/>
          </w:tcPr>
          <w:p w14:paraId="605D9D7B" w14:textId="3305F960" w:rsidR="003B7EC9" w:rsidRPr="00E07A91" w:rsidRDefault="002C5093" w:rsidP="007A2020">
            <w:pPr>
              <w:pStyle w:val="TableParagraph"/>
              <w:spacing w:before="60" w:after="60"/>
              <w:jc w:val="left"/>
              <w:rPr>
                <w:rFonts w:ascii="Barlow" w:hAnsi="Barlow" w:cstheme="minorHAnsi"/>
                <w:b w:val="0"/>
                <w:bCs/>
                <w:color w:val="FFFFFF" w:themeColor="accent6"/>
                <w:sz w:val="20"/>
                <w:szCs w:val="20"/>
              </w:rPr>
            </w:pPr>
            <w:r>
              <w:rPr>
                <w:rFonts w:ascii="Barlow" w:hAnsi="Barlow" w:cstheme="minorHAnsi"/>
                <w:b w:val="0"/>
                <w:bCs/>
                <w:color w:val="FFFFFF" w:themeColor="accent6"/>
                <w:sz w:val="20"/>
                <w:szCs w:val="20"/>
              </w:rPr>
              <w:t>Author</w:t>
            </w:r>
            <w:r w:rsidR="003B7EC9" w:rsidRPr="00E07A91">
              <w:rPr>
                <w:rFonts w:ascii="Barlow" w:hAnsi="Barlow" w:cstheme="minorHAnsi"/>
                <w:b w:val="0"/>
                <w:bCs/>
                <w:color w:val="FFFFFF" w:themeColor="accent6"/>
                <w:sz w:val="20"/>
                <w:szCs w:val="20"/>
              </w:rPr>
              <w:t xml:space="preserve"> </w:t>
            </w:r>
          </w:p>
        </w:tc>
        <w:tc>
          <w:tcPr>
            <w:tcW w:w="3781" w:type="pct"/>
            <w:gridSpan w:val="8"/>
            <w:tcBorders>
              <w:top w:val="single" w:sz="4" w:space="0" w:color="CECFD0"/>
              <w:bottom w:val="single" w:sz="4" w:space="0" w:color="CECFD0"/>
              <w:right w:val="single" w:sz="4" w:space="0" w:color="CECFD0"/>
            </w:tcBorders>
            <w:vAlign w:val="center"/>
          </w:tcPr>
          <w:p>
            <w:pPr>
              <w:pStyle w:val="Table-content"/>
              <w:spacing w:after="0"/>
            </w:pPr>
            <w:r/>
            <w:r>
              <w:rPr>
                <w:rFonts w:ascii="Arial" w:hAnsi="Arial"/>
                <w:b w:val="0"/>
                <w:color w:val="102A43"/>
                <w:sz w:val="18"/>
              </w:rPr>
            </w:r>
          </w:p>
        </w:tc>
      </w:tr>
      <w:tr w:rsidR="002C5093" w:rsidRPr="00E07A91" w14:paraId="46A09F2A" w14:textId="77777777" w:rsidTr="007B3E06">
        <w:trPr>
          <w:trHeight w:val="369"/>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bottom w:val="single" w:sz="4" w:space="0" w:color="CECFD0" w:themeColor="background1"/>
            </w:tcBorders>
            <w:shd w:val="clear" w:color="auto" w:fill="1E588C" w:themeFill="text2" w:themeFillShade="BF"/>
          </w:tcPr>
          <w:p w14:paraId="4F9AE62B" w14:textId="77783B1A" w:rsidR="002C5093" w:rsidRDefault="002C5093" w:rsidP="007A2020">
            <w:pPr>
              <w:pStyle w:val="TableParagraph"/>
              <w:spacing w:before="60" w:after="60"/>
              <w:jc w:val="left"/>
              <w:rPr>
                <w:rFonts w:ascii="Barlow" w:hAnsi="Barlow" w:cstheme="minorHAnsi"/>
                <w:b w:val="0"/>
                <w:bCs/>
                <w:color w:val="FFFFFF" w:themeColor="accent6"/>
                <w:sz w:val="20"/>
                <w:szCs w:val="20"/>
              </w:rPr>
            </w:pPr>
            <w:r>
              <w:rPr>
                <w:rFonts w:ascii="Barlow" w:hAnsi="Barlow" w:cstheme="minorHAnsi"/>
                <w:b w:val="0"/>
                <w:bCs/>
                <w:color w:val="FFFFFF" w:themeColor="accent6"/>
                <w:sz w:val="20"/>
                <w:szCs w:val="20"/>
              </w:rPr>
              <w:t>Reviewed by</w:t>
            </w:r>
          </w:p>
        </w:tc>
        <w:tc>
          <w:tcPr>
            <w:tcW w:w="3781" w:type="pct"/>
            <w:gridSpan w:val="8"/>
            <w:tcBorders>
              <w:top w:val="single" w:sz="4" w:space="0" w:color="CECFD0"/>
              <w:bottom w:val="single" w:sz="4" w:space="0" w:color="CECFD0"/>
              <w:right w:val="single" w:sz="4" w:space="0" w:color="CECFD0"/>
            </w:tcBorders>
            <w:vAlign w:val="center"/>
          </w:tcPr>
          <w:p>
            <w:pPr>
              <w:pStyle w:val="Table-content"/>
              <w:spacing w:after="0"/>
            </w:pPr>
            <w:r/>
            <w:r>
              <w:rPr>
                <w:rFonts w:ascii="Arial" w:hAnsi="Arial"/>
                <w:b w:val="0"/>
                <w:color w:val="102A43"/>
                <w:sz w:val="18"/>
              </w:rPr>
            </w:r>
          </w:p>
        </w:tc>
      </w:tr>
      <w:tr w:rsidR="003B7EC9" w:rsidRPr="00E07A91" w14:paraId="06105FBF" w14:textId="77777777" w:rsidTr="007B3E06">
        <w:trPr>
          <w:trHeight w:val="369"/>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bottom w:val="single" w:sz="4" w:space="0" w:color="CECFD0" w:themeColor="background1"/>
            </w:tcBorders>
            <w:shd w:val="clear" w:color="auto" w:fill="1E588C" w:themeFill="text2" w:themeFillShade="BF"/>
          </w:tcPr>
          <w:p w14:paraId="5F4C6574" w14:textId="77777777" w:rsidR="003B7EC9" w:rsidRPr="00E07A91" w:rsidRDefault="003B7EC9" w:rsidP="007A2020">
            <w:pPr>
              <w:pStyle w:val="TableParagraph"/>
              <w:spacing w:before="60" w:after="60"/>
              <w:jc w:val="left"/>
              <w:rPr>
                <w:rFonts w:ascii="Barlow" w:hAnsi="Barlow" w:cstheme="minorHAnsi"/>
                <w:b w:val="0"/>
                <w:color w:val="FFFFFF" w:themeColor="accent6"/>
                <w:sz w:val="20"/>
                <w:szCs w:val="20"/>
              </w:rPr>
            </w:pPr>
            <w:r w:rsidRPr="00E07A91">
              <w:rPr>
                <w:rFonts w:ascii="Barlow" w:hAnsi="Barlow" w:cstheme="minorHAnsi"/>
                <w:b w:val="0"/>
                <w:color w:val="FFFFFF" w:themeColor="accent6"/>
                <w:sz w:val="20"/>
                <w:szCs w:val="20"/>
              </w:rPr>
              <w:t>Due date</w:t>
            </w:r>
          </w:p>
        </w:tc>
        <w:tc>
          <w:tcPr>
            <w:tcW w:w="3781" w:type="pct"/>
            <w:gridSpan w:val="8"/>
            <w:tcBorders>
              <w:top w:val="single" w:sz="4" w:space="0" w:color="CECFD0"/>
              <w:right w:val="single" w:sz="4" w:space="0" w:color="CECFD0"/>
            </w:tcBorders>
            <w:vAlign w:val="center"/>
          </w:tcPr>
          <w:p>
            <w:pPr>
              <w:pStyle w:val="Table-content"/>
              <w:spacing w:after="0"/>
            </w:pPr>
            <w:r/>
            <w:r>
              <w:rPr>
                <w:rFonts w:ascii="Arial" w:hAnsi="Arial"/>
                <w:b w:val="0"/>
                <w:color w:val="102A43"/>
                <w:sz w:val="18"/>
              </w:rPr>
            </w:r>
          </w:p>
        </w:tc>
      </w:tr>
      <w:tr w:rsidR="002C5093" w:rsidRPr="00E07A91" w14:paraId="27AB04B7" w14:textId="77777777" w:rsidTr="007B3E06">
        <w:trPr>
          <w:trHeight w:val="369"/>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bottom w:val="single" w:sz="4" w:space="0" w:color="CECFD0" w:themeColor="background1"/>
            </w:tcBorders>
            <w:shd w:val="clear" w:color="auto" w:fill="1E588C" w:themeFill="text2" w:themeFillShade="BF"/>
          </w:tcPr>
          <w:p w14:paraId="1E04B242" w14:textId="085902A7" w:rsidR="002C5093" w:rsidRPr="002C5093" w:rsidRDefault="002C5093" w:rsidP="007A2020">
            <w:pPr>
              <w:pStyle w:val="TableParagraph"/>
              <w:spacing w:before="60" w:after="60"/>
              <w:jc w:val="left"/>
              <w:rPr>
                <w:rFonts w:ascii="Barlow" w:hAnsi="Barlow" w:cstheme="minorHAnsi"/>
                <w:b w:val="0"/>
                <w:bCs/>
                <w:color w:val="FFFFFF" w:themeColor="accent6"/>
                <w:sz w:val="20"/>
                <w:szCs w:val="20"/>
              </w:rPr>
            </w:pPr>
            <w:r w:rsidRPr="002C5093">
              <w:rPr>
                <w:rFonts w:ascii="Barlow" w:hAnsi="Barlow" w:cstheme="minorHAnsi"/>
                <w:b w:val="0"/>
                <w:bCs/>
                <w:color w:val="FFFFFF" w:themeColor="accent6"/>
                <w:sz w:val="20"/>
                <w:szCs w:val="20"/>
              </w:rPr>
              <w:t>Submission Date</w:t>
            </w:r>
          </w:p>
        </w:tc>
        <w:tc>
          <w:tcPr>
            <w:tcW w:w="3781" w:type="pct"/>
            <w:gridSpan w:val="8"/>
            <w:tcBorders>
              <w:top w:val="single" w:sz="4" w:space="0" w:color="CECFD0"/>
              <w:right w:val="single" w:sz="4" w:space="0" w:color="CECFD0"/>
            </w:tcBorders>
            <w:vAlign w:val="center"/>
          </w:tcPr>
          <w:p>
            <w:pPr>
              <w:pStyle w:val="Table-content"/>
              <w:spacing w:after="0"/>
            </w:pPr>
            <w:r/>
            <w:r>
              <w:rPr>
                <w:rFonts w:ascii="Arial" w:hAnsi="Arial"/>
                <w:b w:val="0"/>
                <w:color w:val="102A43"/>
                <w:sz w:val="18"/>
              </w:rPr>
            </w:r>
          </w:p>
        </w:tc>
      </w:tr>
      <w:tr w:rsidR="007B3E06" w:rsidRPr="00E07A91" w14:paraId="07DAE7BD" w14:textId="77777777" w:rsidTr="007B3E06">
        <w:trPr>
          <w:trHeight w:val="528"/>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bottom w:val="single" w:sz="4" w:space="0" w:color="CECFD0" w:themeColor="background1"/>
            </w:tcBorders>
            <w:shd w:val="clear" w:color="auto" w:fill="1E588C" w:themeFill="text2" w:themeFillShade="BF"/>
          </w:tcPr>
          <w:p w14:paraId="3D35D9FC" w14:textId="77777777" w:rsidR="003B7EC9" w:rsidRPr="00E07A91" w:rsidRDefault="003B7EC9" w:rsidP="007A2020">
            <w:pPr>
              <w:pStyle w:val="TableParagraph"/>
              <w:spacing w:before="60" w:after="60"/>
              <w:jc w:val="left"/>
              <w:rPr>
                <w:rFonts w:ascii="Barlow" w:hAnsi="Barlow" w:cstheme="minorHAnsi"/>
                <w:bCs/>
                <w:color w:val="FFFFFF" w:themeColor="accent6"/>
                <w:sz w:val="20"/>
                <w:szCs w:val="20"/>
              </w:rPr>
            </w:pPr>
            <w:r w:rsidRPr="00E07A91">
              <w:rPr>
                <w:rFonts w:ascii="Barlow" w:hAnsi="Barlow" w:cstheme="minorHAnsi"/>
                <w:b w:val="0"/>
                <w:bCs/>
                <w:color w:val="FFFFFF" w:themeColor="accent6"/>
                <w:sz w:val="20"/>
                <w:szCs w:val="20"/>
              </w:rPr>
              <w:t>Deliverable Type</w:t>
            </w:r>
          </w:p>
        </w:tc>
        <w:tc>
          <w:tcPr>
            <w:tcW w:w="249" w:type="pct"/>
            <w:gridSpan w:val="8"/>
            <w:tcBorders>
              <w:top w:val="single" w:sz="4" w:space="0" w:color="CECFD0"/>
              <w:bottom w:val="single" w:sz="4" w:space="0" w:color="CECFD0"/>
              <w:right w:val="single" w:sz="4" w:space="0" w:color="CECFD0"/>
            </w:tcBorders>
            <w:vAlign w:val="center"/>
          </w:tcPr>
          <w:p>
            <w:pPr>
              <w:pStyle w:val="Table-content"/>
              <w:spacing w:after="0"/>
            </w:pPr>
            <w:r/>
            <w:r>
              <w:rPr>
                <w:rFonts w:ascii="Arial" w:hAnsi="Arial"/>
                <w:b w:val="0"/>
                <w:color w:val="102A43"/>
                <w:sz w:val="16"/>
              </w:rPr>
              <w:t>☒ Document, Report (R)    ☐ DMP    ☐ DEC    ☐ Other</w:t>
            </w:r>
          </w:p>
        </w:tc>
      </w:tr>
      <w:tr w:rsidR="007B3E06" w:rsidRPr="00E07A91" w14:paraId="18E00ACC" w14:textId="77777777" w:rsidTr="007B3E06">
        <w:trPr>
          <w:trHeight w:val="528"/>
        </w:trPr>
        <w:tc>
          <w:tcPr>
            <w:cnfStyle w:val="001000000000" w:firstRow="0" w:lastRow="0" w:firstColumn="1" w:lastColumn="0" w:oddVBand="0" w:evenVBand="0" w:oddHBand="0" w:evenHBand="0" w:firstRowFirstColumn="0" w:firstRowLastColumn="0" w:lastRowFirstColumn="0" w:lastRowLastColumn="0"/>
            <w:tcW w:w="1219" w:type="pct"/>
            <w:tcBorders>
              <w:top w:val="single" w:sz="4" w:space="0" w:color="CECFD0" w:themeColor="background1"/>
            </w:tcBorders>
            <w:shd w:val="clear" w:color="auto" w:fill="1E588C" w:themeFill="text2" w:themeFillShade="BF"/>
          </w:tcPr>
          <w:p w14:paraId="73F8E8D1" w14:textId="77777777" w:rsidR="003B7EC9" w:rsidRPr="00E07A91" w:rsidRDefault="003B7EC9" w:rsidP="007A2020">
            <w:pPr>
              <w:pStyle w:val="TableParagraph"/>
              <w:spacing w:before="60" w:after="60"/>
              <w:jc w:val="left"/>
              <w:rPr>
                <w:rFonts w:ascii="Barlow" w:hAnsi="Barlow" w:cstheme="minorHAnsi"/>
                <w:bCs/>
                <w:color w:val="FFFFFF" w:themeColor="accent6"/>
                <w:sz w:val="20"/>
                <w:szCs w:val="20"/>
              </w:rPr>
            </w:pPr>
            <w:r w:rsidRPr="00E07A91">
              <w:rPr>
                <w:rFonts w:ascii="Barlow" w:hAnsi="Barlow" w:cstheme="minorHAnsi"/>
                <w:b w:val="0"/>
                <w:bCs/>
                <w:color w:val="FFFFFF" w:themeColor="accent6"/>
                <w:sz w:val="20"/>
                <w:szCs w:val="20"/>
              </w:rPr>
              <w:t>Dissemination Level</w:t>
            </w:r>
          </w:p>
        </w:tc>
        <w:tc>
          <w:tcPr>
            <w:tcW w:w="249" w:type="pct"/>
            <w:gridSpan w:val="8"/>
            <w:tcBorders>
              <w:top w:val="single" w:sz="4" w:space="0" w:color="CECFD0"/>
              <w:bottom w:val="single" w:sz="4" w:space="0" w:color="CECFD0"/>
              <w:right w:val="single" w:sz="4" w:space="0" w:color="CECFD0"/>
            </w:tcBorders>
            <w:vAlign w:val="center"/>
          </w:tcPr>
          <w:p>
            <w:pPr>
              <w:pStyle w:val="Table-content"/>
              <w:spacing w:after="0"/>
            </w:pPr>
            <w:r/>
            <w:r>
              <w:rPr>
                <w:rFonts w:ascii="Arial" w:hAnsi="Arial"/>
                <w:b w:val="0"/>
                <w:color w:val="102A43"/>
                <w:sz w:val="16"/>
              </w:rPr>
              <w:t>☐ Public (PU)    ☐ Sensitive (SEN)    ☐ Classified</w:t>
            </w:r>
          </w:p>
        </w:tc>
      </w:tr>
      <w:tr w:rsidR="003B7EC9" w:rsidRPr="00E07A91" w14:paraId="35FAD71D" w14:textId="77777777" w:rsidTr="007B3E06">
        <w:trPr>
          <w:trHeight w:val="528"/>
        </w:trPr>
        <w:tc>
          <w:tcPr>
            <w:cnfStyle w:val="001000000000" w:firstRow="0" w:lastRow="0" w:firstColumn="1" w:lastColumn="0" w:oddVBand="0" w:evenVBand="0" w:oddHBand="0" w:evenHBand="0" w:firstRowFirstColumn="0" w:firstRowLastColumn="0" w:lastRowFirstColumn="0" w:lastRowLastColumn="0"/>
            <w:tcW w:w="1219" w:type="pct"/>
            <w:shd w:val="clear" w:color="auto" w:fill="1E588C" w:themeFill="text2" w:themeFillShade="BF"/>
          </w:tcPr>
          <w:p w14:paraId="660AEFE6" w14:textId="77777777" w:rsidR="003B7EC9" w:rsidRPr="00E07A91" w:rsidRDefault="003B7EC9" w:rsidP="007A2020">
            <w:pPr>
              <w:pStyle w:val="TableParagraph"/>
              <w:spacing w:before="60" w:after="60"/>
              <w:jc w:val="left"/>
              <w:rPr>
                <w:rFonts w:ascii="Barlow" w:hAnsi="Barlow" w:cstheme="minorHAnsi"/>
                <w:b w:val="0"/>
                <w:bCs/>
                <w:color w:val="FFFFFF" w:themeColor="accent6"/>
                <w:sz w:val="20"/>
                <w:szCs w:val="20"/>
              </w:rPr>
            </w:pPr>
          </w:p>
        </w:tc>
        <w:tc>
          <w:tcPr>
            <w:tcW w:w="3781" w:type="pct"/>
            <w:gridSpan w:val="8"/>
            <w:tcBorders>
              <w:top w:val="single" w:sz="4" w:space="0" w:color="CECFD0"/>
              <w:bottom w:val="single" w:sz="4" w:space="0" w:color="CECFD0"/>
              <w:right w:val="single" w:sz="4" w:space="0" w:color="CECFD0"/>
            </w:tcBorders>
          </w:tcPr>
          <w:p w14:paraId="4CA248CF" w14:textId="77777777" w:rsidR="003B7EC9" w:rsidRPr="00E07A91" w:rsidRDefault="003B7EC9" w:rsidP="007A2020">
            <w:pPr>
              <w:pStyle w:val="TableParagraph"/>
              <w:spacing w:before="60" w:after="60"/>
              <w:jc w:val="left"/>
              <w:cnfStyle w:val="000000000000" w:firstRow="0" w:lastRow="0" w:firstColumn="0" w:lastColumn="0" w:oddVBand="0" w:evenVBand="0" w:oddHBand="0" w:evenHBand="0" w:firstRowFirstColumn="0" w:firstRowLastColumn="0" w:lastRowFirstColumn="0" w:lastRowLastColumn="0"/>
              <w:rPr>
                <w:rFonts w:ascii="Barlow" w:hAnsi="Barlow" w:cstheme="minorHAnsi"/>
                <w:color w:val="4D4F52"/>
                <w:sz w:val="16"/>
                <w:szCs w:val="16"/>
              </w:rPr>
            </w:pPr>
            <w:r w:rsidRPr="00E07A91">
              <w:rPr>
                <w:rFonts w:ascii="Barlow" w:hAnsi="Barlow" w:cstheme="minorHAnsi"/>
                <w:color w:val="4D4F52"/>
                <w:sz w:val="16"/>
                <w:szCs w:val="16"/>
              </w:rPr>
              <w:t>PU: Public, fully open</w:t>
            </w:r>
          </w:p>
          <w:p w14:paraId="08D00984" w14:textId="77777777" w:rsidR="003B7EC9" w:rsidRPr="00E07A91" w:rsidRDefault="003B7EC9" w:rsidP="007A2020">
            <w:pPr>
              <w:pStyle w:val="TableParagraph"/>
              <w:spacing w:before="60" w:after="60"/>
              <w:jc w:val="left"/>
              <w:cnfStyle w:val="000000000000" w:firstRow="0" w:lastRow="0" w:firstColumn="0" w:lastColumn="0" w:oddVBand="0" w:evenVBand="0" w:oddHBand="0" w:evenHBand="0" w:firstRowFirstColumn="0" w:firstRowLastColumn="0" w:lastRowFirstColumn="0" w:lastRowLastColumn="0"/>
              <w:rPr>
                <w:rFonts w:ascii="Barlow" w:hAnsi="Barlow" w:cstheme="minorHAnsi"/>
                <w:color w:val="4D4F52"/>
                <w:sz w:val="16"/>
                <w:szCs w:val="16"/>
              </w:rPr>
            </w:pPr>
            <w:r w:rsidRPr="00E07A91">
              <w:rPr>
                <w:rFonts w:ascii="Barlow" w:hAnsi="Barlow" w:cstheme="minorHAnsi"/>
                <w:color w:val="4D4F52"/>
                <w:sz w:val="16"/>
                <w:szCs w:val="16"/>
              </w:rPr>
              <w:t xml:space="preserve">SEN: Sensitive, limited under the conditions of the Grant Agreement </w:t>
            </w:r>
          </w:p>
          <w:p w14:paraId="3009B80A" w14:textId="77777777" w:rsidR="003B7EC9" w:rsidRPr="00E07A91" w:rsidRDefault="003B7EC9" w:rsidP="007A2020">
            <w:pPr>
              <w:pStyle w:val="TableParagraph"/>
              <w:spacing w:before="60" w:after="60"/>
              <w:jc w:val="left"/>
              <w:cnfStyle w:val="000000000000" w:firstRow="0" w:lastRow="0" w:firstColumn="0" w:lastColumn="0" w:oddVBand="0" w:evenVBand="0" w:oddHBand="0" w:evenHBand="0" w:firstRowFirstColumn="0" w:firstRowLastColumn="0" w:lastRowFirstColumn="0" w:lastRowLastColumn="0"/>
              <w:rPr>
                <w:rFonts w:ascii="Barlow" w:hAnsi="Barlow" w:cstheme="minorHAnsi"/>
                <w:color w:val="4D4F52"/>
                <w:sz w:val="16"/>
                <w:szCs w:val="16"/>
              </w:rPr>
            </w:pPr>
            <w:r w:rsidRPr="00E07A91">
              <w:rPr>
                <w:rFonts w:ascii="Barlow" w:hAnsi="Barlow" w:cstheme="minorHAnsi"/>
                <w:color w:val="4D4F52"/>
                <w:sz w:val="16"/>
                <w:szCs w:val="16"/>
              </w:rPr>
              <w:t>Classified R-UE/EU-R – EU RESTRICTED under the Commission Decision No2015/444</w:t>
            </w:r>
          </w:p>
          <w:p w14:paraId="7FE61C1D" w14:textId="77777777" w:rsidR="003B7EC9" w:rsidRPr="00E07A91" w:rsidRDefault="003B7EC9" w:rsidP="007A2020">
            <w:pPr>
              <w:pStyle w:val="TableParagraph"/>
              <w:spacing w:before="60" w:after="60"/>
              <w:jc w:val="left"/>
              <w:cnfStyle w:val="000000000000" w:firstRow="0" w:lastRow="0" w:firstColumn="0" w:lastColumn="0" w:oddVBand="0" w:evenVBand="0" w:oddHBand="0" w:evenHBand="0" w:firstRowFirstColumn="0" w:firstRowLastColumn="0" w:lastRowFirstColumn="0" w:lastRowLastColumn="0"/>
              <w:rPr>
                <w:rFonts w:ascii="Barlow" w:hAnsi="Barlow" w:cstheme="minorHAnsi"/>
                <w:color w:val="4D4F52"/>
                <w:sz w:val="16"/>
                <w:szCs w:val="16"/>
              </w:rPr>
            </w:pPr>
            <w:r w:rsidRPr="00E07A91">
              <w:rPr>
                <w:rFonts w:ascii="Barlow" w:hAnsi="Barlow" w:cstheme="minorHAnsi"/>
                <w:color w:val="4D4F52"/>
                <w:sz w:val="16"/>
                <w:szCs w:val="16"/>
              </w:rPr>
              <w:t>Classified C-UE/EU-C – EU CONFIDENTIAL under the Commission Decision No2015/444</w:t>
            </w:r>
          </w:p>
          <w:p w14:paraId="39D1857D" w14:textId="77777777" w:rsidR="003B7EC9" w:rsidRPr="00E07A91" w:rsidRDefault="003B7EC9" w:rsidP="007A2020">
            <w:pPr>
              <w:pStyle w:val="TableParagraph"/>
              <w:spacing w:before="60" w:after="60"/>
              <w:jc w:val="left"/>
              <w:cnfStyle w:val="000000000000" w:firstRow="0" w:lastRow="0" w:firstColumn="0" w:lastColumn="0" w:oddVBand="0" w:evenVBand="0" w:oddHBand="0" w:evenHBand="0" w:firstRowFirstColumn="0" w:firstRowLastColumn="0" w:lastRowFirstColumn="0" w:lastRowLastColumn="0"/>
              <w:rPr>
                <w:rFonts w:ascii="Barlow" w:hAnsi="Barlow" w:cstheme="minorHAnsi"/>
                <w:color w:val="4D4F52"/>
                <w:sz w:val="20"/>
                <w:szCs w:val="20"/>
              </w:rPr>
            </w:pPr>
            <w:r w:rsidRPr="00E07A91">
              <w:rPr>
                <w:rFonts w:ascii="Barlow" w:hAnsi="Barlow" w:cstheme="minorHAnsi"/>
                <w:color w:val="4D4F52"/>
                <w:sz w:val="16"/>
                <w:szCs w:val="16"/>
              </w:rPr>
              <w:t>Classified S-UE/EU-S – EU SECRET under the Commission Decision No2015/444</w:t>
            </w:r>
          </w:p>
        </w:tc>
      </w:tr>
    </w:tbl>
    <w:p w14:paraId="3B7EEDCF" w14:textId="1CCBBC51" w:rsidR="00CB1F2F" w:rsidRPr="00E07A91" w:rsidRDefault="00A05AAB">
      <w:pPr>
        <w:rPr>
          <w:rFonts w:ascii="Barlow" w:hAnsi="Barlow"/>
        </w:rPr>
      </w:pPr>
      <w:r w:rsidRPr="00E07A91">
        <w:rPr>
          <w:rFonts w:ascii="Barlow" w:hAnsi="Barlow"/>
        </w:rPr>
        <w:br w:type="page"/>
      </w:r>
    </w:p>
    <w:p w14:paraId="49DA0794" w14:textId="274C284E" w:rsidR="00FF14BD" w:rsidRPr="00E07A91" w:rsidRDefault="00A05AAB" w:rsidP="00FF14BD">
      <w:pPr>
        <w:spacing w:line="480" w:lineRule="auto"/>
        <w:rPr>
          <w:rFonts w:ascii="Barlow" w:hAnsi="Barlow"/>
          <w:smallCaps/>
          <w:color w:val="31AE71"/>
        </w:rPr>
      </w:pPr>
      <w:r w:rsidRPr="00E07A91">
        <w:rPr>
          <w:rFonts w:ascii="Barlow" w:hAnsi="Barlow"/>
          <w:smallCaps/>
          <w:color w:val="31AE71"/>
        </w:rPr>
        <w:lastRenderedPageBreak/>
        <w:t>Document Revision History</w:t>
      </w:r>
    </w:p>
    <w:tbl>
      <w:tblPr>
        <w:tblpPr w:leftFromText="142" w:rightFromText="142" w:bottomFromText="425" w:vertAnchor="text" w:tblpY="1"/>
        <w:tblW w:w="5000" w:type="pct"/>
        <w:tblBorders>
          <w:top w:val="single" w:sz="2" w:space="0" w:color="CECFD0" w:themeColor="accent1"/>
          <w:left w:val="single" w:sz="2" w:space="0" w:color="CECFD0" w:themeColor="accent1"/>
          <w:bottom w:val="single" w:sz="2" w:space="0" w:color="CECFD0" w:themeColor="accent1"/>
          <w:right w:val="single" w:sz="2" w:space="0" w:color="CECFD0" w:themeColor="accent1"/>
          <w:insideH w:val="single" w:sz="2" w:space="0" w:color="CECFD0" w:themeColor="accent1"/>
          <w:insideV w:val="single" w:sz="2" w:space="0" w:color="CECFD0" w:themeColor="accent1"/>
        </w:tblBorders>
        <w:tblLook w:val="01E0" w:firstRow="1" w:lastRow="1" w:firstColumn="1" w:lastColumn="1" w:noHBand="0" w:noVBand="0"/>
      </w:tblPr>
      <w:tblGrid>
        <w:gridCol w:w="981"/>
        <w:gridCol w:w="1285"/>
        <w:gridCol w:w="3543"/>
        <w:gridCol w:w="3540"/>
      </w:tblGrid>
      <w:tr w:rsidR="00FF14BD" w:rsidRPr="00E07A91" w14:paraId="61A5DD0B" w14:textId="77777777" w:rsidTr="00FF14BD">
        <w:trPr>
          <w:trHeight w:val="369"/>
        </w:trPr>
        <w:tc>
          <w:tcPr>
            <w:tcW w:w="524" w:type="pct"/>
            <w:tcBorders>
              <w:bottom w:val="single" w:sz="4" w:space="0" w:color="CECFD0" w:themeColor="background1"/>
              <w:right w:val="single" w:sz="4" w:space="0" w:color="CECFD0" w:themeColor="background1"/>
            </w:tcBorders>
            <w:shd w:val="clear" w:color="auto" w:fill="1E588C" w:themeFill="text2" w:themeFillShade="BF"/>
          </w:tcPr>
          <w:p w14:paraId="78DF5073" w14:textId="77777777" w:rsidR="00FF14BD" w:rsidRPr="00E07A91" w:rsidRDefault="00FF14BD" w:rsidP="00FF14BD">
            <w:pPr>
              <w:pStyle w:val="TableParagraph"/>
              <w:spacing w:before="60" w:after="60"/>
              <w:jc w:val="left"/>
              <w:rPr>
                <w:rFonts w:ascii="Barlow" w:hAnsi="Barlow" w:cstheme="minorHAnsi"/>
                <w:b/>
                <w:bCs/>
                <w:color w:val="FFFFFF" w:themeColor="accent6"/>
                <w:sz w:val="20"/>
                <w:szCs w:val="20"/>
              </w:rPr>
            </w:pPr>
            <w:r w:rsidRPr="00E07A91">
              <w:rPr>
                <w:rFonts w:ascii="Barlow" w:hAnsi="Barlow" w:cstheme="minorHAnsi"/>
                <w:b/>
                <w:bCs/>
                <w:color w:val="FFFFFF" w:themeColor="accent6"/>
                <w:sz w:val="20"/>
                <w:szCs w:val="20"/>
              </w:rPr>
              <w:t>Version</w:t>
            </w:r>
          </w:p>
        </w:tc>
        <w:tc>
          <w:tcPr>
            <w:tcW w:w="687" w:type="pct"/>
            <w:tcBorders>
              <w:left w:val="single" w:sz="4" w:space="0" w:color="CECFD0" w:themeColor="background1"/>
              <w:bottom w:val="single" w:sz="4" w:space="0" w:color="CECFD0" w:themeColor="background1"/>
              <w:right w:val="single" w:sz="4" w:space="0" w:color="CECFD0" w:themeColor="background1"/>
            </w:tcBorders>
            <w:shd w:val="clear" w:color="auto" w:fill="1E588C" w:themeFill="text2" w:themeFillShade="BF"/>
          </w:tcPr>
          <w:p w14:paraId="2A1E4D54" w14:textId="77777777" w:rsidR="00FF14BD" w:rsidRPr="00E07A91" w:rsidRDefault="00FF14BD" w:rsidP="00FF14BD">
            <w:pPr>
              <w:pStyle w:val="TableParagraph"/>
              <w:spacing w:before="60" w:after="60"/>
              <w:jc w:val="left"/>
              <w:rPr>
                <w:rFonts w:ascii="Barlow" w:hAnsi="Barlow" w:cstheme="minorHAnsi"/>
                <w:b/>
                <w:bCs/>
                <w:color w:val="FFFFFF" w:themeColor="accent6"/>
                <w:sz w:val="20"/>
                <w:szCs w:val="20"/>
              </w:rPr>
            </w:pPr>
            <w:r w:rsidRPr="00E07A91">
              <w:rPr>
                <w:rFonts w:ascii="Barlow" w:hAnsi="Barlow" w:cstheme="minorHAnsi"/>
                <w:b/>
                <w:bCs/>
                <w:color w:val="FFFFFF" w:themeColor="accent6"/>
                <w:sz w:val="20"/>
                <w:szCs w:val="20"/>
              </w:rPr>
              <w:t>Date</w:t>
            </w:r>
          </w:p>
        </w:tc>
        <w:tc>
          <w:tcPr>
            <w:tcW w:w="1895" w:type="pct"/>
            <w:tcBorders>
              <w:left w:val="single" w:sz="4" w:space="0" w:color="CECFD0" w:themeColor="background1"/>
              <w:bottom w:val="single" w:sz="4" w:space="0" w:color="CECFD0" w:themeColor="background1"/>
              <w:right w:val="single" w:sz="4" w:space="0" w:color="CECFD0" w:themeColor="background1"/>
            </w:tcBorders>
            <w:shd w:val="clear" w:color="auto" w:fill="1E588C" w:themeFill="text2" w:themeFillShade="BF"/>
          </w:tcPr>
          <w:p w14:paraId="67896B9A" w14:textId="1750621E" w:rsidR="00FF14BD" w:rsidRPr="00E07A91" w:rsidRDefault="00FF14BD" w:rsidP="00FF14BD">
            <w:pPr>
              <w:pStyle w:val="TableParagraph"/>
              <w:spacing w:before="60" w:after="60"/>
              <w:jc w:val="left"/>
              <w:rPr>
                <w:rFonts w:ascii="Barlow" w:hAnsi="Barlow" w:cstheme="minorHAnsi"/>
                <w:b/>
                <w:bCs/>
                <w:color w:val="FFFFFF" w:themeColor="accent6"/>
                <w:sz w:val="20"/>
                <w:szCs w:val="20"/>
              </w:rPr>
            </w:pPr>
            <w:r w:rsidRPr="00E07A91">
              <w:rPr>
                <w:rFonts w:ascii="Barlow" w:hAnsi="Barlow" w:cstheme="minorHAnsi"/>
                <w:b/>
                <w:bCs/>
                <w:color w:val="FFFFFF" w:themeColor="accent6"/>
                <w:sz w:val="20"/>
                <w:szCs w:val="20"/>
              </w:rPr>
              <w:t>Description of change</w:t>
            </w:r>
          </w:p>
        </w:tc>
        <w:tc>
          <w:tcPr>
            <w:tcW w:w="1893" w:type="pct"/>
            <w:tcBorders>
              <w:left w:val="single" w:sz="4" w:space="0" w:color="CECFD0" w:themeColor="background1"/>
              <w:bottom w:val="single" w:sz="4" w:space="0" w:color="CECFD0" w:themeColor="background1"/>
            </w:tcBorders>
            <w:shd w:val="clear" w:color="auto" w:fill="1E588C" w:themeFill="text2" w:themeFillShade="BF"/>
          </w:tcPr>
          <w:p w14:paraId="1DF1D5DA" w14:textId="712FC2AE" w:rsidR="00FF14BD" w:rsidRPr="00E07A91" w:rsidRDefault="00FF14BD" w:rsidP="00FF14BD">
            <w:pPr>
              <w:pStyle w:val="TableParagraph"/>
              <w:spacing w:before="60" w:after="60"/>
              <w:jc w:val="left"/>
              <w:rPr>
                <w:rFonts w:ascii="Barlow" w:hAnsi="Barlow" w:cstheme="minorHAnsi"/>
                <w:b/>
                <w:bCs/>
                <w:color w:val="FFFFFF" w:themeColor="accent6"/>
                <w:sz w:val="20"/>
                <w:szCs w:val="20"/>
              </w:rPr>
            </w:pPr>
            <w:r w:rsidRPr="00E07A91">
              <w:rPr>
                <w:rFonts w:ascii="Barlow" w:hAnsi="Barlow" w:cstheme="minorHAnsi"/>
                <w:b/>
                <w:bCs/>
                <w:color w:val="FFFFFF" w:themeColor="accent6"/>
                <w:sz w:val="20"/>
                <w:szCs w:val="20"/>
                <w:lang w:val="en-US"/>
              </w:rPr>
              <w:t xml:space="preserve">List of </w:t>
            </w:r>
            <w:proofErr w:type="gramStart"/>
            <w:r w:rsidRPr="00E07A91">
              <w:rPr>
                <w:rFonts w:ascii="Barlow" w:hAnsi="Barlow" w:cstheme="minorHAnsi"/>
                <w:b/>
                <w:bCs/>
                <w:color w:val="FFFFFF" w:themeColor="accent6"/>
                <w:sz w:val="20"/>
                <w:szCs w:val="20"/>
                <w:lang w:val="en-US"/>
              </w:rPr>
              <w:t>contributor</w:t>
            </w:r>
            <w:proofErr w:type="gramEnd"/>
            <w:r w:rsidRPr="00E07A91">
              <w:rPr>
                <w:rFonts w:ascii="Barlow" w:hAnsi="Barlow" w:cstheme="minorHAnsi"/>
                <w:b/>
                <w:bCs/>
                <w:color w:val="FFFFFF" w:themeColor="accent6"/>
                <w:sz w:val="20"/>
                <w:szCs w:val="20"/>
                <w:lang w:val="en-US"/>
              </w:rPr>
              <w:t xml:space="preserve">(s) </w:t>
            </w:r>
          </w:p>
        </w:tc>
      </w:tr>
      <w:tr w:rsidR="00FF14BD" w:rsidRPr="00E07A91" w14:paraId="4C0F2A90" w14:textId="77777777" w:rsidTr="00FF14BD">
        <w:trPr>
          <w:trHeight w:val="369"/>
        </w:trPr>
        <w:tc>
          <w:tcPr>
            <w:tcW w:w="524" w:type="pct"/>
            <w:tcBorders>
              <w:top w:val="single" w:sz="4" w:space="0" w:color="CECFD0" w:themeColor="background1"/>
            </w:tcBorders>
            <w:vAlign w:val="center"/>
          </w:tcPr>
          <w:p>
            <w:pPr>
              <w:pStyle w:val="Table-content"/>
              <w:spacing w:after="0"/>
            </w:pPr>
            <w:r/>
            <w:r>
              <w:rPr>
                <w:rFonts w:ascii="Arial" w:hAnsi="Arial"/>
                <w:b w:val="0"/>
                <w:color w:val="102A43"/>
                <w:sz w:val="18"/>
              </w:rPr>
            </w:r>
          </w:p>
        </w:tc>
        <w:tc>
          <w:tcPr>
            <w:tcW w:w="687" w:type="pct"/>
            <w:tcBorders>
              <w:top w:val="single" w:sz="4" w:space="0" w:color="CECFD0" w:themeColor="background1"/>
            </w:tcBorders>
            <w:vAlign w:val="center"/>
          </w:tcPr>
          <w:p>
            <w:pPr>
              <w:pStyle w:val="Table-content"/>
              <w:spacing w:after="0"/>
            </w:pPr>
            <w:r/>
            <w:r>
              <w:rPr>
                <w:rFonts w:ascii="Arial" w:hAnsi="Arial"/>
                <w:b w:val="0"/>
                <w:color w:val="102A43"/>
                <w:sz w:val="18"/>
              </w:rPr>
            </w:r>
          </w:p>
        </w:tc>
        <w:tc>
          <w:tcPr>
            <w:tcW w:w="1895" w:type="pct"/>
            <w:tcBorders>
              <w:top w:val="single" w:sz="4" w:space="0" w:color="CECFD0" w:themeColor="background1"/>
            </w:tcBorders>
            <w:vAlign w:val="center"/>
          </w:tcPr>
          <w:p>
            <w:pPr>
              <w:pStyle w:val="Table-content"/>
              <w:spacing w:after="0"/>
            </w:pPr>
            <w:r/>
            <w:r>
              <w:rPr>
                <w:rFonts w:ascii="Arial" w:hAnsi="Arial"/>
                <w:b w:val="0"/>
                <w:color w:val="102A43"/>
                <w:sz w:val="18"/>
              </w:rPr>
            </w:r>
          </w:p>
        </w:tc>
        <w:tc>
          <w:tcPr>
            <w:tcW w:w="1893" w:type="pct"/>
            <w:tcBorders>
              <w:top w:val="single" w:sz="4" w:space="0" w:color="CECFD0" w:themeColor="background1"/>
            </w:tcBorders>
            <w:vAlign w:val="center"/>
          </w:tcPr>
          <w:p>
            <w:pPr>
              <w:pStyle w:val="Table-content"/>
              <w:spacing w:after="0"/>
            </w:pPr>
            <w:r/>
            <w:r>
              <w:rPr>
                <w:rFonts w:ascii="Arial" w:hAnsi="Arial"/>
                <w:b w:val="0"/>
                <w:color w:val="102A43"/>
                <w:sz w:val="18"/>
              </w:rPr>
            </w:r>
          </w:p>
        </w:tc>
      </w:tr>
      <w:tr w:rsidR="00FF14BD" w:rsidRPr="00E07A91" w14:paraId="074F76CB" w14:textId="77777777" w:rsidTr="00FF14BD">
        <w:trPr>
          <w:trHeight w:val="369"/>
        </w:trPr>
        <w:tc>
          <w:tcPr>
            <w:tcW w:w="524" w:type="pct"/>
            <w:vAlign w:val="center"/>
          </w:tcPr>
          <w:p>
            <w:pPr>
              <w:pStyle w:val="Table-content"/>
              <w:spacing w:after="0"/>
            </w:pPr>
            <w:r/>
            <w:r>
              <w:rPr>
                <w:rFonts w:ascii="Arial" w:hAnsi="Arial"/>
                <w:b w:val="0"/>
                <w:color w:val="102A43"/>
                <w:sz w:val="18"/>
              </w:rPr>
            </w:r>
          </w:p>
        </w:tc>
        <w:tc>
          <w:tcPr>
            <w:tcW w:w="687" w:type="pct"/>
            <w:vAlign w:val="center"/>
          </w:tcPr>
          <w:p>
            <w:pPr>
              <w:pStyle w:val="Table-content"/>
              <w:spacing w:after="0"/>
            </w:pPr>
            <w:r/>
            <w:r>
              <w:rPr>
                <w:rFonts w:ascii="Arial" w:hAnsi="Arial"/>
                <w:b w:val="0"/>
                <w:color w:val="102A43"/>
                <w:sz w:val="18"/>
              </w:rPr>
            </w:r>
          </w:p>
        </w:tc>
        <w:tc>
          <w:tcPr>
            <w:tcW w:w="1895" w:type="pct"/>
            <w:vAlign w:val="center"/>
          </w:tcPr>
          <w:p>
            <w:pPr>
              <w:pStyle w:val="Table-content"/>
              <w:spacing w:after="0"/>
            </w:pPr>
            <w:r/>
            <w:r>
              <w:rPr>
                <w:rFonts w:ascii="Arial" w:hAnsi="Arial"/>
                <w:b w:val="0"/>
                <w:color w:val="102A43"/>
                <w:sz w:val="18"/>
              </w:rPr>
            </w:r>
          </w:p>
        </w:tc>
        <w:tc>
          <w:tcPr>
            <w:tcW w:w="1893" w:type="pct"/>
            <w:vAlign w:val="center"/>
          </w:tcPr>
          <w:p>
            <w:pPr>
              <w:pStyle w:val="Table-content"/>
              <w:spacing w:after="0"/>
            </w:pPr>
            <w:r/>
            <w:r>
              <w:rPr>
                <w:rFonts w:ascii="Arial" w:hAnsi="Arial"/>
                <w:b w:val="0"/>
                <w:color w:val="102A43"/>
                <w:sz w:val="18"/>
              </w:rPr>
            </w:r>
          </w:p>
        </w:tc>
      </w:tr>
      <w:tr w:rsidR="00FF14BD" w:rsidRPr="00E07A91" w14:paraId="357FEE02" w14:textId="77777777" w:rsidTr="00FF14BD">
        <w:trPr>
          <w:trHeight w:val="369"/>
        </w:trPr>
        <w:tc>
          <w:tcPr>
            <w:tcW w:w="524" w:type="pct"/>
            <w:vAlign w:val="center"/>
          </w:tcPr>
          <w:p>
            <w:pPr>
              <w:pStyle w:val="Table-content"/>
              <w:spacing w:after="0"/>
            </w:pPr>
            <w:r/>
            <w:r>
              <w:rPr>
                <w:rFonts w:ascii="Arial" w:hAnsi="Arial"/>
                <w:b w:val="0"/>
                <w:color w:val="102A43"/>
                <w:sz w:val="18"/>
              </w:rPr>
            </w:r>
          </w:p>
        </w:tc>
        <w:tc>
          <w:tcPr>
            <w:tcW w:w="687" w:type="pct"/>
            <w:vAlign w:val="center"/>
          </w:tcPr>
          <w:p>
            <w:pPr>
              <w:pStyle w:val="Table-content"/>
              <w:spacing w:after="0"/>
            </w:pPr>
            <w:r/>
            <w:r>
              <w:rPr>
                <w:rFonts w:ascii="Arial" w:hAnsi="Arial"/>
                <w:b w:val="0"/>
                <w:color w:val="102A43"/>
                <w:sz w:val="18"/>
              </w:rPr>
            </w:r>
          </w:p>
        </w:tc>
        <w:tc>
          <w:tcPr>
            <w:tcW w:w="1895" w:type="pct"/>
            <w:vAlign w:val="center"/>
          </w:tcPr>
          <w:p>
            <w:pPr>
              <w:pStyle w:val="Table-content"/>
              <w:spacing w:after="0"/>
            </w:pPr>
            <w:r/>
            <w:r>
              <w:rPr>
                <w:rFonts w:ascii="Arial" w:hAnsi="Arial"/>
                <w:b w:val="0"/>
                <w:color w:val="102A43"/>
                <w:sz w:val="18"/>
              </w:rPr>
            </w:r>
          </w:p>
        </w:tc>
        <w:tc>
          <w:tcPr>
            <w:tcW w:w="1893" w:type="pct"/>
            <w:vAlign w:val="center"/>
          </w:tcPr>
          <w:p>
            <w:pPr>
              <w:pStyle w:val="Table-content"/>
              <w:spacing w:after="0"/>
            </w:pPr>
            <w:r/>
            <w:r>
              <w:rPr>
                <w:rFonts w:ascii="Arial" w:hAnsi="Arial"/>
                <w:b w:val="0"/>
                <w:color w:val="102A43"/>
                <w:sz w:val="18"/>
              </w:rPr>
            </w:r>
          </w:p>
        </w:tc>
      </w:tr>
    </w:tbl>
    <w:p w14:paraId="221187A0" w14:textId="65F2A0EB" w:rsidR="003153A3" w:rsidRPr="00E07A91" w:rsidRDefault="003153A3">
      <w:pPr>
        <w:rPr>
          <w:rFonts w:ascii="Barlow" w:hAnsi="Barlow"/>
          <w:smallCaps/>
          <w:color w:val="31B672"/>
          <w:sz w:val="24"/>
          <w:szCs w:val="24"/>
        </w:rPr>
      </w:pPr>
    </w:p>
    <w:p w14:paraId="656688AC"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7FE91A5C"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576C37A3"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11628883"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1FCC3FDE"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11891FE2"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0A0296B2"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7E5D68A5"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55C3DFB9"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53896AD4"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3E0534CE"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498270AC"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4621072A"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71F5F3C3"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181C063B"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3E15A6FF" w14:textId="77777777" w:rsidR="001C7283" w:rsidRDefault="001C7283">
      <w:pPr>
        <w:pBdr>
          <w:top w:val="nil"/>
          <w:left w:val="nil"/>
          <w:bottom w:val="nil"/>
          <w:right w:val="nil"/>
          <w:between w:val="nil"/>
        </w:pBdr>
        <w:spacing w:before="360" w:after="240"/>
        <w:rPr>
          <w:rFonts w:ascii="Barlow" w:hAnsi="Barlow"/>
          <w:smallCaps/>
          <w:color w:val="31AE71"/>
          <w:sz w:val="24"/>
          <w:szCs w:val="24"/>
        </w:rPr>
      </w:pPr>
    </w:p>
    <w:p w14:paraId="0BC6339A" w14:textId="0627C0A1" w:rsidR="00CB1F2F" w:rsidRPr="00E07A91" w:rsidRDefault="00A05AAB">
      <w:pPr>
        <w:pBdr>
          <w:top w:val="nil"/>
          <w:left w:val="nil"/>
          <w:bottom w:val="nil"/>
          <w:right w:val="nil"/>
          <w:between w:val="nil"/>
        </w:pBdr>
        <w:spacing w:before="360" w:after="240"/>
        <w:rPr>
          <w:rFonts w:ascii="Barlow" w:hAnsi="Barlow"/>
          <w:smallCaps/>
          <w:color w:val="31AE71"/>
          <w:sz w:val="24"/>
          <w:szCs w:val="24"/>
        </w:rPr>
      </w:pPr>
      <w:r w:rsidRPr="00E07A91">
        <w:rPr>
          <w:rFonts w:ascii="Barlow" w:hAnsi="Barlow"/>
          <w:smallCaps/>
          <w:color w:val="31AE71"/>
          <w:sz w:val="24"/>
          <w:szCs w:val="24"/>
        </w:rPr>
        <w:lastRenderedPageBreak/>
        <w:t>Disclaimer</w:t>
      </w:r>
    </w:p>
    <w:p w14:paraId="00CB5981" w14:textId="77777777" w:rsidR="00E07A91" w:rsidRPr="00E07A91" w:rsidRDefault="00E07A91" w:rsidP="00E07A91">
      <w:pPr>
        <w:pBdr>
          <w:top w:val="nil"/>
          <w:left w:val="nil"/>
          <w:bottom w:val="nil"/>
          <w:right w:val="nil"/>
          <w:between w:val="nil"/>
        </w:pBdr>
        <w:spacing w:before="360" w:after="240"/>
        <w:rPr>
          <w:rFonts w:ascii="Barlow" w:hAnsi="Barlow"/>
          <w:color w:val="4D4F52"/>
          <w:lang w:val="pt-PT"/>
        </w:rPr>
      </w:pPr>
      <w:r>
        <w:t>This deliverable defines the HEDGE-ExpertAI system architecture and the integration interfaces required for the HEDGE-IoT App Store.</w:t>
      </w:r>
    </w:p>
    <w:p w14:paraId="78A5215D" w14:textId="77777777" w:rsidR="00E07A91" w:rsidRPr="00E07A91" w:rsidRDefault="00E07A91" w:rsidP="00E07A91">
      <w:pPr>
        <w:pBdr>
          <w:top w:val="nil"/>
          <w:left w:val="nil"/>
          <w:bottom w:val="nil"/>
          <w:right w:val="nil"/>
          <w:between w:val="nil"/>
        </w:pBdr>
        <w:spacing w:before="360" w:after="240"/>
        <w:rPr>
          <w:rFonts w:ascii="Barlow" w:hAnsi="Barlow"/>
          <w:color w:val="4D4F52"/>
        </w:rPr>
      </w:pPr>
      <w:r/>
    </w:p>
    <w:p w14:paraId="352BDB13" w14:textId="77777777" w:rsidR="00E07A91" w:rsidRPr="00E07A91" w:rsidRDefault="00E07A91" w:rsidP="00E07A91">
      <w:pPr>
        <w:pBdr>
          <w:top w:val="nil"/>
          <w:left w:val="nil"/>
          <w:bottom w:val="nil"/>
          <w:right w:val="nil"/>
          <w:between w:val="nil"/>
        </w:pBdr>
        <w:spacing w:before="360" w:after="240"/>
        <w:rPr>
          <w:rFonts w:ascii="Barlow" w:hAnsi="Barlow"/>
          <w:color w:val="4D4F52"/>
        </w:rPr>
      </w:pPr>
    </w:p>
    <w:p w14:paraId="68D6B548" w14:textId="71FDEAF6" w:rsidR="00CB1F2F" w:rsidRPr="00E07A91" w:rsidRDefault="00A05AAB" w:rsidP="00E07A91">
      <w:pPr>
        <w:pBdr>
          <w:top w:val="nil"/>
          <w:left w:val="nil"/>
          <w:bottom w:val="nil"/>
          <w:right w:val="nil"/>
          <w:between w:val="nil"/>
        </w:pBdr>
        <w:spacing w:before="360" w:after="240"/>
        <w:rPr>
          <w:rFonts w:ascii="Barlow" w:hAnsi="Barlow"/>
          <w:smallCaps/>
          <w:color w:val="31AE71"/>
          <w:sz w:val="24"/>
          <w:szCs w:val="24"/>
        </w:rPr>
      </w:pPr>
      <w:r w:rsidRPr="00E07A91">
        <w:rPr>
          <w:rFonts w:ascii="Barlow" w:hAnsi="Barlow"/>
          <w:smallCaps/>
          <w:color w:val="31AE71"/>
          <w:sz w:val="24"/>
          <w:szCs w:val="24"/>
        </w:rPr>
        <w:t>Copyright notice</w:t>
      </w:r>
    </w:p>
    <w:p w14:paraId="0FF5673F" w14:textId="097CEB34" w:rsidR="00CB1F2F" w:rsidRPr="00E07A91" w:rsidRDefault="00A05AAB">
      <w:pPr>
        <w:pBdr>
          <w:top w:val="nil"/>
          <w:left w:val="nil"/>
          <w:bottom w:val="nil"/>
          <w:right w:val="nil"/>
          <w:between w:val="nil"/>
        </w:pBdr>
        <w:spacing w:before="120" w:after="180"/>
        <w:jc w:val="both"/>
        <w:rPr>
          <w:rFonts w:ascii="Barlow" w:hAnsi="Barlow"/>
          <w:color w:val="4D4F52"/>
        </w:rPr>
      </w:pPr>
      <w:r w:rsidRPr="00E07A91">
        <w:rPr>
          <w:rFonts w:ascii="Barlow" w:hAnsi="Barlow"/>
          <w:color w:val="4D4F52"/>
        </w:rPr>
        <w:t xml:space="preserve">© </w:t>
      </w:r>
      <w:r w:rsidR="00E07A91" w:rsidRPr="00E07A91">
        <w:rPr>
          <w:rFonts w:ascii="Barlow" w:hAnsi="Barlow"/>
          <w:color w:val="4D4F52"/>
        </w:rPr>
        <w:t>HEDGE-IoT, 2024</w:t>
      </w:r>
    </w:p>
    <w:p w14:paraId="388673A0" w14:textId="77777777" w:rsidR="00E07A91" w:rsidRPr="00E07A91" w:rsidRDefault="00E07A91" w:rsidP="00E07A91">
      <w:pPr>
        <w:rPr>
          <w:rFonts w:ascii="Barlow" w:hAnsi="Barlow"/>
          <w:lang w:val="pt-PT"/>
        </w:rPr>
      </w:pPr>
      <w:r/>
    </w:p>
    <w:p w14:paraId="5486986E" w14:textId="606D06A0" w:rsidR="00CB1F2F" w:rsidRPr="00E07A91" w:rsidRDefault="00FF14BD" w:rsidP="00E07A91">
      <w:pPr>
        <w:rPr>
          <w:rFonts w:ascii="Barlow" w:eastAsia="Montserrat Light" w:hAnsi="Barlow" w:cs="Montserrat Light"/>
          <w:lang w:val="pt-PT"/>
        </w:rPr>
      </w:pPr>
      <w:r w:rsidRPr="00E07A91">
        <w:rPr>
          <w:rFonts w:ascii="Barlow" w:hAnsi="Barlow"/>
          <w:lang w:val="pt-PT"/>
        </w:rPr>
        <w:br w:type="page"/>
      </w:r>
    </w:p>
    <w:p>
      <w:pPr>
        <w:pStyle w:val="Heading1"/>
        <w:keepNext/>
      </w:pPr>
      <w:r>
        <w:t>EXECUTIVE SUMMARY</w:t>
      </w:r>
    </w:p>
    <w:p>
      <w:pPr>
        <w:pStyle w:val="BodyText"/>
        <w:spacing w:after="100" w:line="259" w:lineRule="auto"/>
      </w:pPr>
      <w:r>
        <w:t>HEDGE-ExpertAI is a six-month Open Call 1 project under HEDGE-IoT Topic 15. Its purpose is to make applications in the HEDGE-IoT App Store easier to discover and understand through natural-language interaction, hybrid retrieval, and concise explanations grounded in authoritative catalogue metadata.</w:t>
      </w:r>
    </w:p>
    <w:p>
      <w:pPr>
        <w:pStyle w:val="BodyText"/>
        <w:spacing w:after="100" w:line="259" w:lineRule="auto"/>
      </w:pPr>
      <w:r>
        <w:t>This deliverable defines the target architecture for the App Store plug-in, backend integration boundary, conversational and recommendation capabilities, catalogue synchronization, metadata and semantic handling, security and deployment principles, and KPI measurement points.</w:t>
      </w:r>
    </w:p>
    <w:p>
      <w:pPr>
        <w:pStyle w:val="BodyText"/>
        <w:spacing w:after="100" w:line="259" w:lineRule="auto"/>
      </w:pPr>
      <w:r>
        <w:t>The architecture separates platform integration concerns from the assistant capabilities and identifies the information exchanges required between HEDGE-IoT and HEDGE-ExpertAI. It provides the technical basis for implementation, integration, validation, and deployment planning.</w:t>
      </w:r>
    </w:p>
    <w:p>
      <w:r>
        <w:br w:type="page"/>
      </w:r>
    </w:p>
    <w:p>
      <w:pPr>
        <w:pStyle w:val="Heading1"/>
        <w:keepNext/>
      </w:pPr>
      <w:r>
        <w:t>TABLE OF 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8064"/>
            <w:vAlign w:val="center"/>
          </w:tcPr>
          <w:p>
            <w:pPr>
              <w:pStyle w:val="Table-content"/>
              <w:spacing w:after="0"/>
              <w:ind w:left="0"/>
            </w:pPr>
            <w:r/>
            <w:r>
              <w:rPr>
                <w:rFonts w:ascii="Arial" w:hAnsi="Arial"/>
                <w:b/>
                <w:color w:val="102A43"/>
                <w:sz w:val="18"/>
              </w:rPr>
              <w:t>EXECUTIVE SUMMARY</w:t>
            </w:r>
          </w:p>
        </w:tc>
        <w:tc>
          <w:tcPr>
            <w:tcW w:type="dxa" w:w="648"/>
            <w:vAlign w:val="center"/>
          </w:tcPr>
          <w:p>
            <w:pPr>
              <w:pStyle w:val="Table-content"/>
              <w:spacing w:after="0"/>
              <w:jc w:val="right"/>
            </w:pPr>
            <w:r/>
            <w:r>
              <w:rPr>
                <w:rFonts w:ascii="Arial" w:hAnsi="Arial"/>
                <w:b/>
                <w:color w:val="102A43"/>
                <w:sz w:val="18"/>
              </w:rPr>
              <w:t>6</w:t>
            </w:r>
          </w:p>
        </w:tc>
      </w:tr>
      <w:tr>
        <w:tc>
          <w:tcPr>
            <w:tcW w:type="dxa" w:w="8064"/>
            <w:vAlign w:val="center"/>
          </w:tcPr>
          <w:p>
            <w:pPr>
              <w:pStyle w:val="Table-content"/>
              <w:spacing w:after="0"/>
              <w:ind w:left="0"/>
            </w:pPr>
            <w:r/>
            <w:r>
              <w:rPr>
                <w:rFonts w:ascii="Arial" w:hAnsi="Arial"/>
                <w:b/>
                <w:color w:val="102A43"/>
                <w:sz w:val="18"/>
              </w:rPr>
              <w:t>LIST OF FIGURES</w:t>
            </w:r>
          </w:p>
        </w:tc>
        <w:tc>
          <w:tcPr>
            <w:tcW w:type="dxa" w:w="648"/>
            <w:vAlign w:val="center"/>
          </w:tcPr>
          <w:p>
            <w:pPr>
              <w:pStyle w:val="Table-content"/>
              <w:spacing w:after="0"/>
              <w:jc w:val="right"/>
            </w:pPr>
            <w:r/>
            <w:r>
              <w:rPr>
                <w:rFonts w:ascii="Arial" w:hAnsi="Arial"/>
                <w:b/>
                <w:color w:val="102A43"/>
                <w:sz w:val="18"/>
              </w:rPr>
              <w:t>8</w:t>
            </w:r>
          </w:p>
        </w:tc>
      </w:tr>
      <w:tr>
        <w:tc>
          <w:tcPr>
            <w:tcW w:type="dxa" w:w="8064"/>
            <w:vAlign w:val="center"/>
          </w:tcPr>
          <w:p>
            <w:pPr>
              <w:pStyle w:val="Table-content"/>
              <w:spacing w:after="0"/>
              <w:ind w:left="0"/>
            </w:pPr>
            <w:r/>
            <w:r>
              <w:rPr>
                <w:rFonts w:ascii="Arial" w:hAnsi="Arial"/>
                <w:b/>
                <w:color w:val="102A43"/>
                <w:sz w:val="18"/>
              </w:rPr>
              <w:t>LIST OF TABLES</w:t>
            </w:r>
          </w:p>
        </w:tc>
        <w:tc>
          <w:tcPr>
            <w:tcW w:type="dxa" w:w="648"/>
            <w:vAlign w:val="center"/>
          </w:tcPr>
          <w:p>
            <w:pPr>
              <w:pStyle w:val="Table-content"/>
              <w:spacing w:after="0"/>
              <w:jc w:val="right"/>
            </w:pPr>
            <w:r/>
            <w:r>
              <w:rPr>
                <w:rFonts w:ascii="Arial" w:hAnsi="Arial"/>
                <w:b/>
                <w:color w:val="102A43"/>
                <w:sz w:val="18"/>
              </w:rPr>
              <w:t>8</w:t>
            </w:r>
          </w:p>
        </w:tc>
      </w:tr>
      <w:tr>
        <w:tc>
          <w:tcPr>
            <w:tcW w:type="dxa" w:w="8064"/>
            <w:vAlign w:val="center"/>
          </w:tcPr>
          <w:p>
            <w:pPr>
              <w:pStyle w:val="Table-content"/>
              <w:spacing w:after="0"/>
              <w:ind w:left="0"/>
            </w:pPr>
            <w:r/>
            <w:r>
              <w:rPr>
                <w:rFonts w:ascii="Arial" w:hAnsi="Arial"/>
                <w:b/>
                <w:color w:val="102A43"/>
                <w:sz w:val="18"/>
              </w:rPr>
              <w:t>ABBREVIATIONS</w:t>
            </w:r>
          </w:p>
        </w:tc>
        <w:tc>
          <w:tcPr>
            <w:tcW w:type="dxa" w:w="648"/>
            <w:vAlign w:val="center"/>
          </w:tcPr>
          <w:p>
            <w:pPr>
              <w:pStyle w:val="Table-content"/>
              <w:spacing w:after="0"/>
              <w:jc w:val="right"/>
            </w:pPr>
            <w:r/>
            <w:r>
              <w:rPr>
                <w:rFonts w:ascii="Arial" w:hAnsi="Arial"/>
                <w:b/>
                <w:color w:val="102A43"/>
                <w:sz w:val="18"/>
              </w:rPr>
              <w:t>9</w:t>
            </w:r>
          </w:p>
        </w:tc>
      </w:tr>
      <w:tr>
        <w:tc>
          <w:tcPr>
            <w:tcW w:type="dxa" w:w="8064"/>
            <w:vAlign w:val="center"/>
          </w:tcPr>
          <w:p>
            <w:pPr>
              <w:pStyle w:val="Table-content"/>
              <w:spacing w:after="0"/>
              <w:ind w:left="0"/>
            </w:pPr>
            <w:r/>
            <w:r>
              <w:rPr>
                <w:rFonts w:ascii="Arial" w:hAnsi="Arial"/>
                <w:b/>
                <w:color w:val="102A43"/>
                <w:sz w:val="18"/>
              </w:rPr>
              <w:t>1  INTRODUCTION</w:t>
            </w:r>
          </w:p>
        </w:tc>
        <w:tc>
          <w:tcPr>
            <w:tcW w:type="dxa" w:w="648"/>
            <w:vAlign w:val="center"/>
          </w:tcPr>
          <w:p>
            <w:pPr>
              <w:pStyle w:val="Table-content"/>
              <w:spacing w:after="0"/>
              <w:jc w:val="right"/>
            </w:pPr>
            <w:r/>
            <w:r>
              <w:rPr>
                <w:rFonts w:ascii="Arial" w:hAnsi="Arial"/>
                <w:b/>
                <w:color w:val="102A43"/>
                <w:sz w:val="18"/>
              </w:rPr>
              <w:t>10</w:t>
            </w:r>
          </w:p>
        </w:tc>
      </w:tr>
      <w:tr>
        <w:tc>
          <w:tcPr>
            <w:tcW w:type="dxa" w:w="8064"/>
            <w:vAlign w:val="center"/>
          </w:tcPr>
          <w:p>
            <w:pPr>
              <w:pStyle w:val="Table-content"/>
              <w:spacing w:after="0"/>
              <w:ind w:left="0"/>
            </w:pPr>
            <w:r/>
            <w:r>
              <w:rPr>
                <w:rFonts w:ascii="Arial" w:hAnsi="Arial"/>
                <w:b/>
                <w:color w:val="102A43"/>
                <w:sz w:val="18"/>
              </w:rPr>
              <w:t>2  ARCHITECTURE DRIVERS</w:t>
            </w:r>
          </w:p>
        </w:tc>
        <w:tc>
          <w:tcPr>
            <w:tcW w:type="dxa" w:w="648"/>
            <w:vAlign w:val="center"/>
          </w:tcPr>
          <w:p>
            <w:pPr>
              <w:pStyle w:val="Table-content"/>
              <w:spacing w:after="0"/>
              <w:jc w:val="right"/>
            </w:pPr>
            <w:r/>
            <w:r>
              <w:rPr>
                <w:rFonts w:ascii="Arial" w:hAnsi="Arial"/>
                <w:b/>
                <w:color w:val="102A43"/>
                <w:sz w:val="18"/>
              </w:rPr>
              <w:t>10</w:t>
            </w:r>
          </w:p>
        </w:tc>
      </w:tr>
      <w:tr>
        <w:tc>
          <w:tcPr>
            <w:tcW w:type="dxa" w:w="8064"/>
            <w:vAlign w:val="center"/>
          </w:tcPr>
          <w:p>
            <w:pPr>
              <w:pStyle w:val="Table-content"/>
              <w:spacing w:after="0"/>
              <w:ind w:left="0"/>
            </w:pPr>
            <w:r/>
            <w:r>
              <w:rPr>
                <w:rFonts w:ascii="Arial" w:hAnsi="Arial"/>
                <w:b/>
                <w:color w:val="102A43"/>
                <w:sz w:val="18"/>
              </w:rPr>
              <w:t>3  SYSTEM CONTEXT AND BOUNDARIES</w:t>
            </w:r>
          </w:p>
        </w:tc>
        <w:tc>
          <w:tcPr>
            <w:tcW w:type="dxa" w:w="648"/>
            <w:vAlign w:val="center"/>
          </w:tcPr>
          <w:p>
            <w:pPr>
              <w:pStyle w:val="Table-content"/>
              <w:spacing w:after="0"/>
              <w:jc w:val="right"/>
            </w:pPr>
            <w:r/>
            <w:r>
              <w:rPr>
                <w:rFonts w:ascii="Arial" w:hAnsi="Arial"/>
                <w:b/>
                <w:color w:val="102A43"/>
                <w:sz w:val="18"/>
              </w:rPr>
              <w:t>12</w:t>
            </w:r>
          </w:p>
        </w:tc>
      </w:tr>
      <w:tr>
        <w:tc>
          <w:tcPr>
            <w:tcW w:type="dxa" w:w="8064"/>
            <w:vAlign w:val="center"/>
          </w:tcPr>
          <w:p>
            <w:pPr>
              <w:pStyle w:val="Table-content"/>
              <w:spacing w:after="0"/>
              <w:ind w:left="0"/>
            </w:pPr>
            <w:r/>
            <w:r>
              <w:rPr>
                <w:rFonts w:ascii="Arial" w:hAnsi="Arial"/>
                <w:b/>
                <w:color w:val="102A43"/>
                <w:sz w:val="18"/>
              </w:rPr>
              <w:t>4  FUNCTIONAL ARCHITECTURE</w:t>
            </w:r>
          </w:p>
        </w:tc>
        <w:tc>
          <w:tcPr>
            <w:tcW w:type="dxa" w:w="648"/>
            <w:vAlign w:val="center"/>
          </w:tcPr>
          <w:p>
            <w:pPr>
              <w:pStyle w:val="Table-content"/>
              <w:spacing w:after="0"/>
              <w:jc w:val="right"/>
            </w:pPr>
            <w:r/>
            <w:r>
              <w:rPr>
                <w:rFonts w:ascii="Arial" w:hAnsi="Arial"/>
                <w:b/>
                <w:color w:val="102A43"/>
                <w:sz w:val="18"/>
              </w:rPr>
              <w:t>13</w:t>
            </w:r>
          </w:p>
        </w:tc>
      </w:tr>
      <w:tr>
        <w:tc>
          <w:tcPr>
            <w:tcW w:type="dxa" w:w="8064"/>
            <w:vAlign w:val="center"/>
          </w:tcPr>
          <w:p>
            <w:pPr>
              <w:pStyle w:val="Table-content"/>
              <w:spacing w:after="0"/>
              <w:ind w:left="0"/>
            </w:pPr>
            <w:r/>
            <w:r>
              <w:rPr>
                <w:rFonts w:ascii="Arial" w:hAnsi="Arial"/>
                <w:b/>
                <w:color w:val="102A43"/>
                <w:sz w:val="18"/>
              </w:rPr>
              <w:t>5  PRINCIPAL FLOWS</w:t>
            </w:r>
          </w:p>
        </w:tc>
        <w:tc>
          <w:tcPr>
            <w:tcW w:type="dxa" w:w="648"/>
            <w:vAlign w:val="center"/>
          </w:tcPr>
          <w:p>
            <w:pPr>
              <w:pStyle w:val="Table-content"/>
              <w:spacing w:after="0"/>
              <w:jc w:val="right"/>
            </w:pPr>
            <w:r/>
            <w:r>
              <w:rPr>
                <w:rFonts w:ascii="Arial" w:hAnsi="Arial"/>
                <w:b/>
                <w:color w:val="102A43"/>
                <w:sz w:val="18"/>
              </w:rPr>
              <w:t>15</w:t>
            </w:r>
          </w:p>
        </w:tc>
      </w:tr>
      <w:tr>
        <w:tc>
          <w:tcPr>
            <w:tcW w:type="dxa" w:w="8064"/>
            <w:vAlign w:val="center"/>
          </w:tcPr>
          <w:p>
            <w:pPr>
              <w:pStyle w:val="Table-content"/>
              <w:spacing w:after="0"/>
              <w:ind w:left="0"/>
            </w:pPr>
            <w:r/>
            <w:r>
              <w:rPr>
                <w:rFonts w:ascii="Arial" w:hAnsi="Arial"/>
                <w:b/>
                <w:color w:val="102A43"/>
                <w:sz w:val="18"/>
              </w:rPr>
              <w:t>6  INFORMATION AND SEMANTIC DESIGN</w:t>
            </w:r>
          </w:p>
        </w:tc>
        <w:tc>
          <w:tcPr>
            <w:tcW w:type="dxa" w:w="648"/>
            <w:vAlign w:val="center"/>
          </w:tcPr>
          <w:p>
            <w:pPr>
              <w:pStyle w:val="Table-content"/>
              <w:spacing w:after="0"/>
              <w:jc w:val="right"/>
            </w:pPr>
            <w:r/>
            <w:r>
              <w:rPr>
                <w:rFonts w:ascii="Arial" w:hAnsi="Arial"/>
                <w:b/>
                <w:color w:val="102A43"/>
                <w:sz w:val="18"/>
              </w:rPr>
              <w:t>17</w:t>
            </w:r>
          </w:p>
        </w:tc>
      </w:tr>
      <w:tr>
        <w:tc>
          <w:tcPr>
            <w:tcW w:type="dxa" w:w="8064"/>
            <w:vAlign w:val="center"/>
          </w:tcPr>
          <w:p>
            <w:pPr>
              <w:pStyle w:val="Table-content"/>
              <w:spacing w:after="0"/>
              <w:ind w:left="0"/>
            </w:pPr>
            <w:r/>
            <w:r>
              <w:rPr>
                <w:rFonts w:ascii="Arial" w:hAnsi="Arial"/>
                <w:b/>
                <w:color w:val="102A43"/>
                <w:sz w:val="18"/>
              </w:rPr>
              <w:t>7  EXTERNAL INTERFACES</w:t>
            </w:r>
          </w:p>
        </w:tc>
        <w:tc>
          <w:tcPr>
            <w:tcW w:type="dxa" w:w="648"/>
            <w:vAlign w:val="center"/>
          </w:tcPr>
          <w:p>
            <w:pPr>
              <w:pStyle w:val="Table-content"/>
              <w:spacing w:after="0"/>
              <w:jc w:val="right"/>
            </w:pPr>
            <w:r/>
            <w:r>
              <w:rPr>
                <w:rFonts w:ascii="Arial" w:hAnsi="Arial"/>
                <w:b/>
                <w:color w:val="102A43"/>
                <w:sz w:val="18"/>
              </w:rPr>
              <w:t>18</w:t>
            </w:r>
          </w:p>
        </w:tc>
      </w:tr>
      <w:tr>
        <w:tc>
          <w:tcPr>
            <w:tcW w:type="dxa" w:w="8064"/>
            <w:vAlign w:val="center"/>
          </w:tcPr>
          <w:p>
            <w:pPr>
              <w:pStyle w:val="Table-content"/>
              <w:spacing w:after="0"/>
              <w:ind w:left="0"/>
            </w:pPr>
            <w:r/>
            <w:r>
              <w:rPr>
                <w:rFonts w:ascii="Arial" w:hAnsi="Arial"/>
                <w:b/>
                <w:color w:val="102A43"/>
                <w:sz w:val="18"/>
              </w:rPr>
              <w:t>8  DEPLOYMENT, SECURITY AND OPERATIONS</w:t>
            </w:r>
          </w:p>
        </w:tc>
        <w:tc>
          <w:tcPr>
            <w:tcW w:type="dxa" w:w="648"/>
            <w:vAlign w:val="center"/>
          </w:tcPr>
          <w:p>
            <w:pPr>
              <w:pStyle w:val="Table-content"/>
              <w:spacing w:after="0"/>
              <w:jc w:val="right"/>
            </w:pPr>
            <w:r/>
            <w:r>
              <w:rPr>
                <w:rFonts w:ascii="Arial" w:hAnsi="Arial"/>
                <w:b/>
                <w:color w:val="102A43"/>
                <w:sz w:val="18"/>
              </w:rPr>
              <w:t>18</w:t>
            </w:r>
          </w:p>
        </w:tc>
      </w:tr>
      <w:tr>
        <w:tc>
          <w:tcPr>
            <w:tcW w:type="dxa" w:w="8064"/>
            <w:vAlign w:val="center"/>
          </w:tcPr>
          <w:p>
            <w:pPr>
              <w:pStyle w:val="Table-content"/>
              <w:spacing w:after="0"/>
              <w:ind w:left="0"/>
            </w:pPr>
            <w:r/>
            <w:r>
              <w:rPr>
                <w:rFonts w:ascii="Arial" w:hAnsi="Arial"/>
                <w:b/>
                <w:color w:val="102A43"/>
                <w:sz w:val="18"/>
              </w:rPr>
              <w:t>9  KPI AND VALIDATION DESIGN</w:t>
            </w:r>
          </w:p>
        </w:tc>
        <w:tc>
          <w:tcPr>
            <w:tcW w:type="dxa" w:w="648"/>
            <w:vAlign w:val="center"/>
          </w:tcPr>
          <w:p>
            <w:pPr>
              <w:pStyle w:val="Table-content"/>
              <w:spacing w:after="0"/>
              <w:jc w:val="right"/>
            </w:pPr>
            <w:r/>
            <w:r>
              <w:rPr>
                <w:rFonts w:ascii="Arial" w:hAnsi="Arial"/>
                <w:b/>
                <w:color w:val="102A43"/>
                <w:sz w:val="18"/>
              </w:rPr>
              <w:t>19</w:t>
            </w:r>
          </w:p>
        </w:tc>
      </w:tr>
      <w:tr>
        <w:tc>
          <w:tcPr>
            <w:tcW w:type="dxa" w:w="8064"/>
            <w:vAlign w:val="center"/>
          </w:tcPr>
          <w:p>
            <w:pPr>
              <w:pStyle w:val="Table-content"/>
              <w:spacing w:after="0"/>
              <w:ind w:left="0"/>
            </w:pPr>
            <w:r/>
            <w:r>
              <w:rPr>
                <w:rFonts w:ascii="Arial" w:hAnsi="Arial"/>
                <w:b/>
                <w:color w:val="102A43"/>
                <w:sz w:val="18"/>
              </w:rPr>
              <w:t>10  INTEGRATION COORDINATION</w:t>
            </w:r>
          </w:p>
        </w:tc>
        <w:tc>
          <w:tcPr>
            <w:tcW w:type="dxa" w:w="648"/>
            <w:vAlign w:val="center"/>
          </w:tcPr>
          <w:p>
            <w:pPr>
              <w:pStyle w:val="Table-content"/>
              <w:spacing w:after="0"/>
              <w:jc w:val="right"/>
            </w:pPr>
            <w:r/>
            <w:r>
              <w:rPr>
                <w:rFonts w:ascii="Arial" w:hAnsi="Arial"/>
                <w:b/>
                <w:color w:val="102A43"/>
                <w:sz w:val="18"/>
              </w:rPr>
              <w:t>20</w:t>
            </w:r>
          </w:p>
        </w:tc>
      </w:tr>
      <w:tr>
        <w:tc>
          <w:tcPr>
            <w:tcW w:type="dxa" w:w="8064"/>
            <w:vAlign w:val="center"/>
          </w:tcPr>
          <w:p>
            <w:pPr>
              <w:pStyle w:val="Table-content"/>
              <w:spacing w:after="0"/>
              <w:ind w:left="0"/>
            </w:pPr>
            <w:r/>
            <w:r>
              <w:rPr>
                <w:rFonts w:ascii="Arial" w:hAnsi="Arial"/>
                <w:b/>
                <w:color w:val="102A43"/>
                <w:sz w:val="18"/>
              </w:rPr>
              <w:t>11  RISKS AND MITIGATIONS</w:t>
            </w:r>
          </w:p>
        </w:tc>
        <w:tc>
          <w:tcPr>
            <w:tcW w:type="dxa" w:w="648"/>
            <w:vAlign w:val="center"/>
          </w:tcPr>
          <w:p>
            <w:pPr>
              <w:pStyle w:val="Table-content"/>
              <w:spacing w:after="0"/>
              <w:jc w:val="right"/>
            </w:pPr>
            <w:r/>
            <w:r>
              <w:rPr>
                <w:rFonts w:ascii="Arial" w:hAnsi="Arial"/>
                <w:b/>
                <w:color w:val="102A43"/>
                <w:sz w:val="18"/>
              </w:rPr>
              <w:t>20</w:t>
            </w:r>
          </w:p>
        </w:tc>
      </w:tr>
      <w:tr>
        <w:tc>
          <w:tcPr>
            <w:tcW w:type="dxa" w:w="8064"/>
            <w:vAlign w:val="center"/>
          </w:tcPr>
          <w:p>
            <w:pPr>
              <w:pStyle w:val="Table-content"/>
              <w:spacing w:after="0"/>
              <w:ind w:left="0"/>
            </w:pPr>
            <w:r/>
            <w:r>
              <w:rPr>
                <w:rFonts w:ascii="Arial" w:hAnsi="Arial"/>
                <w:b/>
                <w:color w:val="102A43"/>
                <w:sz w:val="18"/>
              </w:rPr>
              <w:t>12  TRACEABILITY</w:t>
            </w:r>
          </w:p>
        </w:tc>
        <w:tc>
          <w:tcPr>
            <w:tcW w:type="dxa" w:w="648"/>
            <w:vAlign w:val="center"/>
          </w:tcPr>
          <w:p>
            <w:pPr>
              <w:pStyle w:val="Table-content"/>
              <w:spacing w:after="0"/>
              <w:jc w:val="right"/>
            </w:pPr>
            <w:r/>
            <w:r>
              <w:rPr>
                <w:rFonts w:ascii="Arial" w:hAnsi="Arial"/>
                <w:b/>
                <w:color w:val="102A43"/>
                <w:sz w:val="18"/>
              </w:rPr>
              <w:t>21</w:t>
            </w:r>
          </w:p>
        </w:tc>
      </w:tr>
      <w:tr>
        <w:tc>
          <w:tcPr>
            <w:tcW w:type="dxa" w:w="8064"/>
            <w:vAlign w:val="center"/>
          </w:tcPr>
          <w:p>
            <w:pPr>
              <w:pStyle w:val="Table-content"/>
              <w:spacing w:after="0"/>
              <w:ind w:left="0"/>
            </w:pPr>
            <w:r/>
            <w:r>
              <w:rPr>
                <w:rFonts w:ascii="Arial" w:hAnsi="Arial"/>
                <w:b/>
                <w:color w:val="102A43"/>
                <w:sz w:val="18"/>
              </w:rPr>
              <w:t>13  CONCLUSION AND NEXT STEPS</w:t>
            </w:r>
          </w:p>
        </w:tc>
        <w:tc>
          <w:tcPr>
            <w:tcW w:type="dxa" w:w="648"/>
            <w:vAlign w:val="center"/>
          </w:tcPr>
          <w:p>
            <w:pPr>
              <w:pStyle w:val="Table-content"/>
              <w:spacing w:after="0"/>
              <w:jc w:val="right"/>
            </w:pPr>
            <w:r/>
            <w:r>
              <w:rPr>
                <w:rFonts w:ascii="Arial" w:hAnsi="Arial"/>
                <w:b/>
                <w:color w:val="102A43"/>
                <w:sz w:val="18"/>
              </w:rPr>
              <w:t>21</w:t>
            </w:r>
          </w:p>
        </w:tc>
      </w:tr>
      <w:tr>
        <w:tc>
          <w:tcPr>
            <w:tcW w:type="dxa" w:w="8064"/>
            <w:vAlign w:val="center"/>
          </w:tcPr>
          <w:p>
            <w:pPr>
              <w:pStyle w:val="Table-content"/>
              <w:spacing w:after="0"/>
              <w:ind w:left="0"/>
            </w:pPr>
            <w:r/>
            <w:r>
              <w:rPr>
                <w:rFonts w:ascii="Arial" w:hAnsi="Arial"/>
                <w:b/>
                <w:color w:val="102A43"/>
                <w:sz w:val="18"/>
              </w:rPr>
              <w:t>REFERENCES</w:t>
            </w:r>
          </w:p>
        </w:tc>
        <w:tc>
          <w:tcPr>
            <w:tcW w:type="dxa" w:w="648"/>
            <w:vAlign w:val="center"/>
          </w:tcPr>
          <w:p>
            <w:pPr>
              <w:pStyle w:val="Table-content"/>
              <w:spacing w:after="0"/>
              <w:jc w:val="right"/>
            </w:pPr>
            <w:r/>
            <w:r>
              <w:rPr>
                <w:rFonts w:ascii="Arial" w:hAnsi="Arial"/>
                <w:b/>
                <w:color w:val="102A43"/>
                <w:sz w:val="18"/>
              </w:rPr>
              <w:t>22</w:t>
            </w:r>
          </w:p>
        </w:tc>
      </w:tr>
    </w:tbl>
    <w:p>
      <w:pPr>
        <w:spacing w:after="0"/>
      </w:pPr>
    </w:p>
    <w:p>
      <w:r>
        <w:br w:type="page"/>
      </w:r>
    </w:p>
    <w:p>
      <w:pPr>
        <w:pStyle w:val="Heading1"/>
        <w:keepNext/>
      </w:pPr>
      <w:r>
        <w:t>LIST OF FIGURES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8064"/>
            <w:vAlign w:val="center"/>
          </w:tcPr>
          <w:p>
            <w:pPr>
              <w:pStyle w:val="Table-content"/>
              <w:spacing w:after="0"/>
              <w:ind w:left="0"/>
            </w:pPr>
            <w:r/>
            <w:r>
              <w:rPr>
                <w:rFonts w:ascii="Arial" w:hAnsi="Arial"/>
                <w:b/>
                <w:color w:val="102A43"/>
                <w:sz w:val="18"/>
              </w:rPr>
              <w:t>Figure 1. Target system context and integration boundaries</w:t>
            </w:r>
          </w:p>
        </w:tc>
        <w:tc>
          <w:tcPr>
            <w:tcW w:type="dxa" w:w="648"/>
            <w:vAlign w:val="center"/>
          </w:tcPr>
          <w:p>
            <w:pPr>
              <w:pStyle w:val="Table-content"/>
              <w:spacing w:after="0"/>
              <w:jc w:val="right"/>
            </w:pPr>
            <w:r/>
            <w:r>
              <w:rPr>
                <w:rFonts w:ascii="Arial" w:hAnsi="Arial"/>
                <w:b/>
                <w:color w:val="102A43"/>
                <w:sz w:val="18"/>
              </w:rPr>
              <w:t>12</w:t>
            </w:r>
          </w:p>
        </w:tc>
      </w:tr>
      <w:tr>
        <w:tc>
          <w:tcPr>
            <w:tcW w:type="dxa" w:w="8064"/>
            <w:vAlign w:val="center"/>
          </w:tcPr>
          <w:p>
            <w:pPr>
              <w:pStyle w:val="Table-content"/>
              <w:spacing w:after="0"/>
              <w:ind w:left="0"/>
            </w:pPr>
            <w:r/>
            <w:r>
              <w:rPr>
                <w:rFonts w:ascii="Arial" w:hAnsi="Arial"/>
                <w:b/>
                <w:color w:val="102A43"/>
                <w:sz w:val="18"/>
              </w:rPr>
              <w:t>Figure 2. Functional architecture and information flows</w:t>
            </w:r>
          </w:p>
        </w:tc>
        <w:tc>
          <w:tcPr>
            <w:tcW w:type="dxa" w:w="648"/>
            <w:vAlign w:val="center"/>
          </w:tcPr>
          <w:p>
            <w:pPr>
              <w:pStyle w:val="Table-content"/>
              <w:spacing w:after="0"/>
              <w:jc w:val="right"/>
            </w:pPr>
            <w:r/>
            <w:r>
              <w:rPr>
                <w:rFonts w:ascii="Arial" w:hAnsi="Arial"/>
                <w:b/>
                <w:color w:val="102A43"/>
                <w:sz w:val="18"/>
              </w:rPr>
              <w:t>13</w:t>
            </w:r>
          </w:p>
        </w:tc>
      </w:tr>
      <w:tr>
        <w:tc>
          <w:tcPr>
            <w:tcW w:type="dxa" w:w="8064"/>
            <w:vAlign w:val="center"/>
          </w:tcPr>
          <w:p>
            <w:pPr>
              <w:pStyle w:val="Table-content"/>
              <w:spacing w:after="0"/>
              <w:ind w:left="0"/>
            </w:pPr>
            <w:r/>
            <w:r>
              <w:rPr>
                <w:rFonts w:ascii="Arial" w:hAnsi="Arial"/>
                <w:b/>
                <w:color w:val="102A43"/>
                <w:sz w:val="18"/>
              </w:rPr>
              <w:t>Figure 3. Proposed conversational request, retrieval, grounding, and response sequence</w:t>
            </w:r>
          </w:p>
        </w:tc>
        <w:tc>
          <w:tcPr>
            <w:tcW w:type="dxa" w:w="648"/>
            <w:vAlign w:val="center"/>
          </w:tcPr>
          <w:p>
            <w:pPr>
              <w:pStyle w:val="Table-content"/>
              <w:spacing w:after="0"/>
              <w:jc w:val="right"/>
            </w:pPr>
            <w:r/>
            <w:r>
              <w:rPr>
                <w:rFonts w:ascii="Arial" w:hAnsi="Arial"/>
                <w:b/>
                <w:color w:val="102A43"/>
                <w:sz w:val="18"/>
              </w:rPr>
              <w:t>15</w:t>
            </w:r>
          </w:p>
        </w:tc>
      </w:tr>
      <w:tr>
        <w:tc>
          <w:tcPr>
            <w:tcW w:type="dxa" w:w="8064"/>
            <w:vAlign w:val="center"/>
          </w:tcPr>
          <w:p>
            <w:pPr>
              <w:pStyle w:val="Table-content"/>
              <w:spacing w:after="0"/>
              <w:ind w:left="0"/>
            </w:pPr>
            <w:r/>
            <w:r>
              <w:rPr>
                <w:rFonts w:ascii="Arial" w:hAnsi="Arial"/>
                <w:b/>
                <w:color w:val="102A43"/>
                <w:sz w:val="18"/>
              </w:rPr>
              <w:t>Figure 4. Proposed catalogue acquisition, validation, lifecycle, indexing, and freshness-evidence sequence</w:t>
            </w:r>
          </w:p>
        </w:tc>
        <w:tc>
          <w:tcPr>
            <w:tcW w:type="dxa" w:w="648"/>
            <w:vAlign w:val="center"/>
          </w:tcPr>
          <w:p>
            <w:pPr>
              <w:pStyle w:val="Table-content"/>
              <w:spacing w:after="0"/>
              <w:jc w:val="right"/>
            </w:pPr>
            <w:r/>
            <w:r>
              <w:rPr>
                <w:rFonts w:ascii="Arial" w:hAnsi="Arial"/>
                <w:b/>
                <w:color w:val="102A43"/>
                <w:sz w:val="18"/>
              </w:rPr>
              <w:t>16</w:t>
            </w:r>
          </w:p>
        </w:tc>
      </w:tr>
    </w:tbl>
    <w:p>
      <w:pPr>
        <w:spacing w:after="0"/>
      </w:pPr>
    </w:p>
    <w:p>
      <w:pPr>
        <w:pStyle w:val="Heading1"/>
        <w:keepNext/>
      </w:pPr>
      <w:r>
        <w:t>LIST OF TABLES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8064"/>
            <w:vAlign w:val="center"/>
          </w:tcPr>
          <w:p>
            <w:pPr>
              <w:pStyle w:val="Table-content"/>
              <w:spacing w:after="0"/>
              <w:ind w:left="0"/>
            </w:pPr>
            <w:r/>
            <w:r>
              <w:rPr>
                <w:rFonts w:ascii="Arial" w:hAnsi="Arial"/>
                <w:b/>
                <w:color w:val="102A43"/>
                <w:sz w:val="18"/>
              </w:rPr>
              <w:t>Table 1. Abbreviations used in this deliverable</w:t>
            </w:r>
          </w:p>
        </w:tc>
        <w:tc>
          <w:tcPr>
            <w:tcW w:type="dxa" w:w="648"/>
            <w:vAlign w:val="center"/>
          </w:tcPr>
          <w:p>
            <w:pPr>
              <w:pStyle w:val="Table-content"/>
              <w:spacing w:after="0"/>
              <w:jc w:val="right"/>
            </w:pPr>
            <w:r/>
            <w:r>
              <w:rPr>
                <w:rFonts w:ascii="Arial" w:hAnsi="Arial"/>
                <w:b/>
                <w:color w:val="102A43"/>
                <w:sz w:val="18"/>
              </w:rPr>
              <w:t>9</w:t>
            </w:r>
          </w:p>
        </w:tc>
      </w:tr>
      <w:tr>
        <w:tc>
          <w:tcPr>
            <w:tcW w:type="dxa" w:w="8064"/>
            <w:vAlign w:val="center"/>
          </w:tcPr>
          <w:p>
            <w:pPr>
              <w:pStyle w:val="Table-content"/>
              <w:spacing w:after="0"/>
              <w:ind w:left="0"/>
            </w:pPr>
            <w:r/>
            <w:r>
              <w:rPr>
                <w:rFonts w:ascii="Arial" w:hAnsi="Arial"/>
                <w:b/>
                <w:color w:val="102A43"/>
                <w:sz w:val="18"/>
              </w:rPr>
              <w:t>Table 2. Project functional requirements</w:t>
            </w:r>
          </w:p>
        </w:tc>
        <w:tc>
          <w:tcPr>
            <w:tcW w:type="dxa" w:w="648"/>
            <w:vAlign w:val="center"/>
          </w:tcPr>
          <w:p>
            <w:pPr>
              <w:pStyle w:val="Table-content"/>
              <w:spacing w:after="0"/>
              <w:jc w:val="right"/>
            </w:pPr>
            <w:r/>
            <w:r>
              <w:rPr>
                <w:rFonts w:ascii="Arial" w:hAnsi="Arial"/>
                <w:b/>
                <w:color w:val="102A43"/>
                <w:sz w:val="18"/>
              </w:rPr>
              <w:t>10</w:t>
            </w:r>
          </w:p>
        </w:tc>
      </w:tr>
      <w:tr>
        <w:tc>
          <w:tcPr>
            <w:tcW w:type="dxa" w:w="8064"/>
            <w:vAlign w:val="center"/>
          </w:tcPr>
          <w:p>
            <w:pPr>
              <w:pStyle w:val="Table-content"/>
              <w:spacing w:after="0"/>
              <w:ind w:left="0"/>
            </w:pPr>
            <w:r/>
            <w:r>
              <w:rPr>
                <w:rFonts w:ascii="Arial" w:hAnsi="Arial"/>
                <w:b/>
                <w:color w:val="102A43"/>
                <w:sz w:val="18"/>
              </w:rPr>
              <w:t>Table 3. Quality and validation requirements</w:t>
            </w:r>
          </w:p>
        </w:tc>
        <w:tc>
          <w:tcPr>
            <w:tcW w:type="dxa" w:w="648"/>
            <w:vAlign w:val="center"/>
          </w:tcPr>
          <w:p>
            <w:pPr>
              <w:pStyle w:val="Table-content"/>
              <w:spacing w:after="0"/>
              <w:jc w:val="right"/>
            </w:pPr>
            <w:r/>
            <w:r>
              <w:rPr>
                <w:rFonts w:ascii="Arial" w:hAnsi="Arial"/>
                <w:b/>
                <w:color w:val="102A43"/>
                <w:sz w:val="18"/>
              </w:rPr>
              <w:t>11</w:t>
            </w:r>
          </w:p>
        </w:tc>
      </w:tr>
      <w:tr>
        <w:tc>
          <w:tcPr>
            <w:tcW w:type="dxa" w:w="8064"/>
            <w:vAlign w:val="center"/>
          </w:tcPr>
          <w:p>
            <w:pPr>
              <w:pStyle w:val="Table-content"/>
              <w:spacing w:after="0"/>
              <w:ind w:left="0"/>
            </w:pPr>
            <w:r/>
            <w:r>
              <w:rPr>
                <w:rFonts w:ascii="Arial" w:hAnsi="Arial"/>
                <w:b/>
                <w:color w:val="102A43"/>
                <w:sz w:val="18"/>
              </w:rPr>
              <w:t>Table 4. Primary actors and responsibilities</w:t>
            </w:r>
          </w:p>
        </w:tc>
        <w:tc>
          <w:tcPr>
            <w:tcW w:type="dxa" w:w="648"/>
            <w:vAlign w:val="center"/>
          </w:tcPr>
          <w:p>
            <w:pPr>
              <w:pStyle w:val="Table-content"/>
              <w:spacing w:after="0"/>
              <w:jc w:val="right"/>
            </w:pPr>
            <w:r/>
            <w:r>
              <w:rPr>
                <w:rFonts w:ascii="Arial" w:hAnsi="Arial"/>
                <w:b/>
                <w:color w:val="102A43"/>
                <w:sz w:val="18"/>
              </w:rPr>
              <w:t>13</w:t>
            </w:r>
          </w:p>
        </w:tc>
      </w:tr>
      <w:tr>
        <w:tc>
          <w:tcPr>
            <w:tcW w:type="dxa" w:w="8064"/>
            <w:vAlign w:val="center"/>
          </w:tcPr>
          <w:p>
            <w:pPr>
              <w:pStyle w:val="Table-content"/>
              <w:spacing w:after="0"/>
              <w:ind w:left="0"/>
            </w:pPr>
            <w:r/>
            <w:r>
              <w:rPr>
                <w:rFonts w:ascii="Arial" w:hAnsi="Arial"/>
                <w:b/>
                <w:color w:val="102A43"/>
                <w:sz w:val="18"/>
              </w:rPr>
              <w:t>Table 5. Target components and responsibilities</w:t>
            </w:r>
          </w:p>
        </w:tc>
        <w:tc>
          <w:tcPr>
            <w:tcW w:type="dxa" w:w="648"/>
            <w:vAlign w:val="center"/>
          </w:tcPr>
          <w:p>
            <w:pPr>
              <w:pStyle w:val="Table-content"/>
              <w:spacing w:after="0"/>
              <w:jc w:val="right"/>
            </w:pPr>
            <w:r/>
            <w:r>
              <w:rPr>
                <w:rFonts w:ascii="Arial" w:hAnsi="Arial"/>
                <w:b/>
                <w:color w:val="102A43"/>
                <w:sz w:val="18"/>
              </w:rPr>
              <w:t>13</w:t>
            </w:r>
          </w:p>
        </w:tc>
      </w:tr>
      <w:tr>
        <w:tc>
          <w:tcPr>
            <w:tcW w:type="dxa" w:w="8064"/>
            <w:vAlign w:val="center"/>
          </w:tcPr>
          <w:p>
            <w:pPr>
              <w:pStyle w:val="Table-content"/>
              <w:spacing w:after="0"/>
              <w:ind w:left="0"/>
            </w:pPr>
            <w:r/>
            <w:r>
              <w:rPr>
                <w:rFonts w:ascii="Arial" w:hAnsi="Arial"/>
                <w:b/>
                <w:color w:val="102A43"/>
                <w:sz w:val="18"/>
              </w:rPr>
              <w:t>Table 6. Project technology baseline</w:t>
            </w:r>
          </w:p>
        </w:tc>
        <w:tc>
          <w:tcPr>
            <w:tcW w:type="dxa" w:w="648"/>
            <w:vAlign w:val="center"/>
          </w:tcPr>
          <w:p>
            <w:pPr>
              <w:pStyle w:val="Table-content"/>
              <w:spacing w:after="0"/>
              <w:jc w:val="right"/>
            </w:pPr>
            <w:r/>
            <w:r>
              <w:rPr>
                <w:rFonts w:ascii="Arial" w:hAnsi="Arial"/>
                <w:b/>
                <w:color w:val="102A43"/>
                <w:sz w:val="18"/>
              </w:rPr>
              <w:t>14</w:t>
            </w:r>
          </w:p>
        </w:tc>
      </w:tr>
      <w:tr>
        <w:tc>
          <w:tcPr>
            <w:tcW w:type="dxa" w:w="8064"/>
            <w:vAlign w:val="center"/>
          </w:tcPr>
          <w:p>
            <w:pPr>
              <w:pStyle w:val="Table-content"/>
              <w:spacing w:after="0"/>
              <w:ind w:left="0"/>
            </w:pPr>
            <w:r/>
            <w:r>
              <w:rPr>
                <w:rFonts w:ascii="Arial" w:hAnsi="Arial"/>
                <w:b/>
                <w:color w:val="102A43"/>
                <w:sz w:val="18"/>
              </w:rPr>
              <w:t>Table 7. Canonical App metadata model</w:t>
            </w:r>
          </w:p>
        </w:tc>
        <w:tc>
          <w:tcPr>
            <w:tcW w:type="dxa" w:w="648"/>
            <w:vAlign w:val="center"/>
          </w:tcPr>
          <w:p>
            <w:pPr>
              <w:pStyle w:val="Table-content"/>
              <w:spacing w:after="0"/>
              <w:jc w:val="right"/>
            </w:pPr>
            <w:r/>
            <w:r>
              <w:rPr>
                <w:rFonts w:ascii="Arial" w:hAnsi="Arial"/>
                <w:b/>
                <w:color w:val="102A43"/>
                <w:sz w:val="18"/>
              </w:rPr>
              <w:t>17</w:t>
            </w:r>
          </w:p>
        </w:tc>
      </w:tr>
      <w:tr>
        <w:tc>
          <w:tcPr>
            <w:tcW w:type="dxa" w:w="8064"/>
            <w:vAlign w:val="center"/>
          </w:tcPr>
          <w:p>
            <w:pPr>
              <w:pStyle w:val="Table-content"/>
              <w:spacing w:after="0"/>
              <w:ind w:left="0"/>
            </w:pPr>
            <w:r/>
            <w:r>
              <w:rPr>
                <w:rFonts w:ascii="Arial" w:hAnsi="Arial"/>
                <w:b/>
                <w:color w:val="102A43"/>
                <w:sz w:val="18"/>
              </w:rPr>
              <w:t>Table 8. KPI measurement approach</w:t>
            </w:r>
          </w:p>
        </w:tc>
        <w:tc>
          <w:tcPr>
            <w:tcW w:type="dxa" w:w="648"/>
            <w:vAlign w:val="center"/>
          </w:tcPr>
          <w:p>
            <w:pPr>
              <w:pStyle w:val="Table-content"/>
              <w:spacing w:after="0"/>
              <w:jc w:val="right"/>
            </w:pPr>
            <w:r/>
            <w:r>
              <w:rPr>
                <w:rFonts w:ascii="Arial" w:hAnsi="Arial"/>
                <w:b/>
                <w:color w:val="102A43"/>
                <w:sz w:val="18"/>
              </w:rPr>
              <w:t>19</w:t>
            </w:r>
          </w:p>
        </w:tc>
      </w:tr>
      <w:tr>
        <w:tc>
          <w:tcPr>
            <w:tcW w:type="dxa" w:w="8064"/>
            <w:vAlign w:val="center"/>
          </w:tcPr>
          <w:p>
            <w:pPr>
              <w:pStyle w:val="Table-content"/>
              <w:spacing w:after="0"/>
              <w:ind w:left="0"/>
            </w:pPr>
            <w:r/>
            <w:r>
              <w:rPr>
                <w:rFonts w:ascii="Arial" w:hAnsi="Arial"/>
                <w:b/>
                <w:color w:val="102A43"/>
                <w:sz w:val="18"/>
              </w:rPr>
              <w:t>Table 9. Integration inputs and project follow-up</w:t>
            </w:r>
          </w:p>
        </w:tc>
        <w:tc>
          <w:tcPr>
            <w:tcW w:type="dxa" w:w="648"/>
            <w:vAlign w:val="center"/>
          </w:tcPr>
          <w:p>
            <w:pPr>
              <w:pStyle w:val="Table-content"/>
              <w:spacing w:after="0"/>
              <w:jc w:val="right"/>
            </w:pPr>
            <w:r/>
            <w:r>
              <w:rPr>
                <w:rFonts w:ascii="Arial" w:hAnsi="Arial"/>
                <w:b/>
                <w:color w:val="102A43"/>
                <w:sz w:val="18"/>
              </w:rPr>
              <w:t>20</w:t>
            </w:r>
          </w:p>
        </w:tc>
      </w:tr>
      <w:tr>
        <w:tc>
          <w:tcPr>
            <w:tcW w:type="dxa" w:w="8064"/>
            <w:vAlign w:val="center"/>
          </w:tcPr>
          <w:p>
            <w:pPr>
              <w:pStyle w:val="Table-content"/>
              <w:spacing w:after="0"/>
              <w:ind w:left="0"/>
            </w:pPr>
            <w:r/>
            <w:r>
              <w:rPr>
                <w:rFonts w:ascii="Arial" w:hAnsi="Arial"/>
                <w:b/>
                <w:color w:val="102A43"/>
                <w:sz w:val="18"/>
              </w:rPr>
              <w:t>Table 10. Architecture and integration risks</w:t>
            </w:r>
          </w:p>
        </w:tc>
        <w:tc>
          <w:tcPr>
            <w:tcW w:type="dxa" w:w="648"/>
            <w:vAlign w:val="center"/>
          </w:tcPr>
          <w:p>
            <w:pPr>
              <w:pStyle w:val="Table-content"/>
              <w:spacing w:after="0"/>
              <w:jc w:val="right"/>
            </w:pPr>
            <w:r/>
            <w:r>
              <w:rPr>
                <w:rFonts w:ascii="Arial" w:hAnsi="Arial"/>
                <w:b/>
                <w:color w:val="102A43"/>
                <w:sz w:val="18"/>
              </w:rPr>
              <w:t>20</w:t>
            </w:r>
          </w:p>
        </w:tc>
      </w:tr>
      <w:tr>
        <w:tc>
          <w:tcPr>
            <w:tcW w:type="dxa" w:w="8064"/>
            <w:vAlign w:val="center"/>
          </w:tcPr>
          <w:p>
            <w:pPr>
              <w:pStyle w:val="Table-content"/>
              <w:spacing w:after="0"/>
              <w:ind w:left="0"/>
            </w:pPr>
            <w:r/>
            <w:r>
              <w:rPr>
                <w:rFonts w:ascii="Arial" w:hAnsi="Arial"/>
                <w:b/>
                <w:color w:val="102A43"/>
                <w:sz w:val="18"/>
              </w:rPr>
              <w:t>Table 11. Traceability from project objectives to this architecture</w:t>
            </w:r>
          </w:p>
        </w:tc>
        <w:tc>
          <w:tcPr>
            <w:tcW w:type="dxa" w:w="648"/>
            <w:vAlign w:val="center"/>
          </w:tcPr>
          <w:p>
            <w:pPr>
              <w:pStyle w:val="Table-content"/>
              <w:spacing w:after="0"/>
              <w:jc w:val="right"/>
            </w:pPr>
            <w:r/>
            <w:r>
              <w:rPr>
                <w:rFonts w:ascii="Arial" w:hAnsi="Arial"/>
                <w:b/>
                <w:color w:val="102A43"/>
                <w:sz w:val="18"/>
              </w:rPr>
              <w:t>21</w:t>
            </w:r>
          </w:p>
        </w:tc>
      </w:tr>
    </w:tbl>
    <w:p>
      <w:pPr>
        <w:spacing w:after="0"/>
      </w:pPr>
    </w:p>
    <w:p>
      <w:r>
        <w:br w:type="page"/>
      </w:r>
    </w:p>
    <w:p>
      <w:pPr>
        <w:pStyle w:val="Heading1"/>
        <w:keepNext/>
      </w:pPr>
      <w:r>
        <w:t>ABBREVIATIONS</w:t>
      </w:r>
    </w:p>
    <w:p>
      <w:pPr>
        <w:pStyle w:val="Caption"/>
        <w:keepNext/>
        <w:spacing w:before="100" w:after="60"/>
      </w:pPr>
      <w:r>
        <w:t xml:space="preserve">Table </w:t>
      </w:r>
      <w:r>
        <w:fldChar w:fldCharType="begin" w:dirty="true"/>
        <w:instrText xml:space="preserve"> SEQ Table \* ARABIC </w:instrText>
        <w:fldChar w:fldCharType="separate"/>
      </w:r>
      <w:r>
        <w:t>1</w:t>
      </w:r>
      <w:r>
        <w:fldChar w:fldCharType="end"/>
      </w:r>
      <w:r>
        <w:t>. Abbreviations used in this deliverable</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1656"/>
            <w:vAlign w:val="center"/>
            <w:shd w:fill="2B6CB0"/>
          </w:tcPr>
          <w:p>
            <w:pPr>
              <w:pStyle w:val="Table-content"/>
              <w:spacing w:after="0"/>
            </w:pPr>
            <w:r/>
            <w:r>
              <w:rPr>
                <w:rFonts w:ascii="Arial" w:hAnsi="Arial"/>
                <w:b/>
                <w:color w:val="FFFFFF"/>
                <w:sz w:val="17"/>
              </w:rPr>
              <w:t>Term</w:t>
            </w:r>
          </w:p>
        </w:tc>
        <w:tc>
          <w:tcPr>
            <w:tcW w:type="dxa" w:w="7344"/>
            <w:vAlign w:val="center"/>
            <w:shd w:fill="2B6CB0"/>
          </w:tcPr>
          <w:p>
            <w:pPr>
              <w:pStyle w:val="Table-content"/>
              <w:spacing w:after="0"/>
            </w:pPr>
            <w:r/>
            <w:r>
              <w:rPr>
                <w:rFonts w:ascii="Arial" w:hAnsi="Arial"/>
                <w:b/>
                <w:color w:val="FFFFFF"/>
                <w:sz w:val="17"/>
              </w:rPr>
              <w:t>Meaning</w:t>
            </w:r>
          </w:p>
        </w:tc>
      </w:tr>
      <w:tr>
        <w:tc>
          <w:tcPr>
            <w:tcW w:type="dxa" w:w="1656"/>
            <w:vAlign w:val="center"/>
          </w:tcPr>
          <w:p>
            <w:pPr>
              <w:pStyle w:val="Table-content"/>
              <w:spacing w:after="0"/>
            </w:pPr>
            <w:r/>
            <w:r>
              <w:rPr>
                <w:rFonts w:ascii="Arial" w:hAnsi="Arial"/>
                <w:b w:val="0"/>
                <w:color w:val="102A43"/>
                <w:sz w:val="16"/>
              </w:rPr>
              <w:t>API</w:t>
            </w:r>
          </w:p>
        </w:tc>
        <w:tc>
          <w:tcPr>
            <w:tcW w:type="dxa" w:w="7344"/>
            <w:vAlign w:val="center"/>
          </w:tcPr>
          <w:p>
            <w:pPr>
              <w:pStyle w:val="Table-content"/>
              <w:spacing w:after="0"/>
            </w:pPr>
            <w:r/>
            <w:r>
              <w:rPr>
                <w:rFonts w:ascii="Arial" w:hAnsi="Arial"/>
                <w:b w:val="0"/>
                <w:color w:val="102A43"/>
                <w:sz w:val="16"/>
              </w:rPr>
              <w:t>Application Programming Interface</w:t>
            </w:r>
          </w:p>
        </w:tc>
      </w:tr>
      <w:tr>
        <w:tc>
          <w:tcPr>
            <w:tcW w:type="dxa" w:w="1656"/>
            <w:vAlign w:val="center"/>
            <w:shd w:fill="F4F8FC"/>
          </w:tcPr>
          <w:p>
            <w:pPr>
              <w:pStyle w:val="Table-content"/>
              <w:spacing w:after="0"/>
            </w:pPr>
            <w:r/>
            <w:r>
              <w:rPr>
                <w:rFonts w:ascii="Arial" w:hAnsi="Arial"/>
                <w:b w:val="0"/>
                <w:color w:val="102A43"/>
                <w:sz w:val="16"/>
              </w:rPr>
              <w:t>CORS</w:t>
            </w:r>
          </w:p>
        </w:tc>
        <w:tc>
          <w:tcPr>
            <w:tcW w:type="dxa" w:w="7344"/>
            <w:vAlign w:val="center"/>
            <w:shd w:fill="F4F8FC"/>
          </w:tcPr>
          <w:p>
            <w:pPr>
              <w:pStyle w:val="Table-content"/>
              <w:spacing w:after="0"/>
            </w:pPr>
            <w:r/>
            <w:r>
              <w:rPr>
                <w:rFonts w:ascii="Arial" w:hAnsi="Arial"/>
                <w:b w:val="0"/>
                <w:color w:val="102A43"/>
                <w:sz w:val="16"/>
              </w:rPr>
              <w:t>Cross-Origin Resource Sharing</w:t>
            </w:r>
          </w:p>
        </w:tc>
      </w:tr>
      <w:tr>
        <w:tc>
          <w:tcPr>
            <w:tcW w:type="dxa" w:w="1656"/>
            <w:vAlign w:val="center"/>
          </w:tcPr>
          <w:p>
            <w:pPr>
              <w:pStyle w:val="Table-content"/>
              <w:spacing w:after="0"/>
            </w:pPr>
            <w:r/>
            <w:r>
              <w:rPr>
                <w:rFonts w:ascii="Arial" w:hAnsi="Arial"/>
                <w:b w:val="0"/>
                <w:color w:val="102A43"/>
                <w:sz w:val="16"/>
              </w:rPr>
              <w:t>CSP</w:t>
            </w:r>
          </w:p>
        </w:tc>
        <w:tc>
          <w:tcPr>
            <w:tcW w:type="dxa" w:w="7344"/>
            <w:vAlign w:val="center"/>
          </w:tcPr>
          <w:p>
            <w:pPr>
              <w:pStyle w:val="Table-content"/>
              <w:spacing w:after="0"/>
            </w:pPr>
            <w:r/>
            <w:r>
              <w:rPr>
                <w:rFonts w:ascii="Arial" w:hAnsi="Arial"/>
                <w:b w:val="0"/>
                <w:color w:val="102A43"/>
                <w:sz w:val="16"/>
              </w:rPr>
              <w:t>Content Security Policy</w:t>
            </w:r>
          </w:p>
        </w:tc>
      </w:tr>
      <w:tr>
        <w:tc>
          <w:tcPr>
            <w:tcW w:type="dxa" w:w="1656"/>
            <w:vAlign w:val="center"/>
            <w:shd w:fill="F4F8FC"/>
          </w:tcPr>
          <w:p>
            <w:pPr>
              <w:pStyle w:val="Table-content"/>
              <w:spacing w:after="0"/>
            </w:pPr>
            <w:r/>
            <w:r>
              <w:rPr>
                <w:rFonts w:ascii="Arial" w:hAnsi="Arial"/>
                <w:b w:val="0"/>
                <w:color w:val="102A43"/>
                <w:sz w:val="16"/>
              </w:rPr>
              <w:t>DPIA</w:t>
            </w:r>
          </w:p>
        </w:tc>
        <w:tc>
          <w:tcPr>
            <w:tcW w:type="dxa" w:w="7344"/>
            <w:vAlign w:val="center"/>
            <w:shd w:fill="F4F8FC"/>
          </w:tcPr>
          <w:p>
            <w:pPr>
              <w:pStyle w:val="Table-content"/>
              <w:spacing w:after="0"/>
            </w:pPr>
            <w:r/>
            <w:r>
              <w:rPr>
                <w:rFonts w:ascii="Arial" w:hAnsi="Arial"/>
                <w:b w:val="0"/>
                <w:color w:val="102A43"/>
                <w:sz w:val="16"/>
              </w:rPr>
              <w:t>Data Protection Impact Assessment</w:t>
            </w:r>
          </w:p>
        </w:tc>
      </w:tr>
      <w:tr>
        <w:tc>
          <w:tcPr>
            <w:tcW w:type="dxa" w:w="1656"/>
            <w:vAlign w:val="center"/>
          </w:tcPr>
          <w:p>
            <w:pPr>
              <w:pStyle w:val="Table-content"/>
              <w:spacing w:after="0"/>
            </w:pPr>
            <w:r/>
            <w:r>
              <w:rPr>
                <w:rFonts w:ascii="Arial" w:hAnsi="Arial"/>
                <w:b w:val="0"/>
                <w:color w:val="102A43"/>
                <w:sz w:val="16"/>
              </w:rPr>
              <w:t>GDPR</w:t>
            </w:r>
          </w:p>
        </w:tc>
        <w:tc>
          <w:tcPr>
            <w:tcW w:type="dxa" w:w="7344"/>
            <w:vAlign w:val="center"/>
          </w:tcPr>
          <w:p>
            <w:pPr>
              <w:pStyle w:val="Table-content"/>
              <w:spacing w:after="0"/>
            </w:pPr>
            <w:r/>
            <w:r>
              <w:rPr>
                <w:rFonts w:ascii="Arial" w:hAnsi="Arial"/>
                <w:b w:val="0"/>
                <w:color w:val="102A43"/>
                <w:sz w:val="16"/>
              </w:rPr>
              <w:t>General Data Protection Regulation</w:t>
            </w:r>
          </w:p>
        </w:tc>
      </w:tr>
      <w:tr>
        <w:tc>
          <w:tcPr>
            <w:tcW w:type="dxa" w:w="1656"/>
            <w:vAlign w:val="center"/>
            <w:shd w:fill="F4F8FC"/>
          </w:tcPr>
          <w:p>
            <w:pPr>
              <w:pStyle w:val="Table-content"/>
              <w:spacing w:after="0"/>
            </w:pPr>
            <w:r/>
            <w:r>
              <w:rPr>
                <w:rFonts w:ascii="Arial" w:hAnsi="Arial"/>
                <w:b w:val="0"/>
                <w:color w:val="102A43"/>
                <w:sz w:val="16"/>
              </w:rPr>
              <w:t>HEDGE-IoT</w:t>
            </w:r>
          </w:p>
        </w:tc>
        <w:tc>
          <w:tcPr>
            <w:tcW w:type="dxa" w:w="7344"/>
            <w:vAlign w:val="center"/>
            <w:shd w:fill="F4F8FC"/>
          </w:tcPr>
          <w:p>
            <w:pPr>
              <w:pStyle w:val="Table-content"/>
              <w:spacing w:after="0"/>
            </w:pPr>
            <w:r/>
            <w:r>
              <w:rPr>
                <w:rFonts w:ascii="Arial" w:hAnsi="Arial"/>
                <w:b w:val="0"/>
                <w:color w:val="102A43"/>
                <w:sz w:val="16"/>
              </w:rPr>
              <w:t>Holistic Approach towards Empowerment of the Digitalization of the Energy Ecosystem through adoption of IoT solutions</w:t>
            </w:r>
          </w:p>
        </w:tc>
      </w:tr>
      <w:tr>
        <w:tc>
          <w:tcPr>
            <w:tcW w:type="dxa" w:w="1656"/>
            <w:vAlign w:val="center"/>
          </w:tcPr>
          <w:p>
            <w:pPr>
              <w:pStyle w:val="Table-content"/>
              <w:spacing w:after="0"/>
            </w:pPr>
            <w:r/>
            <w:r>
              <w:rPr>
                <w:rFonts w:ascii="Arial" w:hAnsi="Arial"/>
                <w:b w:val="0"/>
                <w:color w:val="102A43"/>
                <w:sz w:val="16"/>
              </w:rPr>
              <w:t>KPI</w:t>
            </w:r>
          </w:p>
        </w:tc>
        <w:tc>
          <w:tcPr>
            <w:tcW w:type="dxa" w:w="7344"/>
            <w:vAlign w:val="center"/>
          </w:tcPr>
          <w:p>
            <w:pPr>
              <w:pStyle w:val="Table-content"/>
              <w:spacing w:after="0"/>
            </w:pPr>
            <w:r/>
            <w:r>
              <w:rPr>
                <w:rFonts w:ascii="Arial" w:hAnsi="Arial"/>
                <w:b w:val="0"/>
                <w:color w:val="102A43"/>
                <w:sz w:val="16"/>
              </w:rPr>
              <w:t>Key Performance Indicator</w:t>
            </w:r>
          </w:p>
        </w:tc>
      </w:tr>
      <w:tr>
        <w:tc>
          <w:tcPr>
            <w:tcW w:type="dxa" w:w="1656"/>
            <w:vAlign w:val="center"/>
            <w:shd w:fill="F4F8FC"/>
          </w:tcPr>
          <w:p>
            <w:pPr>
              <w:pStyle w:val="Table-content"/>
              <w:spacing w:after="0"/>
            </w:pPr>
            <w:r/>
            <w:r>
              <w:rPr>
                <w:rFonts w:ascii="Arial" w:hAnsi="Arial"/>
                <w:b w:val="0"/>
                <w:color w:val="102A43"/>
                <w:sz w:val="16"/>
              </w:rPr>
              <w:t>LLM</w:t>
            </w:r>
          </w:p>
        </w:tc>
        <w:tc>
          <w:tcPr>
            <w:tcW w:type="dxa" w:w="7344"/>
            <w:vAlign w:val="center"/>
            <w:shd w:fill="F4F8FC"/>
          </w:tcPr>
          <w:p>
            <w:pPr>
              <w:pStyle w:val="Table-content"/>
              <w:spacing w:after="0"/>
            </w:pPr>
            <w:r/>
            <w:r>
              <w:rPr>
                <w:rFonts w:ascii="Arial" w:hAnsi="Arial"/>
                <w:b w:val="0"/>
                <w:color w:val="102A43"/>
                <w:sz w:val="16"/>
              </w:rPr>
              <w:t>Large Language Model</w:t>
            </w:r>
          </w:p>
        </w:tc>
      </w:tr>
      <w:tr>
        <w:tc>
          <w:tcPr>
            <w:tcW w:type="dxa" w:w="1656"/>
            <w:vAlign w:val="center"/>
          </w:tcPr>
          <w:p>
            <w:pPr>
              <w:pStyle w:val="Table-content"/>
              <w:spacing w:after="0"/>
            </w:pPr>
            <w:r/>
            <w:r>
              <w:rPr>
                <w:rFonts w:ascii="Arial" w:hAnsi="Arial"/>
                <w:b w:val="0"/>
                <w:color w:val="102A43"/>
                <w:sz w:val="16"/>
              </w:rPr>
              <w:t>M1–M6</w:t>
            </w:r>
          </w:p>
        </w:tc>
        <w:tc>
          <w:tcPr>
            <w:tcW w:type="dxa" w:w="7344"/>
            <w:vAlign w:val="center"/>
          </w:tcPr>
          <w:p>
            <w:pPr>
              <w:pStyle w:val="Table-content"/>
              <w:spacing w:after="0"/>
            </w:pPr>
            <w:r/>
            <w:r>
              <w:rPr>
                <w:rFonts w:ascii="Arial" w:hAnsi="Arial"/>
                <w:b w:val="0"/>
                <w:color w:val="102A43"/>
                <w:sz w:val="16"/>
              </w:rPr>
              <w:t>Project months 1 through 6</w:t>
            </w:r>
          </w:p>
        </w:tc>
      </w:tr>
      <w:tr>
        <w:tc>
          <w:tcPr>
            <w:tcW w:type="dxa" w:w="1656"/>
            <w:vAlign w:val="center"/>
            <w:shd w:fill="F4F8FC"/>
          </w:tcPr>
          <w:p>
            <w:pPr>
              <w:pStyle w:val="Table-content"/>
              <w:spacing w:after="0"/>
            </w:pPr>
            <w:r/>
            <w:r>
              <w:rPr>
                <w:rFonts w:ascii="Arial" w:hAnsi="Arial"/>
                <w:b w:val="0"/>
                <w:color w:val="102A43"/>
                <w:sz w:val="16"/>
              </w:rPr>
              <w:t>OpenAPI</w:t>
            </w:r>
          </w:p>
        </w:tc>
        <w:tc>
          <w:tcPr>
            <w:tcW w:type="dxa" w:w="7344"/>
            <w:vAlign w:val="center"/>
            <w:shd w:fill="F4F8FC"/>
          </w:tcPr>
          <w:p>
            <w:pPr>
              <w:pStyle w:val="Table-content"/>
              <w:spacing w:after="0"/>
            </w:pPr>
            <w:r/>
            <w:r>
              <w:rPr>
                <w:rFonts w:ascii="Arial" w:hAnsi="Arial"/>
                <w:b w:val="0"/>
                <w:color w:val="102A43"/>
                <w:sz w:val="16"/>
              </w:rPr>
              <w:t>Machine-readable specification for HTTP APIs</w:t>
            </w:r>
          </w:p>
        </w:tc>
      </w:tr>
      <w:tr>
        <w:tc>
          <w:tcPr>
            <w:tcW w:type="dxa" w:w="1656"/>
            <w:vAlign w:val="center"/>
          </w:tcPr>
          <w:p>
            <w:pPr>
              <w:pStyle w:val="Table-content"/>
              <w:spacing w:after="0"/>
            </w:pPr>
            <w:r/>
            <w:r>
              <w:rPr>
                <w:rFonts w:ascii="Arial" w:hAnsi="Arial"/>
                <w:b w:val="0"/>
                <w:color w:val="102A43"/>
                <w:sz w:val="16"/>
              </w:rPr>
              <w:t>RASA</w:t>
            </w:r>
          </w:p>
        </w:tc>
        <w:tc>
          <w:tcPr>
            <w:tcW w:type="dxa" w:w="7344"/>
            <w:vAlign w:val="center"/>
          </w:tcPr>
          <w:p>
            <w:pPr>
              <w:pStyle w:val="Table-content"/>
              <w:spacing w:after="0"/>
            </w:pPr>
            <w:r/>
            <w:r>
              <w:rPr>
                <w:rFonts w:ascii="Arial" w:hAnsi="Arial"/>
                <w:b w:val="0"/>
                <w:color w:val="102A43"/>
                <w:sz w:val="16"/>
              </w:rPr>
              <w:t>Open-source conversational AI framework used in the project architecture</w:t>
            </w:r>
          </w:p>
        </w:tc>
      </w:tr>
      <w:tr>
        <w:tc>
          <w:tcPr>
            <w:tcW w:type="dxa" w:w="1656"/>
            <w:vAlign w:val="center"/>
            <w:shd w:fill="F4F8FC"/>
          </w:tcPr>
          <w:p>
            <w:pPr>
              <w:pStyle w:val="Table-content"/>
              <w:spacing w:after="0"/>
            </w:pPr>
            <w:r/>
            <w:r>
              <w:rPr>
                <w:rFonts w:ascii="Arial" w:hAnsi="Arial"/>
                <w:b w:val="0"/>
                <w:color w:val="102A43"/>
                <w:sz w:val="16"/>
              </w:rPr>
              <w:t>SAREF</w:t>
            </w:r>
          </w:p>
        </w:tc>
        <w:tc>
          <w:tcPr>
            <w:tcW w:type="dxa" w:w="7344"/>
            <w:vAlign w:val="center"/>
            <w:shd w:fill="F4F8FC"/>
          </w:tcPr>
          <w:p>
            <w:pPr>
              <w:pStyle w:val="Table-content"/>
              <w:spacing w:after="0"/>
            </w:pPr>
            <w:r/>
            <w:r>
              <w:rPr>
                <w:rFonts w:ascii="Arial" w:hAnsi="Arial"/>
                <w:b w:val="0"/>
                <w:color w:val="102A43"/>
                <w:sz w:val="16"/>
              </w:rPr>
              <w:t>Smart Applications REFerence ontology</w:t>
            </w:r>
          </w:p>
        </w:tc>
      </w:tr>
      <w:tr>
        <w:tc>
          <w:tcPr>
            <w:tcW w:type="dxa" w:w="1656"/>
            <w:vAlign w:val="center"/>
          </w:tcPr>
          <w:p>
            <w:pPr>
              <w:pStyle w:val="Table-content"/>
              <w:spacing w:after="0"/>
            </w:pPr>
            <w:r/>
            <w:r>
              <w:rPr>
                <w:rFonts w:ascii="Arial" w:hAnsi="Arial"/>
                <w:b w:val="0"/>
                <w:color w:val="102A43"/>
                <w:sz w:val="16"/>
              </w:rPr>
              <w:t>SEN</w:t>
            </w:r>
          </w:p>
        </w:tc>
        <w:tc>
          <w:tcPr>
            <w:tcW w:type="dxa" w:w="7344"/>
            <w:vAlign w:val="center"/>
          </w:tcPr>
          <w:p>
            <w:pPr>
              <w:pStyle w:val="Table-content"/>
              <w:spacing w:after="0"/>
            </w:pPr>
            <w:r/>
            <w:r>
              <w:rPr>
                <w:rFonts w:ascii="Arial" w:hAnsi="Arial"/>
                <w:b w:val="0"/>
                <w:color w:val="102A43"/>
                <w:sz w:val="16"/>
              </w:rPr>
              <w:t>Sensitive dissemination level under the Grant Agreement</w:t>
            </w:r>
          </w:p>
        </w:tc>
      </w:tr>
      <w:tr>
        <w:tc>
          <w:tcPr>
            <w:tcW w:type="dxa" w:w="1656"/>
            <w:vAlign w:val="center"/>
            <w:shd w:fill="F4F8FC"/>
          </w:tcPr>
          <w:p>
            <w:pPr>
              <w:pStyle w:val="Table-content"/>
              <w:spacing w:after="0"/>
            </w:pPr>
            <w:r/>
            <w:r>
              <w:rPr>
                <w:rFonts w:ascii="Arial" w:hAnsi="Arial"/>
                <w:b w:val="0"/>
                <w:color w:val="102A43"/>
                <w:sz w:val="16"/>
              </w:rPr>
              <w:t>TLS</w:t>
            </w:r>
          </w:p>
        </w:tc>
        <w:tc>
          <w:tcPr>
            <w:tcW w:type="dxa" w:w="7344"/>
            <w:vAlign w:val="center"/>
            <w:shd w:fill="F4F8FC"/>
          </w:tcPr>
          <w:p>
            <w:pPr>
              <w:pStyle w:val="Table-content"/>
              <w:spacing w:after="0"/>
            </w:pPr>
            <w:r/>
            <w:r>
              <w:rPr>
                <w:rFonts w:ascii="Arial" w:hAnsi="Arial"/>
                <w:b w:val="0"/>
                <w:color w:val="102A43"/>
                <w:sz w:val="16"/>
              </w:rPr>
              <w:t>Transport Layer Security</w:t>
            </w:r>
          </w:p>
        </w:tc>
      </w:tr>
    </w:tbl>
    <w:p>
      <w:pPr>
        <w:spacing w:after="0"/>
      </w:pPr>
    </w:p>
    <w:p>
      <w:r>
        <w:br w:type="page"/>
      </w:r>
    </w:p>
    <w:p>
      <w:pPr>
        <w:pStyle w:val="Heading1"/>
        <w:keepNext/>
      </w:pPr>
      <w:r>
        <w:t>1 INTRODUCTION</w:t>
      </w:r>
    </w:p>
    <w:p>
      <w:pPr>
        <w:pStyle w:val="Heading2"/>
        <w:keepNext/>
      </w:pPr>
      <w:r>
        <w:t>1.1 Purpose</w:t>
      </w:r>
    </w:p>
    <w:p>
      <w:pPr>
        <w:pStyle w:val="BodyText"/>
        <w:spacing w:after="100" w:line="259" w:lineRule="auto"/>
      </w:pPr>
      <w:r>
        <w:t>The purpose of D2.1 is to establish a reviewable architecture baseline for HEDGE-ExpertAI and provide a common reference for technical alignment between the HEDGE-ExpertAI project team and the relevant HEDGE-IoT contacts.</w:t>
      </w:r>
    </w:p>
    <w:p>
      <w:pPr>
        <w:pStyle w:val="Heading2"/>
        <w:keepNext/>
      </w:pPr>
      <w:r>
        <w:t>1.2 Scope</w:t>
      </w:r>
    </w:p>
    <w:p>
      <w:pPr>
        <w:pStyle w:val="BodyText"/>
        <w:spacing w:after="100" w:line="259" w:lineRule="auto"/>
      </w:pPr>
      <w:r>
        <w:t>The specification covers the target system context, functional capabilities, principal request and synchronization flows, information model, external interfaces, security and privacy principles, deployment portability, and validation design.</w:t>
      </w:r>
    </w:p>
    <w:p>
      <w:pPr>
        <w:pStyle w:val="Heading2"/>
        <w:keepNext/>
      </w:pPr>
      <w:r>
        <w:t>1.3 Design basis</w:t>
      </w:r>
    </w:p>
    <w:p>
      <w:pPr>
        <w:pStyle w:val="BodyText"/>
        <w:spacing w:after="100" w:line="259" w:lineRule="auto"/>
      </w:pPr>
      <w:r>
        <w:t>This architecture follows the scope, objectives, tasks, deliverables, technologies, and targets defined in the HEDGE-ExpertAI project proposal. HEDGE-IoT platform details are represented through explicit integration interfaces so that the design can be completed against the official App Store environment and technical guidance.</w:t>
      </w:r>
    </w:p>
    <w:p>
      <w:pPr>
        <w:pStyle w:val="Heading1"/>
        <w:keepNext/>
      </w:pPr>
      <w:r>
        <w:t>2 ARCHITECTURE DRIVERS</w:t>
      </w:r>
    </w:p>
    <w:p>
      <w:pPr>
        <w:pStyle w:val="Heading2"/>
        <w:keepNext/>
      </w:pPr>
      <w:r>
        <w:t>2.1 Functional requirements</w:t>
      </w:r>
    </w:p>
    <w:p>
      <w:pPr>
        <w:pStyle w:val="Caption"/>
        <w:keepNext/>
        <w:spacing w:before="100" w:after="60"/>
      </w:pPr>
      <w:r>
        <w:t xml:space="preserve">Table </w:t>
      </w:r>
      <w:r>
        <w:fldChar w:fldCharType="begin" w:dirty="true"/>
        <w:instrText xml:space="preserve"> SEQ Table \* ARABIC </w:instrText>
        <w:fldChar w:fldCharType="separate"/>
      </w:r>
      <w:r>
        <w:t>2</w:t>
      </w:r>
      <w:r>
        <w:fldChar w:fldCharType="end"/>
      </w:r>
      <w:r>
        <w:t>. Project functional requirements</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1080"/>
            <w:vAlign w:val="center"/>
            <w:shd w:fill="2B6CB0"/>
          </w:tcPr>
          <w:p>
            <w:pPr>
              <w:pStyle w:val="Table-content"/>
              <w:spacing w:after="0"/>
            </w:pPr>
            <w:r/>
            <w:r>
              <w:rPr>
                <w:rFonts w:ascii="Arial" w:hAnsi="Arial"/>
                <w:b/>
                <w:color w:val="FFFFFF"/>
                <w:sz w:val="17"/>
              </w:rPr>
              <w:t>ID</w:t>
            </w:r>
          </w:p>
        </w:tc>
        <w:tc>
          <w:tcPr>
            <w:tcW w:type="dxa" w:w="7920"/>
            <w:vAlign w:val="center"/>
            <w:shd w:fill="2B6CB0"/>
          </w:tcPr>
          <w:p>
            <w:pPr>
              <w:pStyle w:val="Table-content"/>
              <w:spacing w:after="0"/>
            </w:pPr>
            <w:r/>
            <w:r>
              <w:rPr>
                <w:rFonts w:ascii="Arial" w:hAnsi="Arial"/>
                <w:b/>
                <w:color w:val="FFFFFF"/>
                <w:sz w:val="17"/>
              </w:rPr>
              <w:t>Requirement</w:t>
            </w:r>
          </w:p>
        </w:tc>
      </w:tr>
      <w:tr>
        <w:tc>
          <w:tcPr>
            <w:tcW w:type="dxa" w:w="1080"/>
            <w:vAlign w:val="center"/>
          </w:tcPr>
          <w:p>
            <w:pPr>
              <w:pStyle w:val="Table-content"/>
              <w:spacing w:after="0"/>
            </w:pPr>
            <w:r/>
            <w:r>
              <w:rPr>
                <w:rFonts w:ascii="Arial" w:hAnsi="Arial"/>
                <w:b w:val="0"/>
                <w:color w:val="102A43"/>
                <w:sz w:val="16"/>
              </w:rPr>
              <w:t>FR-01</w:t>
            </w:r>
          </w:p>
        </w:tc>
        <w:tc>
          <w:tcPr>
            <w:tcW w:type="dxa" w:w="7920"/>
            <w:vAlign w:val="center"/>
          </w:tcPr>
          <w:p>
            <w:pPr>
              <w:pStyle w:val="Table-content"/>
              <w:spacing w:after="0"/>
            </w:pPr>
            <w:r/>
            <w:r>
              <w:rPr>
                <w:rFonts w:ascii="Arial" w:hAnsi="Arial"/>
                <w:b w:val="0"/>
                <w:color w:val="102A43"/>
                <w:sz w:val="16"/>
              </w:rPr>
              <w:t>Accept a natural-language request and return relevant App suggestions with concise, source-grounded explanations.</w:t>
            </w:r>
          </w:p>
        </w:tc>
      </w:tr>
      <w:tr>
        <w:tc>
          <w:tcPr>
            <w:tcW w:type="dxa" w:w="1080"/>
            <w:vAlign w:val="center"/>
            <w:shd w:fill="F4F8FC"/>
          </w:tcPr>
          <w:p>
            <w:pPr>
              <w:pStyle w:val="Table-content"/>
              <w:spacing w:after="0"/>
            </w:pPr>
            <w:r/>
            <w:r>
              <w:rPr>
                <w:rFonts w:ascii="Arial" w:hAnsi="Arial"/>
                <w:b w:val="0"/>
                <w:color w:val="102A43"/>
                <w:sz w:val="16"/>
              </w:rPr>
              <w:t>FR-02</w:t>
            </w:r>
          </w:p>
        </w:tc>
        <w:tc>
          <w:tcPr>
            <w:tcW w:type="dxa" w:w="7920"/>
            <w:vAlign w:val="center"/>
            <w:shd w:fill="F4F8FC"/>
          </w:tcPr>
          <w:p>
            <w:pPr>
              <w:pStyle w:val="Table-content"/>
              <w:spacing w:after="0"/>
            </w:pPr>
            <w:r/>
            <w:r>
              <w:rPr>
                <w:rFonts w:ascii="Arial" w:hAnsi="Arial"/>
                <w:b w:val="0"/>
                <w:color w:val="102A43"/>
                <w:sz w:val="16"/>
              </w:rPr>
              <w:t>Support conversational intent and entity handling, including the multi-turn behavior agreed for the pilot.</w:t>
            </w:r>
          </w:p>
        </w:tc>
      </w:tr>
      <w:tr>
        <w:tc>
          <w:tcPr>
            <w:tcW w:type="dxa" w:w="1080"/>
            <w:vAlign w:val="center"/>
          </w:tcPr>
          <w:p>
            <w:pPr>
              <w:pStyle w:val="Table-content"/>
              <w:spacing w:after="0"/>
            </w:pPr>
            <w:r/>
            <w:r>
              <w:rPr>
                <w:rFonts w:ascii="Arial" w:hAnsi="Arial"/>
                <w:b w:val="0"/>
                <w:color w:val="102A43"/>
                <w:sz w:val="16"/>
              </w:rPr>
              <w:t>FR-03</w:t>
            </w:r>
          </w:p>
        </w:tc>
        <w:tc>
          <w:tcPr>
            <w:tcW w:type="dxa" w:w="7920"/>
            <w:vAlign w:val="center"/>
          </w:tcPr>
          <w:p>
            <w:pPr>
              <w:pStyle w:val="Table-content"/>
              <w:spacing w:after="0"/>
            </w:pPr>
            <w:r/>
            <w:r>
              <w:rPr>
                <w:rFonts w:ascii="Arial" w:hAnsi="Arial"/>
                <w:b w:val="0"/>
                <w:color w:val="102A43"/>
                <w:sz w:val="16"/>
              </w:rPr>
              <w:t>Combine keyword and semantic retrieval; use SAREF-aligned information only as an optional signal where authoritative metadata supports it.</w:t>
            </w:r>
          </w:p>
        </w:tc>
      </w:tr>
      <w:tr>
        <w:tc>
          <w:tcPr>
            <w:tcW w:type="dxa" w:w="1080"/>
            <w:vAlign w:val="center"/>
            <w:shd w:fill="F4F8FC"/>
          </w:tcPr>
          <w:p>
            <w:pPr>
              <w:pStyle w:val="Table-content"/>
              <w:spacing w:after="0"/>
            </w:pPr>
            <w:r/>
            <w:r>
              <w:rPr>
                <w:rFonts w:ascii="Arial" w:hAnsi="Arial"/>
                <w:b w:val="0"/>
                <w:color w:val="102A43"/>
                <w:sz w:val="16"/>
              </w:rPr>
              <w:t>FR-04</w:t>
            </w:r>
          </w:p>
        </w:tc>
        <w:tc>
          <w:tcPr>
            <w:tcW w:type="dxa" w:w="7920"/>
            <w:vAlign w:val="center"/>
            <w:shd w:fill="F4F8FC"/>
          </w:tcPr>
          <w:p>
            <w:pPr>
              <w:pStyle w:val="Table-content"/>
              <w:spacing w:after="0"/>
            </w:pPr>
            <w:r/>
            <w:r>
              <w:rPr>
                <w:rFonts w:ascii="Arial" w:hAnsi="Arial"/>
                <w:b w:val="0"/>
                <w:color w:val="102A43"/>
                <w:sz w:val="16"/>
              </w:rPr>
              <w:t>Acquire and index catalogue metadata from the official HEDGE-IoT App Store interface.</w:t>
            </w:r>
          </w:p>
        </w:tc>
      </w:tr>
      <w:tr>
        <w:tc>
          <w:tcPr>
            <w:tcW w:type="dxa" w:w="1080"/>
            <w:vAlign w:val="center"/>
          </w:tcPr>
          <w:p>
            <w:pPr>
              <w:pStyle w:val="Table-content"/>
              <w:spacing w:after="0"/>
            </w:pPr>
            <w:r/>
            <w:r>
              <w:rPr>
                <w:rFonts w:ascii="Arial" w:hAnsi="Arial"/>
                <w:b w:val="0"/>
                <w:color w:val="102A43"/>
                <w:sz w:val="16"/>
              </w:rPr>
              <w:t>FR-05</w:t>
            </w:r>
          </w:p>
        </w:tc>
        <w:tc>
          <w:tcPr>
            <w:tcW w:type="dxa" w:w="7920"/>
            <w:vAlign w:val="center"/>
          </w:tcPr>
          <w:p>
            <w:pPr>
              <w:pStyle w:val="Table-content"/>
              <w:spacing w:after="0"/>
            </w:pPr>
            <w:r/>
            <w:r>
              <w:rPr>
                <w:rFonts w:ascii="Arial" w:hAnsi="Arial"/>
                <w:b w:val="0"/>
                <w:color w:val="102A43"/>
                <w:sz w:val="16"/>
              </w:rPr>
              <w:t>Detect additions and changes; handle withdrawals or deletions if the agreed catalogue interface exposes those lifecycle signals.</w:t>
            </w:r>
          </w:p>
        </w:tc>
      </w:tr>
      <w:tr>
        <w:tc>
          <w:tcPr>
            <w:tcW w:type="dxa" w:w="1080"/>
            <w:vAlign w:val="center"/>
            <w:shd w:fill="F4F8FC"/>
          </w:tcPr>
          <w:p>
            <w:pPr>
              <w:pStyle w:val="Table-content"/>
              <w:spacing w:after="0"/>
            </w:pPr>
            <w:r/>
            <w:r>
              <w:rPr>
                <w:rFonts w:ascii="Arial" w:hAnsi="Arial"/>
                <w:b w:val="0"/>
                <w:color w:val="102A43"/>
                <w:sz w:val="16"/>
              </w:rPr>
              <w:t>FR-06</w:t>
            </w:r>
          </w:p>
        </w:tc>
        <w:tc>
          <w:tcPr>
            <w:tcW w:type="dxa" w:w="7920"/>
            <w:vAlign w:val="center"/>
            <w:shd w:fill="F4F8FC"/>
          </w:tcPr>
          <w:p>
            <w:pPr>
              <w:pStyle w:val="Table-content"/>
              <w:spacing w:after="0"/>
            </w:pPr>
            <w:r/>
            <w:r>
              <w:rPr>
                <w:rFonts w:ascii="Arial" w:hAnsi="Arial"/>
                <w:b w:val="0"/>
                <w:color w:val="102A43"/>
                <w:sz w:val="16"/>
              </w:rPr>
              <w:t>Provide a lightweight plug-in compatible with the HEDGE-IoT App Store front end.</w:t>
            </w:r>
          </w:p>
        </w:tc>
      </w:tr>
      <w:tr>
        <w:tc>
          <w:tcPr>
            <w:tcW w:type="dxa" w:w="1080"/>
            <w:vAlign w:val="center"/>
          </w:tcPr>
          <w:p>
            <w:pPr>
              <w:pStyle w:val="Table-content"/>
              <w:spacing w:after="0"/>
            </w:pPr>
            <w:r/>
            <w:r>
              <w:rPr>
                <w:rFonts w:ascii="Arial" w:hAnsi="Arial"/>
                <w:b w:val="0"/>
                <w:color w:val="102A43"/>
                <w:sz w:val="16"/>
              </w:rPr>
              <w:t>FR-07</w:t>
            </w:r>
          </w:p>
        </w:tc>
        <w:tc>
          <w:tcPr>
            <w:tcW w:type="dxa" w:w="7920"/>
            <w:vAlign w:val="center"/>
          </w:tcPr>
          <w:p>
            <w:pPr>
              <w:pStyle w:val="Table-content"/>
              <w:spacing w:after="0"/>
            </w:pPr>
            <w:r/>
            <w:r>
              <w:rPr>
                <w:rFonts w:ascii="Arial" w:hAnsi="Arial"/>
                <w:b w:val="0"/>
                <w:color w:val="102A43"/>
                <w:sz w:val="16"/>
              </w:rPr>
              <w:t>Expose backend integration interfaces through an OpenAPI-documented contract.</w:t>
            </w:r>
          </w:p>
        </w:tc>
      </w:tr>
      <w:tr>
        <w:tc>
          <w:tcPr>
            <w:tcW w:type="dxa" w:w="1080"/>
            <w:vAlign w:val="center"/>
            <w:shd w:fill="F4F8FC"/>
          </w:tcPr>
          <w:p>
            <w:pPr>
              <w:pStyle w:val="Table-content"/>
              <w:spacing w:after="0"/>
            </w:pPr>
            <w:r/>
            <w:r>
              <w:rPr>
                <w:rFonts w:ascii="Arial" w:hAnsi="Arial"/>
                <w:b w:val="0"/>
                <w:color w:val="102A43"/>
                <w:sz w:val="16"/>
              </w:rPr>
              <w:t>FR-08</w:t>
            </w:r>
          </w:p>
        </w:tc>
        <w:tc>
          <w:tcPr>
            <w:tcW w:type="dxa" w:w="7920"/>
            <w:vAlign w:val="center"/>
            <w:shd w:fill="F4F8FC"/>
          </w:tcPr>
          <w:p>
            <w:pPr>
              <w:pStyle w:val="Table-content"/>
              <w:spacing w:after="0"/>
            </w:pPr>
            <w:r/>
            <w:r>
              <w:rPr>
                <w:rFonts w:ascii="Arial" w:hAnsi="Arial"/>
                <w:b w:val="0"/>
                <w:color w:val="102A43"/>
                <w:sz w:val="16"/>
              </w:rPr>
              <w:t>Collect only the interaction evidence required by the project validation plan.</w:t>
            </w:r>
          </w:p>
        </w:tc>
      </w:tr>
    </w:tbl>
    <w:p>
      <w:pPr>
        <w:spacing w:after="0"/>
      </w:pPr>
    </w:p>
    <w:p>
      <w:pPr>
        <w:pStyle w:val="Heading2"/>
        <w:keepNext/>
      </w:pPr>
      <w:r>
        <w:t>2.2 Quality and validation requirements</w:t>
      </w:r>
    </w:p>
    <w:p>
      <w:pPr>
        <w:pStyle w:val="Caption"/>
        <w:keepNext/>
        <w:spacing w:before="100" w:after="60"/>
      </w:pPr>
      <w:r>
        <w:t xml:space="preserve">Table </w:t>
      </w:r>
      <w:r>
        <w:fldChar w:fldCharType="begin" w:dirty="true"/>
        <w:instrText xml:space="preserve"> SEQ Table \* ARABIC </w:instrText>
        <w:fldChar w:fldCharType="separate"/>
      </w:r>
      <w:r>
        <w:t>3</w:t>
      </w:r>
      <w:r>
        <w:fldChar w:fldCharType="end"/>
      </w:r>
      <w:r>
        <w:t>. Quality and validation requirements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893"/>
            <w:vAlign w:val="center"/>
            <w:shd w:fill="2B6CB0"/>
          </w:tcPr>
          <w:p>
            <w:pPr>
              <w:pStyle w:val="Table-content"/>
              <w:spacing w:after="0"/>
            </w:pPr>
            <w:r/>
            <w:r>
              <w:rPr>
                <w:rFonts w:ascii="Arial" w:hAnsi="Arial"/>
                <w:b/>
                <w:color w:val="FFFFFF"/>
                <w:sz w:val="17"/>
              </w:rPr>
              <w:t>ID</w:t>
            </w:r>
          </w:p>
        </w:tc>
        <w:tc>
          <w:tcPr>
            <w:tcW w:type="dxa" w:w="3384"/>
            <w:vAlign w:val="center"/>
            <w:shd w:fill="2B6CB0"/>
          </w:tcPr>
          <w:p>
            <w:pPr>
              <w:pStyle w:val="Table-content"/>
              <w:spacing w:after="0"/>
            </w:pPr>
            <w:r/>
            <w:r>
              <w:rPr>
                <w:rFonts w:ascii="Arial" w:hAnsi="Arial"/>
                <w:b/>
                <w:color w:val="FFFFFF"/>
                <w:sz w:val="17"/>
              </w:rPr>
              <w:t>Requirement or target</w:t>
            </w:r>
          </w:p>
        </w:tc>
        <w:tc>
          <w:tcPr>
            <w:tcW w:type="dxa" w:w="4723"/>
            <w:vAlign w:val="center"/>
            <w:shd w:fill="2B6CB0"/>
          </w:tcPr>
          <w:p>
            <w:pPr>
              <w:pStyle w:val="Table-content"/>
              <w:spacing w:after="0"/>
            </w:pPr>
            <w:r/>
            <w:r>
              <w:rPr>
                <w:rFonts w:ascii="Arial" w:hAnsi="Arial"/>
                <w:b/>
                <w:color w:val="FFFFFF"/>
                <w:sz w:val="17"/>
              </w:rPr>
              <w:t>Architecture and verification response</w:t>
            </w:r>
          </w:p>
        </w:tc>
      </w:tr>
      <w:tr>
        <w:tc>
          <w:tcPr>
            <w:tcW w:type="dxa" w:w="893"/>
            <w:vAlign w:val="center"/>
          </w:tcPr>
          <w:p>
            <w:pPr>
              <w:pStyle w:val="Table-content"/>
              <w:spacing w:after="0"/>
            </w:pPr>
            <w:r/>
            <w:r>
              <w:rPr>
                <w:rFonts w:ascii="Arial" w:hAnsi="Arial"/>
                <w:b w:val="0"/>
                <w:color w:val="102A43"/>
                <w:sz w:val="16"/>
              </w:rPr>
              <w:t>QR-01</w:t>
            </w:r>
          </w:p>
        </w:tc>
        <w:tc>
          <w:tcPr>
            <w:tcW w:type="dxa" w:w="3384"/>
            <w:vAlign w:val="center"/>
          </w:tcPr>
          <w:p>
            <w:pPr>
              <w:pStyle w:val="Table-content"/>
              <w:spacing w:after="0"/>
            </w:pPr>
            <w:r/>
            <w:r>
              <w:rPr>
                <w:rFonts w:ascii="Arial" w:hAnsi="Arial"/>
                <w:b w:val="0"/>
                <w:color w:val="102A43"/>
                <w:sz w:val="16"/>
              </w:rPr>
              <w:t>At least 70% top-2 relevance on pilot queries.</w:t>
            </w:r>
          </w:p>
        </w:tc>
        <w:tc>
          <w:tcPr>
            <w:tcW w:type="dxa" w:w="4723"/>
            <w:vAlign w:val="center"/>
          </w:tcPr>
          <w:p>
            <w:pPr>
              <w:pStyle w:val="Table-content"/>
              <w:spacing w:after="0"/>
            </w:pPr>
            <w:r/>
            <w:r>
              <w:rPr>
                <w:rFonts w:ascii="Arial" w:hAnsi="Arial"/>
                <w:b w:val="0"/>
                <w:color w:val="102A43"/>
                <w:sz w:val="16"/>
              </w:rPr>
              <w:t>Evaluate against a representative labelled query set and retain ranked outputs and relevance labels.</w:t>
            </w:r>
          </w:p>
        </w:tc>
      </w:tr>
      <w:tr>
        <w:tc>
          <w:tcPr>
            <w:tcW w:type="dxa" w:w="893"/>
            <w:vAlign w:val="center"/>
            <w:shd w:fill="F4F8FC"/>
          </w:tcPr>
          <w:p>
            <w:pPr>
              <w:pStyle w:val="Table-content"/>
              <w:spacing w:after="0"/>
            </w:pPr>
            <w:r/>
            <w:r>
              <w:rPr>
                <w:rFonts w:ascii="Arial" w:hAnsi="Arial"/>
                <w:b w:val="0"/>
                <w:color w:val="102A43"/>
                <w:sz w:val="16"/>
              </w:rPr>
              <w:t>QR-02</w:t>
            </w:r>
          </w:p>
        </w:tc>
        <w:tc>
          <w:tcPr>
            <w:tcW w:type="dxa" w:w="3384"/>
            <w:vAlign w:val="center"/>
            <w:shd w:fill="F4F8FC"/>
          </w:tcPr>
          <w:p>
            <w:pPr>
              <w:pStyle w:val="Table-content"/>
              <w:spacing w:after="0"/>
            </w:pPr>
            <w:r/>
            <w:r>
              <w:rPr>
                <w:rFonts w:ascii="Arial" w:hAnsi="Arial"/>
                <w:b w:val="0"/>
                <w:color w:val="102A43"/>
                <w:sz w:val="16"/>
              </w:rPr>
              <w:t>Architecture objective: average response time below 5 seconds; final validation target: median response time below 5 seconds.</w:t>
            </w:r>
          </w:p>
        </w:tc>
        <w:tc>
          <w:tcPr>
            <w:tcW w:type="dxa" w:w="4723"/>
            <w:vAlign w:val="center"/>
            <w:shd w:fill="F4F8FC"/>
          </w:tcPr>
          <w:p>
            <w:pPr>
              <w:pStyle w:val="Table-content"/>
              <w:spacing w:after="0"/>
            </w:pPr>
            <w:r/>
            <w:r>
              <w:rPr>
                <w:rFonts w:ascii="Arial" w:hAnsi="Arial"/>
                <w:b w:val="0"/>
                <w:color w:val="102A43"/>
                <w:sz w:val="16"/>
              </w:rPr>
              <w:t>Capture end-to-end request timings and report both average and median with the test conditions.</w:t>
            </w:r>
          </w:p>
        </w:tc>
      </w:tr>
      <w:tr>
        <w:tc>
          <w:tcPr>
            <w:tcW w:type="dxa" w:w="893"/>
            <w:vAlign w:val="center"/>
          </w:tcPr>
          <w:p>
            <w:pPr>
              <w:pStyle w:val="Table-content"/>
              <w:spacing w:after="0"/>
            </w:pPr>
            <w:r/>
            <w:r>
              <w:rPr>
                <w:rFonts w:ascii="Arial" w:hAnsi="Arial"/>
                <w:b w:val="0"/>
                <w:color w:val="102A43"/>
                <w:sz w:val="16"/>
              </w:rPr>
              <w:t>QR-03</w:t>
            </w:r>
          </w:p>
        </w:tc>
        <w:tc>
          <w:tcPr>
            <w:tcW w:type="dxa" w:w="3384"/>
            <w:vAlign w:val="center"/>
          </w:tcPr>
          <w:p>
            <w:pPr>
              <w:pStyle w:val="Table-content"/>
              <w:spacing w:after="0"/>
            </w:pPr>
            <w:r/>
            <w:r>
              <w:rPr>
                <w:rFonts w:ascii="Arial" w:hAnsi="Arial"/>
                <w:b w:val="0"/>
                <w:color w:val="102A43"/>
                <w:sz w:val="16"/>
              </w:rPr>
              <w:t>Operational indexing objective: new or updated Apps searchable within 2 hours; final validation ceiling: 24 hours.</w:t>
            </w:r>
          </w:p>
        </w:tc>
        <w:tc>
          <w:tcPr>
            <w:tcW w:type="dxa" w:w="4723"/>
            <w:vAlign w:val="center"/>
          </w:tcPr>
          <w:p>
            <w:pPr>
              <w:pStyle w:val="Table-content"/>
              <w:spacing w:after="0"/>
            </w:pPr>
            <w:r/>
            <w:r>
              <w:rPr>
                <w:rFonts w:ascii="Arial" w:hAnsi="Arial"/>
                <w:b w:val="0"/>
                <w:color w:val="102A43"/>
                <w:sz w:val="16"/>
              </w:rPr>
              <w:t>Measure from the authoritative publication or update time to searchable availability and report both thresholds.</w:t>
            </w:r>
          </w:p>
        </w:tc>
      </w:tr>
      <w:tr>
        <w:tc>
          <w:tcPr>
            <w:tcW w:type="dxa" w:w="893"/>
            <w:vAlign w:val="center"/>
            <w:shd w:fill="F4F8FC"/>
          </w:tcPr>
          <w:p>
            <w:pPr>
              <w:pStyle w:val="Table-content"/>
              <w:spacing w:after="0"/>
            </w:pPr>
            <w:r/>
            <w:r>
              <w:rPr>
                <w:rFonts w:ascii="Arial" w:hAnsi="Arial"/>
                <w:b w:val="0"/>
                <w:color w:val="102A43"/>
                <w:sz w:val="16"/>
              </w:rPr>
              <w:t>QR-04</w:t>
            </w:r>
          </w:p>
        </w:tc>
        <w:tc>
          <w:tcPr>
            <w:tcW w:type="dxa" w:w="3384"/>
            <w:vAlign w:val="center"/>
            <w:shd w:fill="F4F8FC"/>
          </w:tcPr>
          <w:p>
            <w:pPr>
              <w:pStyle w:val="Table-content"/>
              <w:spacing w:after="0"/>
            </w:pPr>
            <w:r/>
            <w:r>
              <w:rPr>
                <w:rFonts w:ascii="Arial" w:hAnsi="Arial"/>
                <w:b w:val="0"/>
                <w:color w:val="102A43"/>
                <w:sz w:val="16"/>
              </w:rPr>
              <w:t>At least 50 labelled sample queries defined with the HEDGE-IoT team.</w:t>
            </w:r>
          </w:p>
        </w:tc>
        <w:tc>
          <w:tcPr>
            <w:tcW w:type="dxa" w:w="4723"/>
            <w:vAlign w:val="center"/>
            <w:shd w:fill="F4F8FC"/>
          </w:tcPr>
          <w:p>
            <w:pPr>
              <w:pStyle w:val="Table-content"/>
              <w:spacing w:after="0"/>
            </w:pPr>
            <w:r/>
            <w:r>
              <w:rPr>
                <w:rFonts w:ascii="Arial" w:hAnsi="Arial"/>
                <w:b w:val="0"/>
                <w:color w:val="102A43"/>
                <w:sz w:val="16"/>
              </w:rPr>
              <w:t>Jointly prepare representative queries and relevance labels, with a held-out evaluation set.</w:t>
            </w:r>
          </w:p>
        </w:tc>
      </w:tr>
      <w:tr>
        <w:tc>
          <w:tcPr>
            <w:tcW w:type="dxa" w:w="893"/>
            <w:vAlign w:val="center"/>
          </w:tcPr>
          <w:p>
            <w:pPr>
              <w:pStyle w:val="Table-content"/>
              <w:spacing w:after="0"/>
            </w:pPr>
            <w:r/>
            <w:r>
              <w:rPr>
                <w:rFonts w:ascii="Arial" w:hAnsi="Arial"/>
                <w:b w:val="0"/>
                <w:color w:val="102A43"/>
                <w:sz w:val="16"/>
              </w:rPr>
              <w:t>QR-05</w:t>
            </w:r>
          </w:p>
        </w:tc>
        <w:tc>
          <w:tcPr>
            <w:tcW w:type="dxa" w:w="3384"/>
            <w:vAlign w:val="center"/>
          </w:tcPr>
          <w:p>
            <w:pPr>
              <w:pStyle w:val="Table-content"/>
              <w:spacing w:after="0"/>
            </w:pPr>
            <w:r/>
            <w:r>
              <w:rPr>
                <w:rFonts w:ascii="Arial" w:hAnsi="Arial"/>
                <w:b w:val="0"/>
                <w:color w:val="102A43"/>
                <w:sz w:val="16"/>
              </w:rPr>
              <w:t>Explanations contextually accurate in at least 80% of reviewed cases.</w:t>
            </w:r>
          </w:p>
        </w:tc>
        <w:tc>
          <w:tcPr>
            <w:tcW w:type="dxa" w:w="4723"/>
            <w:vAlign w:val="center"/>
          </w:tcPr>
          <w:p>
            <w:pPr>
              <w:pStyle w:val="Table-content"/>
              <w:spacing w:after="0"/>
            </w:pPr>
            <w:r/>
            <w:r>
              <w:rPr>
                <w:rFonts w:ascii="Arial" w:hAnsi="Arial"/>
                <w:b w:val="0"/>
                <w:color w:val="102A43"/>
                <w:sz w:val="16"/>
              </w:rPr>
              <w:t>Apply a source-grounding and contextual-accuracy review rubric to the evaluation sample.</w:t>
            </w:r>
          </w:p>
        </w:tc>
      </w:tr>
      <w:tr>
        <w:tc>
          <w:tcPr>
            <w:tcW w:type="dxa" w:w="893"/>
            <w:vAlign w:val="center"/>
            <w:shd w:fill="F4F8FC"/>
          </w:tcPr>
          <w:p>
            <w:pPr>
              <w:pStyle w:val="Table-content"/>
              <w:spacing w:after="0"/>
            </w:pPr>
            <w:r/>
            <w:r>
              <w:rPr>
                <w:rFonts w:ascii="Arial" w:hAnsi="Arial"/>
                <w:b w:val="0"/>
                <w:color w:val="102A43"/>
                <w:sz w:val="16"/>
              </w:rPr>
              <w:t>QR-06</w:t>
            </w:r>
          </w:p>
        </w:tc>
        <w:tc>
          <w:tcPr>
            <w:tcW w:type="dxa" w:w="3384"/>
            <w:vAlign w:val="center"/>
            <w:shd w:fill="F4F8FC"/>
          </w:tcPr>
          <w:p>
            <w:pPr>
              <w:pStyle w:val="Table-content"/>
              <w:spacing w:after="0"/>
            </w:pPr>
            <w:r/>
            <w:r>
              <w:rPr>
                <w:rFonts w:ascii="Arial" w:hAnsi="Arial"/>
                <w:b w:val="0"/>
                <w:color w:val="102A43"/>
                <w:sz w:val="16"/>
              </w:rPr>
              <w:t>At least one accepted recommendation in at least 70% of pilot sessions.</w:t>
            </w:r>
          </w:p>
        </w:tc>
        <w:tc>
          <w:tcPr>
            <w:tcW w:type="dxa" w:w="4723"/>
            <w:vAlign w:val="center"/>
            <w:shd w:fill="F4F8FC"/>
          </w:tcPr>
          <w:p>
            <w:pPr>
              <w:pStyle w:val="Table-content"/>
              <w:spacing w:after="0"/>
            </w:pPr>
            <w:r/>
            <w:r>
              <w:rPr>
                <w:rFonts w:ascii="Arial" w:hAnsi="Arial"/>
                <w:b w:val="0"/>
                <w:color w:val="102A43"/>
                <w:sz w:val="16"/>
              </w:rPr>
              <w:t>Record the defined acceptance action and calculate the result over complete pilot sessions.</w:t>
            </w:r>
          </w:p>
        </w:tc>
      </w:tr>
      <w:tr>
        <w:tc>
          <w:tcPr>
            <w:tcW w:type="dxa" w:w="893"/>
            <w:vAlign w:val="center"/>
          </w:tcPr>
          <w:p>
            <w:pPr>
              <w:pStyle w:val="Table-content"/>
              <w:spacing w:after="0"/>
            </w:pPr>
            <w:r/>
            <w:r>
              <w:rPr>
                <w:rFonts w:ascii="Arial" w:hAnsi="Arial"/>
                <w:b w:val="0"/>
                <w:color w:val="102A43"/>
                <w:sz w:val="16"/>
              </w:rPr>
              <w:t>QR-07</w:t>
            </w:r>
          </w:p>
        </w:tc>
        <w:tc>
          <w:tcPr>
            <w:tcW w:type="dxa" w:w="3384"/>
            <w:vAlign w:val="center"/>
          </w:tcPr>
          <w:p>
            <w:pPr>
              <w:pStyle w:val="Table-content"/>
              <w:spacing w:after="0"/>
            </w:pPr>
            <w:r/>
            <w:r>
              <w:rPr>
                <w:rFonts w:ascii="Arial" w:hAnsi="Arial"/>
                <w:b w:val="0"/>
                <w:color w:val="102A43"/>
                <w:sz w:val="16"/>
              </w:rPr>
              <w:t>At least 10 complete user-interaction sessions.</w:t>
            </w:r>
          </w:p>
        </w:tc>
        <w:tc>
          <w:tcPr>
            <w:tcW w:type="dxa" w:w="4723"/>
            <w:vAlign w:val="center"/>
          </w:tcPr>
          <w:p>
            <w:pPr>
              <w:pStyle w:val="Table-content"/>
              <w:spacing w:after="0"/>
            </w:pPr>
            <w:r/>
            <w:r>
              <w:rPr>
                <w:rFonts w:ascii="Arial" w:hAnsi="Arial"/>
                <w:b w:val="0"/>
                <w:color w:val="102A43"/>
                <w:sz w:val="16"/>
              </w:rPr>
              <w:t>Record complete session evidence for the final validation report.</w:t>
            </w:r>
          </w:p>
        </w:tc>
      </w:tr>
      <w:tr>
        <w:tc>
          <w:tcPr>
            <w:tcW w:type="dxa" w:w="893"/>
            <w:vAlign w:val="center"/>
            <w:shd w:fill="F4F8FC"/>
          </w:tcPr>
          <w:p>
            <w:pPr>
              <w:pStyle w:val="Table-content"/>
              <w:spacing w:after="0"/>
            </w:pPr>
            <w:r/>
            <w:r>
              <w:rPr>
                <w:rFonts w:ascii="Arial" w:hAnsi="Arial"/>
                <w:b w:val="0"/>
                <w:color w:val="102A43"/>
                <w:sz w:val="16"/>
              </w:rPr>
              <w:t>QR-08</w:t>
            </w:r>
          </w:p>
        </w:tc>
        <w:tc>
          <w:tcPr>
            <w:tcW w:type="dxa" w:w="3384"/>
            <w:vAlign w:val="center"/>
            <w:shd w:fill="F4F8FC"/>
          </w:tcPr>
          <w:p>
            <w:pPr>
              <w:pStyle w:val="Table-content"/>
              <w:spacing w:after="0"/>
            </w:pPr>
            <w:r/>
            <w:r>
              <w:rPr>
                <w:rFonts w:ascii="Arial" w:hAnsi="Arial"/>
                <w:b w:val="0"/>
                <w:color w:val="102A43"/>
                <w:sz w:val="16"/>
              </w:rPr>
              <w:t>Containerized, documented, reusable delivery with Apache-2.0 licensing for the core integration toolkit.</w:t>
            </w:r>
          </w:p>
        </w:tc>
        <w:tc>
          <w:tcPr>
            <w:tcW w:type="dxa" w:w="4723"/>
            <w:vAlign w:val="center"/>
            <w:shd w:fill="F4F8FC"/>
          </w:tcPr>
          <w:p>
            <w:pPr>
              <w:pStyle w:val="Table-content"/>
              <w:spacing w:after="0"/>
            </w:pPr>
            <w:r/>
            <w:r>
              <w:rPr>
                <w:rFonts w:ascii="Arial" w:hAnsi="Arial"/>
                <w:b w:val="0"/>
                <w:color w:val="102A43"/>
                <w:sz w:val="16"/>
              </w:rPr>
              <w:t>Maintain container, API, deployment, licence, and dependency documentation.</w:t>
            </w:r>
          </w:p>
        </w:tc>
      </w:tr>
      <w:tr>
        <w:tc>
          <w:tcPr>
            <w:tcW w:type="dxa" w:w="893"/>
            <w:vAlign w:val="center"/>
          </w:tcPr>
          <w:p>
            <w:pPr>
              <w:pStyle w:val="Table-content"/>
              <w:spacing w:after="0"/>
            </w:pPr>
            <w:r/>
            <w:r>
              <w:rPr>
                <w:rFonts w:ascii="Arial" w:hAnsi="Arial"/>
                <w:b w:val="0"/>
                <w:color w:val="102A43"/>
                <w:sz w:val="16"/>
              </w:rPr>
              <w:t>QR-09</w:t>
            </w:r>
          </w:p>
        </w:tc>
        <w:tc>
          <w:tcPr>
            <w:tcW w:type="dxa" w:w="3384"/>
            <w:vAlign w:val="center"/>
          </w:tcPr>
          <w:p>
            <w:pPr>
              <w:pStyle w:val="Table-content"/>
              <w:spacing w:after="0"/>
            </w:pPr>
            <w:r/>
            <w:r>
              <w:rPr>
                <w:rFonts w:ascii="Arial" w:hAnsi="Arial"/>
                <w:b w:val="0"/>
                <w:color w:val="102A43"/>
                <w:sz w:val="16"/>
              </w:rPr>
              <w:t>At least 80% unit and integration test coverage of core functionality.</w:t>
            </w:r>
          </w:p>
        </w:tc>
        <w:tc>
          <w:tcPr>
            <w:tcW w:type="dxa" w:w="4723"/>
            <w:vAlign w:val="center"/>
          </w:tcPr>
          <w:p>
            <w:pPr>
              <w:pStyle w:val="Table-content"/>
              <w:spacing w:after="0"/>
            </w:pPr>
            <w:r/>
            <w:r>
              <w:rPr>
                <w:rFonts w:ascii="Arial" w:hAnsi="Arial"/>
                <w:b w:val="0"/>
                <w:color w:val="102A43"/>
                <w:sz w:val="16"/>
              </w:rPr>
              <w:t>Measure the defined core code scope and publish the coverage report with test evidence.</w:t>
            </w:r>
          </w:p>
        </w:tc>
      </w:tr>
      <w:tr>
        <w:tc>
          <w:tcPr>
            <w:tcW w:type="dxa" w:w="893"/>
            <w:vAlign w:val="center"/>
            <w:shd w:fill="F4F8FC"/>
          </w:tcPr>
          <w:p>
            <w:pPr>
              <w:pStyle w:val="Table-content"/>
              <w:spacing w:after="0"/>
            </w:pPr>
            <w:r/>
            <w:r>
              <w:rPr>
                <w:rFonts w:ascii="Arial" w:hAnsi="Arial"/>
                <w:b w:val="0"/>
                <w:color w:val="102A43"/>
                <w:sz w:val="16"/>
              </w:rPr>
              <w:t>QR-10</w:t>
            </w:r>
          </w:p>
        </w:tc>
        <w:tc>
          <w:tcPr>
            <w:tcW w:type="dxa" w:w="3384"/>
            <w:vAlign w:val="center"/>
            <w:shd w:fill="F4F8FC"/>
          </w:tcPr>
          <w:p>
            <w:pPr>
              <w:pStyle w:val="Table-content"/>
              <w:spacing w:after="0"/>
            </w:pPr>
            <w:r/>
            <w:r>
              <w:rPr>
                <w:rFonts w:ascii="Arial" w:hAnsi="Arial"/>
                <w:b w:val="0"/>
                <w:color w:val="102A43"/>
                <w:sz w:val="16"/>
              </w:rPr>
              <w:t>Multilingual text input and multi-turn dialogue.</w:t>
            </w:r>
          </w:p>
        </w:tc>
        <w:tc>
          <w:tcPr>
            <w:tcW w:type="dxa" w:w="4723"/>
            <w:vAlign w:val="center"/>
            <w:shd w:fill="F4F8FC"/>
          </w:tcPr>
          <w:p>
            <w:pPr>
              <w:pStyle w:val="Table-content"/>
              <w:spacing w:after="0"/>
            </w:pPr>
            <w:r/>
            <w:r>
              <w:rPr>
                <w:rFonts w:ascii="Arial" w:hAnsi="Arial"/>
                <w:b w:val="0"/>
                <w:color w:val="102A43"/>
                <w:sz w:val="16"/>
              </w:rPr>
              <w:t>Include the selected pilot languages and representative dialogue scenarios in the test plan.</w:t>
            </w:r>
          </w:p>
        </w:tc>
      </w:tr>
    </w:tbl>
    <w:p>
      <w:pPr>
        <w:spacing w:after="0"/>
      </w:pPr>
    </w:p>
    <w:p>
      <w:pPr>
        <w:pStyle w:val="Heading2"/>
        <w:keepNext/>
      </w:pPr>
      <w:r>
        <w:t>2.3 Architecture principles</w:t>
      </w:r>
    </w:p>
    <w:p>
      <w:pPr>
        <w:pStyle w:val="BodyText"/>
        <w:spacing w:after="40"/>
        <w:ind w:left="340" w:hanging="198"/>
      </w:pPr>
      <w:r>
        <w:rPr>
          <w:b/>
        </w:rPr>
        <w:t xml:space="preserve">• </w:t>
      </w:r>
      <w:r>
        <w:t>Authoritative-source first: recommendations and explanations are grounded in App Store records obtained through the agreed interface.</w:t>
      </w:r>
    </w:p>
    <w:p>
      <w:pPr>
        <w:pStyle w:val="BodyText"/>
        <w:spacing w:after="40"/>
        <w:ind w:left="340" w:hanging="198"/>
      </w:pPr>
      <w:r>
        <w:rPr>
          <w:b/>
        </w:rPr>
        <w:t xml:space="preserve">• </w:t>
      </w:r>
      <w:r>
        <w:t>Contract before coupling: external schemas, identity behavior, and lifecycle rules are versioned and tested at the integration boundary.</w:t>
      </w:r>
    </w:p>
    <w:p>
      <w:pPr>
        <w:pStyle w:val="BodyText"/>
        <w:spacing w:after="40"/>
        <w:ind w:left="340" w:hanging="198"/>
      </w:pPr>
      <w:r>
        <w:rPr>
          <w:b/>
        </w:rPr>
        <w:t xml:space="preserve">• </w:t>
      </w:r>
      <w:r>
        <w:t>Functional portability: capabilities are defined independently of a single database, vector engine, cache, queue, or model runtime.</w:t>
      </w:r>
    </w:p>
    <w:p>
      <w:pPr>
        <w:pStyle w:val="BodyText"/>
        <w:spacing w:after="40"/>
        <w:ind w:left="340" w:hanging="198"/>
      </w:pPr>
      <w:r>
        <w:rPr>
          <w:b/>
        </w:rPr>
        <w:t xml:space="preserve">• </w:t>
      </w:r>
      <w:r>
        <w:t>Least privilege and data minimization: only the minimum agreed metadata, query context, and validation evidence cross each boundary.</w:t>
      </w:r>
    </w:p>
    <w:p>
      <w:pPr>
        <w:pStyle w:val="BodyText"/>
        <w:spacing w:after="40"/>
        <w:ind w:left="340" w:hanging="198"/>
      </w:pPr>
      <w:r>
        <w:rPr>
          <w:b/>
        </w:rPr>
        <w:t xml:space="preserve">• </w:t>
      </w:r>
      <w:r>
        <w:t>Observable outcomes: request, retrieval, synchronization, and validation timestamps are measurable without exposing sensitive content.</w:t>
      </w:r>
    </w:p>
    <w:p>
      <w:pPr>
        <w:pStyle w:val="BodyText"/>
        <w:spacing w:after="40"/>
        <w:ind w:left="340" w:hanging="198"/>
      </w:pPr>
      <w:r>
        <w:rPr>
          <w:b/>
        </w:rPr>
        <w:t xml:space="preserve">• </w:t>
      </w:r>
      <w:r>
        <w:t>Graceful degradation: failure of optional semantic or generation capabilities does not create unsupported recommendations.</w:t>
      </w:r>
    </w:p>
    <w:p>
      <w:pPr>
        <w:pStyle w:val="Heading1"/>
        <w:keepNext/>
      </w:pPr>
      <w:r>
        <w:t>3 SYSTEM CONTEXT AND BOUNDARIES</w:t>
      </w:r>
    </w:p>
    <w:p>
      <w:pPr>
        <w:pStyle w:val="Heading2"/>
        <w:keepNext/>
      </w:pPr>
      <w:r>
        <w:t>3.1 External context</w:t>
      </w:r>
    </w:p>
    <w:p>
      <w:pPr>
        <w:pStyle w:val="BodyText"/>
        <w:spacing w:after="100" w:line="259" w:lineRule="auto"/>
      </w:pPr>
      <w:r>
        <w:t>The solution spans two environments: the HEDGE-IoT App Store environment, which hosts the front end and catalogue interface, and the HEDGE-ExpertAI deployment environment, which hosts the assistant capabilities. Their integration covers the user-facing plug-in, catalogue metadata exchange, platform-supported access controls, and validation evidence.</w:t>
      </w:r>
    </w:p>
    <w:p>
      <w:pPr>
        <w:spacing w:before="80" w:after="0"/>
        <w:jc w:val="center"/>
      </w:pPr>
      <w:r>
        <w:drawing>
          <wp:inline xmlns:a="http://schemas.openxmlformats.org/drawingml/2006/main" xmlns:pic="http://schemas.openxmlformats.org/drawingml/2006/picture">
            <wp:extent cx="5806440" cy="4384454"/>
            <wp:docPr id="12" name="Picture 12"/>
            <wp:cNvGraphicFramePr>
              <a:graphicFrameLocks noChangeAspect="1"/>
            </wp:cNvGraphicFramePr>
            <a:graphic>
              <a:graphicData uri="http://schemas.openxmlformats.org/drawingml/2006/picture">
                <pic:pic>
                  <pic:nvPicPr>
                    <pic:cNvPr id="0" name="01-system-context.png"/>
                    <pic:cNvPicPr/>
                  </pic:nvPicPr>
                  <pic:blipFill>
                    <a:blip r:embed="rId20"/>
                    <a:stretch>
                      <a:fillRect/>
                    </a:stretch>
                  </pic:blipFill>
                  <pic:spPr>
                    <a:xfrm>
                      <a:off x="0" y="0"/>
                      <a:ext cx="5806440" cy="4384454"/>
                    </a:xfrm>
                    <a:prstGeom prst="rect"/>
                  </pic:spPr>
                </pic:pic>
              </a:graphicData>
            </a:graphic>
          </wp:inline>
        </w:drawing>
      </w:r>
    </w:p>
    <w:p>
      <w:pPr>
        <w:pStyle w:val="Caption"/>
        <w:spacing w:before="60" w:after="140"/>
        <w:jc w:val="center"/>
      </w:pPr>
      <w:r>
        <w:t xml:space="preserve">Figure </w:t>
      </w:r>
      <w:r>
        <w:fldChar w:fldCharType="begin" w:dirty="true"/>
        <w:instrText xml:space="preserve"> SEQ Figure \* ARABIC </w:instrText>
        <w:fldChar w:fldCharType="separate"/>
      </w:r>
      <w:r>
        <w:t>1</w:t>
      </w:r>
      <w:r>
        <w:fldChar w:fldCharType="end"/>
      </w:r>
      <w:r>
        <w:t>. Target system context and integration boundaries.</w:t>
      </w:r>
    </w:p>
    <w:p>
      <w:pPr>
        <w:pStyle w:val="Heading2"/>
        <w:keepNext/>
      </w:pPr>
      <w:r>
        <w:t>3.2 Trust boundaries</w:t>
      </w:r>
    </w:p>
    <w:p>
      <w:pPr>
        <w:pStyle w:val="BodyText"/>
        <w:spacing w:after="40"/>
        <w:ind w:left="340" w:hanging="198"/>
      </w:pPr>
      <w:r>
        <w:rPr>
          <w:b/>
        </w:rPr>
        <w:t xml:space="preserve">• </w:t>
      </w:r>
      <w:r>
        <w:t>The App Store-facing backend boundary provides the integration entry point for assistant requests.</w:t>
      </w:r>
    </w:p>
    <w:p>
      <w:pPr>
        <w:pStyle w:val="BodyText"/>
        <w:spacing w:after="40"/>
        <w:ind w:left="340" w:hanging="198"/>
      </w:pPr>
      <w:r>
        <w:rPr>
          <w:b/>
        </w:rPr>
        <w:t xml:space="preserve">• </w:t>
      </w:r>
      <w:r>
        <w:t>The official App Store interface provides the catalogue records used for discovery; its contract defines identifiers, fields, timestamps, and available lifecycle signals.</w:t>
      </w:r>
    </w:p>
    <w:p>
      <w:pPr>
        <w:pStyle w:val="BodyText"/>
        <w:spacing w:after="40"/>
        <w:ind w:left="340" w:hanging="198"/>
      </w:pPr>
      <w:r>
        <w:rPr>
          <w:b/>
        </w:rPr>
        <w:t xml:space="preserve">• </w:t>
      </w:r>
      <w:r>
        <w:t>Identity and access behavior follows the mechanism and policy supported by the App Store environment.</w:t>
      </w:r>
    </w:p>
    <w:p>
      <w:pPr>
        <w:pStyle w:val="BodyText"/>
        <w:spacing w:after="40"/>
        <w:ind w:left="340" w:hanging="198"/>
      </w:pPr>
      <w:r>
        <w:rPr>
          <w:b/>
        </w:rPr>
        <w:t xml:space="preserve">• </w:t>
      </w:r>
      <w:r>
        <w:t>The LLM receives only the query context and source records needed to create the response.</w:t>
      </w:r>
    </w:p>
    <w:p>
      <w:pPr>
        <w:pStyle w:val="BodyText"/>
        <w:spacing w:after="40"/>
        <w:ind w:left="340" w:hanging="198"/>
      </w:pPr>
      <w:r>
        <w:rPr>
          <w:b/>
        </w:rPr>
        <w:t xml:space="preserve">• </w:t>
      </w:r>
      <w:r>
        <w:t>Validation evidence is separated from catalogue data and handled according to the project retention and access policy.</w:t>
      </w:r>
    </w:p>
    <w:p>
      <w:pPr>
        <w:pStyle w:val="Heading2"/>
        <w:keepNext/>
      </w:pPr>
      <w:r>
        <w:t>3.3 Actors and responsibilities</w:t>
      </w:r>
    </w:p>
    <w:p>
      <w:pPr>
        <w:pStyle w:val="Caption"/>
        <w:keepNext/>
        <w:spacing w:before="100" w:after="60"/>
      </w:pPr>
      <w:r>
        <w:t xml:space="preserve">Table </w:t>
      </w:r>
      <w:r>
        <w:fldChar w:fldCharType="begin" w:dirty="true"/>
        <w:instrText xml:space="preserve"> SEQ Table \* ARABIC </w:instrText>
        <w:fldChar w:fldCharType="separate"/>
      </w:r>
      <w:r>
        <w:t>4</w:t>
      </w:r>
      <w:r>
        <w:fldChar w:fldCharType="end"/>
      </w:r>
      <w:r>
        <w:t>. Primary actors and responsibilities</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448"/>
            <w:vAlign w:val="center"/>
            <w:shd w:fill="2B6CB0"/>
          </w:tcPr>
          <w:p>
            <w:pPr>
              <w:pStyle w:val="Table-content"/>
              <w:spacing w:after="0"/>
            </w:pPr>
            <w:r/>
            <w:r>
              <w:rPr>
                <w:rFonts w:ascii="Arial" w:hAnsi="Arial"/>
                <w:b/>
                <w:color w:val="FFFFFF"/>
                <w:sz w:val="17"/>
              </w:rPr>
              <w:t>Actor</w:t>
            </w:r>
          </w:p>
        </w:tc>
        <w:tc>
          <w:tcPr>
            <w:tcW w:type="dxa" w:w="6552"/>
            <w:vAlign w:val="center"/>
            <w:shd w:fill="2B6CB0"/>
          </w:tcPr>
          <w:p>
            <w:pPr>
              <w:pStyle w:val="Table-content"/>
              <w:spacing w:after="0"/>
            </w:pPr>
            <w:r/>
            <w:r>
              <w:rPr>
                <w:rFonts w:ascii="Arial" w:hAnsi="Arial"/>
                <w:b/>
                <w:color w:val="FFFFFF"/>
                <w:sz w:val="17"/>
              </w:rPr>
              <w:t>Responsibility</w:t>
            </w:r>
          </w:p>
        </w:tc>
      </w:tr>
      <w:tr>
        <w:tc>
          <w:tcPr>
            <w:tcW w:type="dxa" w:w="2448"/>
            <w:vAlign w:val="center"/>
          </w:tcPr>
          <w:p>
            <w:pPr>
              <w:pStyle w:val="Table-content"/>
              <w:spacing w:after="0"/>
            </w:pPr>
            <w:r/>
            <w:r>
              <w:rPr>
                <w:rFonts w:ascii="Arial" w:hAnsi="Arial"/>
                <w:b w:val="0"/>
                <w:color w:val="102A43"/>
                <w:sz w:val="16"/>
              </w:rPr>
              <w:t>App Store user</w:t>
            </w:r>
          </w:p>
        </w:tc>
        <w:tc>
          <w:tcPr>
            <w:tcW w:type="dxa" w:w="6552"/>
            <w:vAlign w:val="center"/>
          </w:tcPr>
          <w:p>
            <w:pPr>
              <w:pStyle w:val="Table-content"/>
              <w:spacing w:after="0"/>
            </w:pPr>
            <w:r/>
            <w:r>
              <w:rPr>
                <w:rFonts w:ascii="Arial" w:hAnsi="Arial"/>
                <w:b w:val="0"/>
                <w:color w:val="102A43"/>
                <w:sz w:val="16"/>
              </w:rPr>
              <w:t>Express a need, review returned Apps and rationales, and provide feedback where consented.</w:t>
            </w:r>
          </w:p>
        </w:tc>
      </w:tr>
      <w:tr>
        <w:tc>
          <w:tcPr>
            <w:tcW w:type="dxa" w:w="2448"/>
            <w:vAlign w:val="center"/>
            <w:shd w:fill="F4F8FC"/>
          </w:tcPr>
          <w:p>
            <w:pPr>
              <w:pStyle w:val="Table-content"/>
              <w:spacing w:after="0"/>
            </w:pPr>
            <w:r/>
            <w:r>
              <w:rPr>
                <w:rFonts w:ascii="Arial" w:hAnsi="Arial"/>
                <w:b w:val="0"/>
                <w:color w:val="102A43"/>
                <w:sz w:val="16"/>
              </w:rPr>
              <w:t>HEDGE-IoT App Store technical contact</w:t>
            </w:r>
          </w:p>
        </w:tc>
        <w:tc>
          <w:tcPr>
            <w:tcW w:type="dxa" w:w="6552"/>
            <w:vAlign w:val="center"/>
            <w:shd w:fill="F4F8FC"/>
          </w:tcPr>
          <w:p>
            <w:pPr>
              <w:pStyle w:val="Table-content"/>
              <w:spacing w:after="0"/>
            </w:pPr>
            <w:r/>
            <w:r>
              <w:rPr>
                <w:rFonts w:ascii="Arial" w:hAnsi="Arial"/>
                <w:b w:val="0"/>
                <w:color w:val="102A43"/>
                <w:sz w:val="16"/>
              </w:rPr>
              <w:t>Provide the integration surface, catalogue contract, sandbox access process, and lifecycle semantics.</w:t>
            </w:r>
          </w:p>
        </w:tc>
      </w:tr>
      <w:tr>
        <w:tc>
          <w:tcPr>
            <w:tcW w:type="dxa" w:w="2448"/>
            <w:vAlign w:val="center"/>
          </w:tcPr>
          <w:p>
            <w:pPr>
              <w:pStyle w:val="Table-content"/>
              <w:spacing w:after="0"/>
            </w:pPr>
            <w:r/>
            <w:r>
              <w:rPr>
                <w:rFonts w:ascii="Arial" w:hAnsi="Arial"/>
                <w:b w:val="0"/>
                <w:color w:val="102A43"/>
                <w:sz w:val="16"/>
              </w:rPr>
              <w:t>HEDGE-IoT identity and security contact</w:t>
            </w:r>
          </w:p>
        </w:tc>
        <w:tc>
          <w:tcPr>
            <w:tcW w:type="dxa" w:w="6552"/>
            <w:vAlign w:val="center"/>
          </w:tcPr>
          <w:p>
            <w:pPr>
              <w:pStyle w:val="Table-content"/>
              <w:spacing w:after="0"/>
            </w:pPr>
            <w:r/>
            <w:r>
              <w:rPr>
                <w:rFonts w:ascii="Arial" w:hAnsi="Arial"/>
                <w:b w:val="0"/>
                <w:color w:val="102A43"/>
                <w:sz w:val="16"/>
              </w:rPr>
              <w:t>Provide the supported access context, browser policy, service-authentication approach, and security requirements.</w:t>
            </w:r>
          </w:p>
        </w:tc>
      </w:tr>
      <w:tr>
        <w:tc>
          <w:tcPr>
            <w:tcW w:type="dxa" w:w="2448"/>
            <w:vAlign w:val="center"/>
            <w:shd w:fill="F4F8FC"/>
          </w:tcPr>
          <w:p>
            <w:pPr>
              <w:pStyle w:val="Table-content"/>
              <w:spacing w:after="0"/>
            </w:pPr>
            <w:r/>
            <w:r>
              <w:rPr>
                <w:rFonts w:ascii="Arial" w:hAnsi="Arial"/>
                <w:b w:val="0"/>
                <w:color w:val="102A43"/>
                <w:sz w:val="16"/>
              </w:rPr>
              <w:t>Deployment operations contact</w:t>
            </w:r>
          </w:p>
        </w:tc>
        <w:tc>
          <w:tcPr>
            <w:tcW w:type="dxa" w:w="6552"/>
            <w:vAlign w:val="center"/>
            <w:shd w:fill="F4F8FC"/>
          </w:tcPr>
          <w:p>
            <w:pPr>
              <w:pStyle w:val="Table-content"/>
              <w:spacing w:after="0"/>
            </w:pPr>
            <w:r/>
            <w:r>
              <w:rPr>
                <w:rFonts w:ascii="Arial" w:hAnsi="Arial"/>
                <w:b w:val="0"/>
                <w:color w:val="102A43"/>
                <w:sz w:val="16"/>
              </w:rPr>
              <w:t>Provide hosting and network requirements where HEDGE infrastructure is used and coordinate operational handover.</w:t>
            </w:r>
          </w:p>
        </w:tc>
      </w:tr>
      <w:tr>
        <w:tc>
          <w:tcPr>
            <w:tcW w:type="dxa" w:w="2448"/>
            <w:vAlign w:val="center"/>
          </w:tcPr>
          <w:p>
            <w:pPr>
              <w:pStyle w:val="Table-content"/>
              <w:spacing w:after="0"/>
            </w:pPr>
            <w:r/>
            <w:r>
              <w:rPr>
                <w:rFonts w:ascii="Arial" w:hAnsi="Arial"/>
                <w:b w:val="0"/>
                <w:color w:val="102A43"/>
                <w:sz w:val="16"/>
              </w:rPr>
              <w:t>Project validation reviewers</w:t>
            </w:r>
          </w:p>
        </w:tc>
        <w:tc>
          <w:tcPr>
            <w:tcW w:type="dxa" w:w="6552"/>
            <w:vAlign w:val="center"/>
          </w:tcPr>
          <w:p>
            <w:pPr>
              <w:pStyle w:val="Table-content"/>
              <w:spacing w:after="0"/>
            </w:pPr>
            <w:r/>
            <w:r>
              <w:rPr>
                <w:rFonts w:ascii="Arial" w:hAnsi="Arial"/>
                <w:b w:val="0"/>
                <w:color w:val="102A43"/>
                <w:sz w:val="16"/>
              </w:rPr>
              <w:t>Collaborate on representative queries, relevance labels, review criteria, and validation evidence.</w:t>
            </w:r>
          </w:p>
        </w:tc>
      </w:tr>
      <w:tr>
        <w:tc>
          <w:tcPr>
            <w:tcW w:type="dxa" w:w="2448"/>
            <w:vAlign w:val="center"/>
            <w:shd w:fill="F4F8FC"/>
          </w:tcPr>
          <w:p>
            <w:pPr>
              <w:pStyle w:val="Table-content"/>
              <w:spacing w:after="0"/>
            </w:pPr>
            <w:r/>
            <w:r>
              <w:rPr>
                <w:rFonts w:ascii="Arial" w:hAnsi="Arial"/>
                <w:b w:val="0"/>
                <w:color w:val="102A43"/>
                <w:sz w:val="16"/>
              </w:rPr>
              <w:t>HEDGE-ExpertAI project team</w:t>
            </w:r>
          </w:p>
        </w:tc>
        <w:tc>
          <w:tcPr>
            <w:tcW w:type="dxa" w:w="6552"/>
            <w:vAlign w:val="center"/>
            <w:shd w:fill="F4F8FC"/>
          </w:tcPr>
          <w:p>
            <w:pPr>
              <w:pStyle w:val="Table-content"/>
              <w:spacing w:after="0"/>
            </w:pPr>
            <w:r/>
            <w:r>
              <w:rPr>
                <w:rFonts w:ascii="Arial" w:hAnsi="Arial"/>
                <w:b w:val="0"/>
                <w:color w:val="102A43"/>
                <w:sz w:val="16"/>
              </w:rPr>
              <w:t>Maintain the architecture; implement and test the integration contracts; provide documentation and validation artifacts.</w:t>
            </w:r>
          </w:p>
        </w:tc>
      </w:tr>
    </w:tbl>
    <w:p>
      <w:pPr>
        <w:spacing w:after="0"/>
      </w:pPr>
    </w:p>
    <w:p>
      <w:pPr>
        <w:pStyle w:val="Heading1"/>
        <w:keepNext/>
      </w:pPr>
      <w:r>
        <w:t>4 FUNCTIONAL ARCHITECTURE</w:t>
      </w:r>
    </w:p>
    <w:p>
      <w:pPr>
        <w:pStyle w:val="Heading2"/>
        <w:keepNext/>
      </w:pPr>
      <w:r>
        <w:t>4.1 Capability view</w:t>
      </w:r>
    </w:p>
    <w:p>
      <w:pPr>
        <w:pStyle w:val="BodyText"/>
        <w:spacing w:after="100" w:line="259" w:lineRule="auto"/>
      </w:pPr>
      <w:r>
        <w:t>The target design separates the online conversational path from catalogue synchronization. Both paths depend on normalized, provenance-aware metadata and meet at the discovery and ranking capability. This separation allows catalogue updates and user requests to be scaled, tested, and governed independently.</w:t>
      </w:r>
    </w:p>
    <w:p>
      <w:pPr>
        <w:spacing w:before="80" w:after="0"/>
        <w:jc w:val="center"/>
      </w:pPr>
      <w:r>
        <w:drawing>
          <wp:inline xmlns:a="http://schemas.openxmlformats.org/drawingml/2006/main" xmlns:pic="http://schemas.openxmlformats.org/drawingml/2006/picture">
            <wp:extent cx="5806440" cy="1992261"/>
            <wp:docPr id="13" name="Picture 13"/>
            <wp:cNvGraphicFramePr>
              <a:graphicFrameLocks noChangeAspect="1"/>
            </wp:cNvGraphicFramePr>
            <a:graphic>
              <a:graphicData uri="http://schemas.openxmlformats.org/drawingml/2006/picture">
                <pic:pic>
                  <pic:nvPicPr>
                    <pic:cNvPr id="0" name="02-functional-architecture.png"/>
                    <pic:cNvPicPr/>
                  </pic:nvPicPr>
                  <pic:blipFill>
                    <a:blip r:embed="rId21"/>
                    <a:stretch>
                      <a:fillRect/>
                    </a:stretch>
                  </pic:blipFill>
                  <pic:spPr>
                    <a:xfrm>
                      <a:off x="0" y="0"/>
                      <a:ext cx="5806440" cy="1992261"/>
                    </a:xfrm>
                    <a:prstGeom prst="rect"/>
                  </pic:spPr>
                </pic:pic>
              </a:graphicData>
            </a:graphic>
          </wp:inline>
        </w:drawing>
      </w:r>
    </w:p>
    <w:p>
      <w:pPr>
        <w:pStyle w:val="Caption"/>
        <w:spacing w:before="60" w:after="140"/>
        <w:jc w:val="center"/>
      </w:pPr>
      <w:r>
        <w:t xml:space="preserve">Figure </w:t>
      </w:r>
      <w:r>
        <w:fldChar w:fldCharType="begin" w:dirty="true"/>
        <w:instrText xml:space="preserve"> SEQ Figure \* ARABIC </w:instrText>
        <w:fldChar w:fldCharType="separate"/>
      </w:r>
      <w:r>
        <w:t>2</w:t>
      </w:r>
      <w:r>
        <w:fldChar w:fldCharType="end"/>
      </w:r>
      <w:r>
        <w:t>. Functional architecture and information flows.</w:t>
      </w:r>
    </w:p>
    <w:p>
      <w:pPr>
        <w:pStyle w:val="Heading2"/>
        <w:keepNext/>
      </w:pPr>
      <w:r>
        <w:t>4.2 Component responsibilities</w:t>
      </w:r>
    </w:p>
    <w:p>
      <w:pPr>
        <w:pStyle w:val="Caption"/>
        <w:keepNext/>
        <w:spacing w:before="100" w:after="60"/>
      </w:pPr>
      <w:r>
        <w:t xml:space="preserve">Table </w:t>
      </w:r>
      <w:r>
        <w:fldChar w:fldCharType="begin" w:dirty="true"/>
        <w:instrText xml:space="preserve"> SEQ Table \* ARABIC </w:instrText>
        <w:fldChar w:fldCharType="separate"/>
      </w:r>
      <w:r>
        <w:t>5</w:t>
      </w:r>
      <w:r>
        <w:fldChar w:fldCharType="end"/>
      </w:r>
      <w:r>
        <w:t>. Target components and responsibilities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944"/>
            <w:vAlign w:val="center"/>
            <w:shd w:fill="2B6CB0"/>
          </w:tcPr>
          <w:p>
            <w:pPr>
              <w:pStyle w:val="Table-content"/>
              <w:spacing w:after="0"/>
            </w:pPr>
            <w:r/>
            <w:r>
              <w:rPr>
                <w:rFonts w:ascii="Arial" w:hAnsi="Arial"/>
                <w:b/>
                <w:color w:val="FFFFFF"/>
                <w:sz w:val="17"/>
              </w:rPr>
              <w:t>Component</w:t>
            </w:r>
          </w:p>
        </w:tc>
        <w:tc>
          <w:tcPr>
            <w:tcW w:type="dxa" w:w="4608"/>
            <w:vAlign w:val="center"/>
            <w:shd w:fill="2B6CB0"/>
          </w:tcPr>
          <w:p>
            <w:pPr>
              <w:pStyle w:val="Table-content"/>
              <w:spacing w:after="0"/>
            </w:pPr>
            <w:r/>
            <w:r>
              <w:rPr>
                <w:rFonts w:ascii="Arial" w:hAnsi="Arial"/>
                <w:b/>
                <w:color w:val="FFFFFF"/>
                <w:sz w:val="17"/>
              </w:rPr>
              <w:t>Responsibility</w:t>
            </w:r>
          </w:p>
        </w:tc>
        <w:tc>
          <w:tcPr>
            <w:tcW w:type="dxa" w:w="2520"/>
            <w:vAlign w:val="center"/>
            <w:shd w:fill="2B6CB0"/>
          </w:tcPr>
          <w:p>
            <w:pPr>
              <w:pStyle w:val="Table-content"/>
              <w:spacing w:after="0"/>
            </w:pPr>
            <w:r/>
            <w:r>
              <w:rPr>
                <w:rFonts w:ascii="Arial" w:hAnsi="Arial"/>
                <w:b/>
                <w:color w:val="FFFFFF"/>
                <w:sz w:val="17"/>
              </w:rPr>
              <w:t>Principal interface or state</w:t>
            </w:r>
          </w:p>
        </w:tc>
      </w:tr>
      <w:tr>
        <w:tc>
          <w:tcPr>
            <w:tcW w:type="dxa" w:w="1944"/>
            <w:vAlign w:val="center"/>
          </w:tcPr>
          <w:p>
            <w:pPr>
              <w:pStyle w:val="Table-content"/>
              <w:spacing w:after="0"/>
            </w:pPr>
            <w:r/>
            <w:r>
              <w:rPr>
                <w:rFonts w:ascii="Arial" w:hAnsi="Arial"/>
                <w:b w:val="0"/>
                <w:color w:val="102A43"/>
                <w:sz w:val="16"/>
              </w:rPr>
              <w:t>App Store plug-in</w:t>
            </w:r>
          </w:p>
        </w:tc>
        <w:tc>
          <w:tcPr>
            <w:tcW w:type="dxa" w:w="4608"/>
            <w:vAlign w:val="center"/>
          </w:tcPr>
          <w:p>
            <w:pPr>
              <w:pStyle w:val="Table-content"/>
              <w:spacing w:after="0"/>
            </w:pPr>
            <w:r/>
            <w:r>
              <w:rPr>
                <w:rFonts w:ascii="Arial" w:hAnsi="Arial"/>
                <w:b w:val="0"/>
                <w:color w:val="102A43"/>
                <w:sz w:val="16"/>
              </w:rPr>
              <w:t>Capture natural-language requests; render recommendations, rationales, source links, and pilot feedback controls.</w:t>
            </w:r>
          </w:p>
        </w:tc>
        <w:tc>
          <w:tcPr>
            <w:tcW w:type="dxa" w:w="2520"/>
            <w:vAlign w:val="center"/>
          </w:tcPr>
          <w:p>
            <w:pPr>
              <w:pStyle w:val="Table-content"/>
              <w:spacing w:after="0"/>
            </w:pPr>
            <w:r/>
            <w:r>
              <w:rPr>
                <w:rFonts w:ascii="Arial" w:hAnsi="Arial"/>
                <w:b w:val="0"/>
                <w:color w:val="102A43"/>
                <w:sz w:val="16"/>
              </w:rPr>
              <w:t>HEDGE front end; HTTPS request/response or the selected streaming pattern.</w:t>
            </w:r>
          </w:p>
        </w:tc>
      </w:tr>
      <w:tr>
        <w:tc>
          <w:tcPr>
            <w:tcW w:type="dxa" w:w="1944"/>
            <w:vAlign w:val="center"/>
            <w:shd w:fill="F4F8FC"/>
          </w:tcPr>
          <w:p>
            <w:pPr>
              <w:pStyle w:val="Table-content"/>
              <w:spacing w:after="0"/>
            </w:pPr>
            <w:r/>
            <w:r>
              <w:rPr>
                <w:rFonts w:ascii="Arial" w:hAnsi="Arial"/>
                <w:b w:val="0"/>
                <w:color w:val="102A43"/>
                <w:sz w:val="16"/>
              </w:rPr>
              <w:t>Backend boundary</w:t>
            </w:r>
          </w:p>
        </w:tc>
        <w:tc>
          <w:tcPr>
            <w:tcW w:type="dxa" w:w="4608"/>
            <w:vAlign w:val="center"/>
            <w:shd w:fill="F4F8FC"/>
          </w:tcPr>
          <w:p>
            <w:pPr>
              <w:pStyle w:val="Table-content"/>
              <w:spacing w:after="0"/>
            </w:pPr>
            <w:r/>
            <w:r>
              <w:rPr>
                <w:rFonts w:ascii="Arial" w:hAnsi="Arial"/>
                <w:b w:val="0"/>
                <w:color w:val="102A43"/>
                <w:sz w:val="16"/>
              </w:rPr>
              <w:t>Apply access policy, request validation, routing, rate control, correlation identifiers, and API versioning.</w:t>
            </w:r>
          </w:p>
        </w:tc>
        <w:tc>
          <w:tcPr>
            <w:tcW w:type="dxa" w:w="2520"/>
            <w:vAlign w:val="center"/>
            <w:shd w:fill="F4F8FC"/>
          </w:tcPr>
          <w:p>
            <w:pPr>
              <w:pStyle w:val="Table-content"/>
              <w:spacing w:after="0"/>
            </w:pPr>
            <w:r/>
            <w:r>
              <w:rPr>
                <w:rFonts w:ascii="Arial" w:hAnsi="Arial"/>
                <w:b w:val="0"/>
                <w:color w:val="102A43"/>
                <w:sz w:val="16"/>
              </w:rPr>
              <w:t>OpenAPI-documented external contract.</w:t>
            </w:r>
          </w:p>
        </w:tc>
      </w:tr>
      <w:tr>
        <w:tc>
          <w:tcPr>
            <w:tcW w:type="dxa" w:w="1944"/>
            <w:vAlign w:val="center"/>
          </w:tcPr>
          <w:p>
            <w:pPr>
              <w:pStyle w:val="Table-content"/>
              <w:spacing w:after="0"/>
            </w:pPr>
            <w:r/>
            <w:r>
              <w:rPr>
                <w:rFonts w:ascii="Arial" w:hAnsi="Arial"/>
                <w:b w:val="0"/>
                <w:color w:val="102A43"/>
                <w:sz w:val="16"/>
              </w:rPr>
              <w:t>Chat and intent</w:t>
            </w:r>
          </w:p>
        </w:tc>
        <w:tc>
          <w:tcPr>
            <w:tcW w:type="dxa" w:w="4608"/>
            <w:vAlign w:val="center"/>
          </w:tcPr>
          <w:p>
            <w:pPr>
              <w:pStyle w:val="Table-content"/>
              <w:spacing w:after="0"/>
            </w:pPr>
            <w:r/>
            <w:r>
              <w:rPr>
                <w:rFonts w:ascii="Arial" w:hAnsi="Arial"/>
                <w:b w:val="0"/>
                <w:color w:val="102A43"/>
                <w:sz w:val="16"/>
              </w:rPr>
              <w:t>Interpret intent and entities; manage the agreed conversational context; coordinate response assembly.</w:t>
            </w:r>
          </w:p>
        </w:tc>
        <w:tc>
          <w:tcPr>
            <w:tcW w:type="dxa" w:w="2520"/>
            <w:vAlign w:val="center"/>
          </w:tcPr>
          <w:p>
            <w:pPr>
              <w:pStyle w:val="Table-content"/>
              <w:spacing w:after="0"/>
            </w:pPr>
            <w:r/>
            <w:r>
              <w:rPr>
                <w:rFonts w:ascii="Arial" w:hAnsi="Arial"/>
                <w:b w:val="0"/>
                <w:color w:val="102A43"/>
                <w:sz w:val="16"/>
              </w:rPr>
              <w:t>RASA interface and application session context.</w:t>
            </w:r>
          </w:p>
        </w:tc>
      </w:tr>
      <w:tr>
        <w:tc>
          <w:tcPr>
            <w:tcW w:type="dxa" w:w="1944"/>
            <w:vAlign w:val="center"/>
            <w:shd w:fill="F4F8FC"/>
          </w:tcPr>
          <w:p>
            <w:pPr>
              <w:pStyle w:val="Table-content"/>
              <w:spacing w:after="0"/>
            </w:pPr>
            <w:r/>
            <w:r>
              <w:rPr>
                <w:rFonts w:ascii="Arial" w:hAnsi="Arial"/>
                <w:b w:val="0"/>
                <w:color w:val="102A43"/>
                <w:sz w:val="16"/>
              </w:rPr>
              <w:t>Expert recommendation</w:t>
            </w:r>
          </w:p>
        </w:tc>
        <w:tc>
          <w:tcPr>
            <w:tcW w:type="dxa" w:w="4608"/>
            <w:vAlign w:val="center"/>
            <w:shd w:fill="F4F8FC"/>
          </w:tcPr>
          <w:p>
            <w:pPr>
              <w:pStyle w:val="Table-content"/>
              <w:spacing w:after="0"/>
            </w:pPr>
            <w:r/>
            <w:r>
              <w:rPr>
                <w:rFonts w:ascii="Arial" w:hAnsi="Arial"/>
                <w:b w:val="0"/>
                <w:color w:val="102A43"/>
                <w:sz w:val="16"/>
              </w:rPr>
              <w:t>Refine the search intent; request ranked candidates; create concise grounded rationales; apply output checks and fallback rules.</w:t>
            </w:r>
          </w:p>
        </w:tc>
        <w:tc>
          <w:tcPr>
            <w:tcW w:type="dxa" w:w="2520"/>
            <w:vAlign w:val="center"/>
            <w:shd w:fill="F4F8FC"/>
          </w:tcPr>
          <w:p>
            <w:pPr>
              <w:pStyle w:val="Table-content"/>
              <w:spacing w:after="0"/>
            </w:pPr>
            <w:r/>
            <w:r>
              <w:rPr>
                <w:rFonts w:ascii="Arial" w:hAnsi="Arial"/>
                <w:b w:val="0"/>
                <w:color w:val="102A43"/>
                <w:sz w:val="16"/>
              </w:rPr>
              <w:t>Discovery/ranking interface and selected LLM runtime.</w:t>
            </w:r>
          </w:p>
        </w:tc>
      </w:tr>
      <w:tr>
        <w:tc>
          <w:tcPr>
            <w:tcW w:type="dxa" w:w="1944"/>
            <w:vAlign w:val="center"/>
          </w:tcPr>
          <w:p>
            <w:pPr>
              <w:pStyle w:val="Table-content"/>
              <w:spacing w:after="0"/>
            </w:pPr>
            <w:r/>
            <w:r>
              <w:rPr>
                <w:rFonts w:ascii="Arial" w:hAnsi="Arial"/>
                <w:b w:val="0"/>
                <w:color w:val="102A43"/>
                <w:sz w:val="16"/>
              </w:rPr>
              <w:t>Discovery and ranking</w:t>
            </w:r>
          </w:p>
        </w:tc>
        <w:tc>
          <w:tcPr>
            <w:tcW w:type="dxa" w:w="4608"/>
            <w:vAlign w:val="center"/>
          </w:tcPr>
          <w:p>
            <w:pPr>
              <w:pStyle w:val="Table-content"/>
              <w:spacing w:after="0"/>
            </w:pPr>
            <w:r/>
            <w:r>
              <w:rPr>
                <w:rFonts w:ascii="Arial" w:hAnsi="Arial"/>
                <w:b w:val="0"/>
                <w:color w:val="102A43"/>
                <w:sz w:val="16"/>
              </w:rPr>
              <w:t>Retrieve lexical and semantic candidates, combine rankings, apply filters and optional authoritative SAREF signals.</w:t>
            </w:r>
          </w:p>
        </w:tc>
        <w:tc>
          <w:tcPr>
            <w:tcW w:type="dxa" w:w="2520"/>
            <w:vAlign w:val="center"/>
          </w:tcPr>
          <w:p>
            <w:pPr>
              <w:pStyle w:val="Table-content"/>
              <w:spacing w:after="0"/>
            </w:pPr>
            <w:r/>
            <w:r>
              <w:rPr>
                <w:rFonts w:ascii="Arial" w:hAnsi="Arial"/>
                <w:b w:val="0"/>
                <w:color w:val="102A43"/>
                <w:sz w:val="16"/>
              </w:rPr>
              <w:t>Keyword and vector representations.</w:t>
            </w:r>
          </w:p>
        </w:tc>
      </w:tr>
      <w:tr>
        <w:tc>
          <w:tcPr>
            <w:tcW w:type="dxa" w:w="1944"/>
            <w:vAlign w:val="center"/>
            <w:shd w:fill="F4F8FC"/>
          </w:tcPr>
          <w:p>
            <w:pPr>
              <w:pStyle w:val="Table-content"/>
              <w:spacing w:after="0"/>
            </w:pPr>
            <w:r/>
            <w:r>
              <w:rPr>
                <w:rFonts w:ascii="Arial" w:hAnsi="Arial"/>
                <w:b w:val="0"/>
                <w:color w:val="102A43"/>
                <w:sz w:val="16"/>
              </w:rPr>
              <w:t>Catalogue ingestion</w:t>
            </w:r>
          </w:p>
        </w:tc>
        <w:tc>
          <w:tcPr>
            <w:tcW w:type="dxa" w:w="4608"/>
            <w:vAlign w:val="center"/>
            <w:shd w:fill="F4F8FC"/>
          </w:tcPr>
          <w:p>
            <w:pPr>
              <w:pStyle w:val="Table-content"/>
              <w:spacing w:after="0"/>
            </w:pPr>
            <w:r/>
            <w:r>
              <w:rPr>
                <w:rFonts w:ascii="Arial" w:hAnsi="Arial"/>
                <w:b w:val="0"/>
                <w:color w:val="102A43"/>
                <w:sz w:val="16"/>
              </w:rPr>
              <w:t>Acquire, validate, normalize, compare, and apply catalogue lifecycle changes with provenance and retry controls.</w:t>
            </w:r>
          </w:p>
        </w:tc>
        <w:tc>
          <w:tcPr>
            <w:tcW w:type="dxa" w:w="2520"/>
            <w:vAlign w:val="center"/>
            <w:shd w:fill="F4F8FC"/>
          </w:tcPr>
          <w:p>
            <w:pPr>
              <w:pStyle w:val="Table-content"/>
              <w:spacing w:after="0"/>
            </w:pPr>
            <w:r/>
            <w:r>
              <w:rPr>
                <w:rFonts w:ascii="Arial" w:hAnsi="Arial"/>
                <w:b w:val="0"/>
                <w:color w:val="102A43"/>
                <w:sz w:val="16"/>
              </w:rPr>
              <w:t>Official metadata contract and synchronization evidence.</w:t>
            </w:r>
          </w:p>
        </w:tc>
      </w:tr>
      <w:tr>
        <w:tc>
          <w:tcPr>
            <w:tcW w:type="dxa" w:w="1944"/>
            <w:vAlign w:val="center"/>
          </w:tcPr>
          <w:p>
            <w:pPr>
              <w:pStyle w:val="Table-content"/>
              <w:spacing w:after="0"/>
            </w:pPr>
            <w:r/>
            <w:r>
              <w:rPr>
                <w:rFonts w:ascii="Arial" w:hAnsi="Arial"/>
                <w:b w:val="0"/>
                <w:color w:val="102A43"/>
                <w:sz w:val="16"/>
              </w:rPr>
              <w:t>Metadata repository</w:t>
            </w:r>
          </w:p>
        </w:tc>
        <w:tc>
          <w:tcPr>
            <w:tcW w:type="dxa" w:w="4608"/>
            <w:vAlign w:val="center"/>
          </w:tcPr>
          <w:p>
            <w:pPr>
              <w:pStyle w:val="Table-content"/>
              <w:spacing w:after="0"/>
            </w:pPr>
            <w:r/>
            <w:r>
              <w:rPr>
                <w:rFonts w:ascii="Arial" w:hAnsi="Arial"/>
                <w:b w:val="0"/>
                <w:color w:val="102A43"/>
                <w:sz w:val="16"/>
              </w:rPr>
              <w:t>Maintain canonical normalized records, source identifiers, versions, timestamps, lifecycle status, and provenance.</w:t>
            </w:r>
          </w:p>
        </w:tc>
        <w:tc>
          <w:tcPr>
            <w:tcW w:type="dxa" w:w="2520"/>
            <w:vAlign w:val="center"/>
          </w:tcPr>
          <w:p>
            <w:pPr>
              <w:pStyle w:val="Table-content"/>
              <w:spacing w:after="0"/>
            </w:pPr>
            <w:r/>
            <w:r>
              <w:rPr>
                <w:rFonts w:ascii="Arial" w:hAnsi="Arial"/>
                <w:b w:val="0"/>
                <w:color w:val="102A43"/>
                <w:sz w:val="16"/>
              </w:rPr>
              <w:t>Authoritative internal representation derived from HEDGE records.</w:t>
            </w:r>
          </w:p>
        </w:tc>
      </w:tr>
      <w:tr>
        <w:tc>
          <w:tcPr>
            <w:tcW w:type="dxa" w:w="1944"/>
            <w:vAlign w:val="center"/>
            <w:shd w:fill="F4F8FC"/>
          </w:tcPr>
          <w:p>
            <w:pPr>
              <w:pStyle w:val="Table-content"/>
              <w:spacing w:after="0"/>
            </w:pPr>
            <w:r/>
            <w:r>
              <w:rPr>
                <w:rFonts w:ascii="Arial" w:hAnsi="Arial"/>
                <w:b w:val="0"/>
                <w:color w:val="102A43"/>
                <w:sz w:val="16"/>
              </w:rPr>
              <w:t>Retrieval indexes</w:t>
            </w:r>
          </w:p>
        </w:tc>
        <w:tc>
          <w:tcPr>
            <w:tcW w:type="dxa" w:w="4608"/>
            <w:vAlign w:val="center"/>
            <w:shd w:fill="F4F8FC"/>
          </w:tcPr>
          <w:p>
            <w:pPr>
              <w:pStyle w:val="Table-content"/>
              <w:spacing w:after="0"/>
            </w:pPr>
            <w:r/>
            <w:r>
              <w:rPr>
                <w:rFonts w:ascii="Arial" w:hAnsi="Arial"/>
                <w:b w:val="0"/>
                <w:color w:val="102A43"/>
                <w:sz w:val="16"/>
              </w:rPr>
              <w:t>Provide replaceable lexical and semantic search representations derived from normalized metadata.</w:t>
            </w:r>
          </w:p>
        </w:tc>
        <w:tc>
          <w:tcPr>
            <w:tcW w:type="dxa" w:w="2520"/>
            <w:vAlign w:val="center"/>
            <w:shd w:fill="F4F8FC"/>
          </w:tcPr>
          <w:p>
            <w:pPr>
              <w:pStyle w:val="Table-content"/>
              <w:spacing w:after="0"/>
            </w:pPr>
            <w:r/>
            <w:r>
              <w:rPr>
                <w:rFonts w:ascii="Arial" w:hAnsi="Arial"/>
                <w:b w:val="0"/>
                <w:color w:val="102A43"/>
                <w:sz w:val="16"/>
              </w:rPr>
              <w:t>Keyword and vector indexes; rebuildable from canonical records.</w:t>
            </w:r>
          </w:p>
        </w:tc>
      </w:tr>
      <w:tr>
        <w:tc>
          <w:tcPr>
            <w:tcW w:type="dxa" w:w="1944"/>
            <w:vAlign w:val="center"/>
          </w:tcPr>
          <w:p>
            <w:pPr>
              <w:pStyle w:val="Table-content"/>
              <w:spacing w:after="0"/>
            </w:pPr>
            <w:r/>
            <w:r>
              <w:rPr>
                <w:rFonts w:ascii="Arial" w:hAnsi="Arial"/>
                <w:b w:val="0"/>
                <w:color w:val="102A43"/>
                <w:sz w:val="16"/>
              </w:rPr>
              <w:t>HEDGE Expert Corpus</w:t>
            </w:r>
          </w:p>
        </w:tc>
        <w:tc>
          <w:tcPr>
            <w:tcW w:type="dxa" w:w="4608"/>
            <w:vAlign w:val="center"/>
          </w:tcPr>
          <w:p>
            <w:pPr>
              <w:pStyle w:val="Table-content"/>
              <w:spacing w:after="0"/>
            </w:pPr>
            <w:r/>
            <w:r>
              <w:rPr>
                <w:rFonts w:ascii="Arial" w:hAnsi="Arial"/>
                <w:b w:val="0"/>
                <w:color w:val="102A43"/>
                <w:sz w:val="16"/>
              </w:rPr>
              <w:t>Provide curated contextual material for domain adaptation, query interpretation, and source-grounded explanations.</w:t>
            </w:r>
          </w:p>
        </w:tc>
        <w:tc>
          <w:tcPr>
            <w:tcW w:type="dxa" w:w="2520"/>
            <w:vAlign w:val="center"/>
          </w:tcPr>
          <w:p>
            <w:pPr>
              <w:pStyle w:val="Table-content"/>
              <w:spacing w:after="0"/>
            </w:pPr>
            <w:r/>
            <w:r>
              <w:rPr>
                <w:rFonts w:ascii="Arial" w:hAnsi="Arial"/>
                <w:b w:val="0"/>
                <w:color w:val="102A43"/>
                <w:sz w:val="16"/>
              </w:rPr>
              <w:t>Corpus manifest, provenance, versions, and access policy.</w:t>
            </w:r>
          </w:p>
        </w:tc>
      </w:tr>
      <w:tr>
        <w:tc>
          <w:tcPr>
            <w:tcW w:type="dxa" w:w="1944"/>
            <w:vAlign w:val="center"/>
            <w:shd w:fill="F4F8FC"/>
          </w:tcPr>
          <w:p>
            <w:pPr>
              <w:pStyle w:val="Table-content"/>
              <w:spacing w:after="0"/>
            </w:pPr>
            <w:r/>
            <w:r>
              <w:rPr>
                <w:rFonts w:ascii="Arial" w:hAnsi="Arial"/>
                <w:b w:val="0"/>
                <w:color w:val="102A43"/>
                <w:sz w:val="16"/>
              </w:rPr>
              <w:t>Validation evidence</w:t>
            </w:r>
          </w:p>
        </w:tc>
        <w:tc>
          <w:tcPr>
            <w:tcW w:type="dxa" w:w="4608"/>
            <w:vAlign w:val="center"/>
            <w:shd w:fill="F4F8FC"/>
          </w:tcPr>
          <w:p>
            <w:pPr>
              <w:pStyle w:val="Table-content"/>
              <w:spacing w:after="0"/>
            </w:pPr>
            <w:r/>
            <w:r>
              <w:rPr>
                <w:rFonts w:ascii="Arial" w:hAnsi="Arial"/>
                <w:b w:val="0"/>
                <w:color w:val="102A43"/>
                <w:sz w:val="16"/>
              </w:rPr>
              <w:t>Support the future recording of metric inputs and validation results without unnecessary query-content retention.</w:t>
            </w:r>
          </w:p>
        </w:tc>
        <w:tc>
          <w:tcPr>
            <w:tcW w:type="dxa" w:w="2520"/>
            <w:vAlign w:val="center"/>
            <w:shd w:fill="F4F8FC"/>
          </w:tcPr>
          <w:p>
            <w:pPr>
              <w:pStyle w:val="Table-content"/>
              <w:spacing w:after="0"/>
            </w:pPr>
            <w:r/>
            <w:r>
              <w:rPr>
                <w:rFonts w:ascii="Arial" w:hAnsi="Arial"/>
                <w:b w:val="0"/>
                <w:color w:val="102A43"/>
                <w:sz w:val="16"/>
              </w:rPr>
              <w:t>Controlled evidence structure and export format.</w:t>
            </w:r>
          </w:p>
        </w:tc>
      </w:tr>
    </w:tbl>
    <w:p>
      <w:pPr>
        <w:spacing w:after="0"/>
      </w:pPr>
    </w:p>
    <w:p>
      <w:pPr>
        <w:pStyle w:val="Heading2"/>
        <w:keepNext/>
      </w:pPr>
      <w:r>
        <w:t>4.3 Technology alignment</w:t>
      </w:r>
    </w:p>
    <w:p>
      <w:pPr>
        <w:pStyle w:val="BodyText"/>
        <w:spacing w:after="100" w:line="259" w:lineRule="auto"/>
      </w:pPr>
      <w:r>
        <w:t>The project technology baseline uses open-source frameworks and portable interfaces across the conversational, retrieval, ingestion, and delivery layers.</w:t>
      </w:r>
    </w:p>
    <w:p>
      <w:pPr>
        <w:pStyle w:val="Caption"/>
        <w:keepNext/>
        <w:spacing w:before="100" w:after="60"/>
      </w:pPr>
      <w:r>
        <w:t xml:space="preserve">Table </w:t>
      </w:r>
      <w:r>
        <w:fldChar w:fldCharType="begin" w:dirty="true"/>
        <w:instrText xml:space="preserve"> SEQ Table \* ARABIC </w:instrText>
        <w:fldChar w:fldCharType="separate"/>
      </w:r>
      <w:r>
        <w:t>6</w:t>
      </w:r>
      <w:r>
        <w:fldChar w:fldCharType="end"/>
      </w:r>
      <w:r>
        <w:t>. Project technology baseline</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520"/>
            <w:vAlign w:val="center"/>
            <w:shd w:fill="2B6CB0"/>
          </w:tcPr>
          <w:p>
            <w:pPr>
              <w:pStyle w:val="Table-content"/>
              <w:spacing w:after="0"/>
            </w:pPr>
            <w:r/>
            <w:r>
              <w:rPr>
                <w:rFonts w:ascii="Arial" w:hAnsi="Arial"/>
                <w:b/>
                <w:color w:val="FFFFFF"/>
                <w:sz w:val="17"/>
              </w:rPr>
              <w:t>Area</w:t>
            </w:r>
          </w:p>
        </w:tc>
        <w:tc>
          <w:tcPr>
            <w:tcW w:type="dxa" w:w="6480"/>
            <w:vAlign w:val="center"/>
            <w:shd w:fill="2B6CB0"/>
          </w:tcPr>
          <w:p>
            <w:pPr>
              <w:pStyle w:val="Table-content"/>
              <w:spacing w:after="0"/>
            </w:pPr>
            <w:r/>
            <w:r>
              <w:rPr>
                <w:rFonts w:ascii="Arial" w:hAnsi="Arial"/>
                <w:b/>
                <w:color w:val="FFFFFF"/>
                <w:sz w:val="17"/>
              </w:rPr>
              <w:t>Technology baseline</w:t>
            </w:r>
          </w:p>
        </w:tc>
      </w:tr>
      <w:tr>
        <w:tc>
          <w:tcPr>
            <w:tcW w:type="dxa" w:w="2520"/>
            <w:vAlign w:val="center"/>
          </w:tcPr>
          <w:p>
            <w:pPr>
              <w:pStyle w:val="Table-content"/>
              <w:spacing w:after="0"/>
            </w:pPr>
            <w:r/>
            <w:r>
              <w:rPr>
                <w:rFonts w:ascii="Arial" w:hAnsi="Arial"/>
                <w:b w:val="0"/>
                <w:color w:val="102A43"/>
                <w:sz w:val="16"/>
              </w:rPr>
              <w:t>Conversation and integration</w:t>
            </w:r>
          </w:p>
        </w:tc>
        <w:tc>
          <w:tcPr>
            <w:tcW w:type="dxa" w:w="6480"/>
            <w:vAlign w:val="center"/>
          </w:tcPr>
          <w:p>
            <w:pPr>
              <w:pStyle w:val="Table-content"/>
              <w:spacing w:after="0"/>
            </w:pPr>
            <w:r/>
            <w:r>
              <w:rPr>
                <w:rFonts w:ascii="Arial" w:hAnsi="Arial"/>
                <w:b w:val="0"/>
                <w:color w:val="102A43"/>
                <w:sz w:val="16"/>
              </w:rPr>
              <w:t>RASA/Python; FastAPI endpoints; lightweight JavaScript plug-in; HTTPS; OAuth-compatible authentication if required.</w:t>
            </w:r>
          </w:p>
        </w:tc>
      </w:tr>
      <w:tr>
        <w:tc>
          <w:tcPr>
            <w:tcW w:type="dxa" w:w="2520"/>
            <w:vAlign w:val="center"/>
            <w:shd w:fill="F4F8FC"/>
          </w:tcPr>
          <w:p>
            <w:pPr>
              <w:pStyle w:val="Table-content"/>
              <w:spacing w:after="0"/>
            </w:pPr>
            <w:r/>
            <w:r>
              <w:rPr>
                <w:rFonts w:ascii="Arial" w:hAnsi="Arial"/>
                <w:b w:val="0"/>
                <w:color w:val="102A43"/>
                <w:sz w:val="16"/>
              </w:rPr>
              <w:t>Recommendation and retrieval</w:t>
            </w:r>
          </w:p>
        </w:tc>
        <w:tc>
          <w:tcPr>
            <w:tcW w:type="dxa" w:w="6480"/>
            <w:vAlign w:val="center"/>
            <w:shd w:fill="F4F8FC"/>
          </w:tcPr>
          <w:p>
            <w:pPr>
              <w:pStyle w:val="Table-content"/>
              <w:spacing w:after="0"/>
            </w:pPr>
            <w:r/>
            <w:r>
              <w:rPr>
                <w:rFonts w:ascii="Arial" w:hAnsi="Arial"/>
                <w:b w:val="0"/>
                <w:color w:val="102A43"/>
                <w:sz w:val="16"/>
              </w:rPr>
              <w:t>LangChain or equivalent orchestration; Elasticsearch or Whoosh for keyword retrieval; FAISS for vector indexing and search; SentenceTransformers with open embedding models such as MiniLM or all-MPNet-base-v2.</w:t>
            </w:r>
          </w:p>
        </w:tc>
      </w:tr>
      <w:tr>
        <w:tc>
          <w:tcPr>
            <w:tcW w:type="dxa" w:w="2520"/>
            <w:vAlign w:val="center"/>
          </w:tcPr>
          <w:p>
            <w:pPr>
              <w:pStyle w:val="Table-content"/>
              <w:spacing w:after="0"/>
            </w:pPr>
            <w:r/>
            <w:r>
              <w:rPr>
                <w:rFonts w:ascii="Arial" w:hAnsi="Arial"/>
                <w:b w:val="0"/>
                <w:color w:val="102A43"/>
                <w:sz w:val="16"/>
              </w:rPr>
              <w:t>Ingestion and scheduling</w:t>
            </w:r>
          </w:p>
        </w:tc>
        <w:tc>
          <w:tcPr>
            <w:tcW w:type="dxa" w:w="6480"/>
            <w:vAlign w:val="center"/>
          </w:tcPr>
          <w:p>
            <w:pPr>
              <w:pStyle w:val="Table-content"/>
              <w:spacing w:after="0"/>
            </w:pPr>
            <w:r/>
            <w:r>
              <w:rPr>
                <w:rFonts w:ascii="Arial" w:hAnsi="Arial"/>
                <w:b w:val="0"/>
                <w:color w:val="102A43"/>
                <w:sz w:val="16"/>
              </w:rPr>
              <w:t>Node.js and Python; checksums or timestamps for change detection; Celery and Redis workers; webhooks/event updates if the official interface provides them.</w:t>
            </w:r>
          </w:p>
        </w:tc>
      </w:tr>
      <w:tr>
        <w:tc>
          <w:tcPr>
            <w:tcW w:type="dxa" w:w="2520"/>
            <w:vAlign w:val="center"/>
            <w:shd w:fill="F4F8FC"/>
          </w:tcPr>
          <w:p>
            <w:pPr>
              <w:pStyle w:val="Table-content"/>
              <w:spacing w:after="0"/>
            </w:pPr>
            <w:r/>
            <w:r>
              <w:rPr>
                <w:rFonts w:ascii="Arial" w:hAnsi="Arial"/>
                <w:b w:val="0"/>
                <w:color w:val="102A43"/>
                <w:sz w:val="16"/>
              </w:rPr>
              <w:t>Packaging and delivery</w:t>
            </w:r>
          </w:p>
        </w:tc>
        <w:tc>
          <w:tcPr>
            <w:tcW w:type="dxa" w:w="6480"/>
            <w:vAlign w:val="center"/>
            <w:shd w:fill="F4F8FC"/>
          </w:tcPr>
          <w:p>
            <w:pPr>
              <w:pStyle w:val="Table-content"/>
              <w:spacing w:after="0"/>
            </w:pPr>
            <w:r/>
            <w:r>
              <w:rPr>
                <w:rFonts w:ascii="Arial" w:hAnsi="Arial"/>
                <w:b w:val="0"/>
                <w:color w:val="102A43"/>
                <w:sz w:val="16"/>
              </w:rPr>
              <w:t>Docker and local Docker Compose; portability toward Kubernetes; GitHub Actions for linting, tests and container builds; OpenAPI documentation.</w:t>
            </w:r>
          </w:p>
        </w:tc>
      </w:tr>
    </w:tbl>
    <w:p>
      <w:pPr>
        <w:spacing w:after="0"/>
      </w:pPr>
    </w:p>
    <w:p>
      <w:pPr>
        <w:pStyle w:val="BodyText"/>
        <w:spacing w:after="100" w:line="259" w:lineRule="auto"/>
      </w:pPr>
      <w:r>
        <w:t>SAREF-aligned information is used as an optional ranking signal where corresponding metadata and provenance are available. Publisher-supplied terms, project mappings, and inferred labels remain distinguishable in the data model.</w:t>
      </w:r>
    </w:p>
    <w:p>
      <w:pPr>
        <w:pStyle w:val="Heading1"/>
        <w:keepNext/>
      </w:pPr>
      <w:r>
        <w:t>5 PRINCIPAL FLOWS</w:t>
      </w:r>
    </w:p>
    <w:p>
      <w:pPr>
        <w:pStyle w:val="Heading2"/>
        <w:keepNext/>
      </w:pPr>
      <w:r>
        <w:t>5.1 Conversational recommendation flow</w:t>
      </w:r>
    </w:p>
    <w:p>
      <w:pPr>
        <w:spacing w:before="80" w:after="0"/>
        <w:jc w:val="center"/>
      </w:pPr>
      <w:r>
        <w:drawing>
          <wp:inline xmlns:a="http://schemas.openxmlformats.org/drawingml/2006/main" xmlns:pic="http://schemas.openxmlformats.org/drawingml/2006/picture">
            <wp:extent cx="5532120" cy="4396060"/>
            <wp:docPr id="14" name="Picture 14"/>
            <wp:cNvGraphicFramePr>
              <a:graphicFrameLocks noChangeAspect="1"/>
            </wp:cNvGraphicFramePr>
            <a:graphic>
              <a:graphicData uri="http://schemas.openxmlformats.org/drawingml/2006/picture">
                <pic:pic>
                  <pic:nvPicPr>
                    <pic:cNvPr id="0" name="03-conversational-flow.png"/>
                    <pic:cNvPicPr/>
                  </pic:nvPicPr>
                  <pic:blipFill>
                    <a:blip r:embed="rId22"/>
                    <a:stretch>
                      <a:fillRect/>
                    </a:stretch>
                  </pic:blipFill>
                  <pic:spPr>
                    <a:xfrm>
                      <a:off x="0" y="0"/>
                      <a:ext cx="5532120" cy="4396060"/>
                    </a:xfrm>
                    <a:prstGeom prst="rect"/>
                  </pic:spPr>
                </pic:pic>
              </a:graphicData>
            </a:graphic>
          </wp:inline>
        </w:drawing>
      </w:r>
    </w:p>
    <w:p>
      <w:pPr>
        <w:pStyle w:val="Caption"/>
        <w:spacing w:before="60" w:after="140"/>
        <w:jc w:val="center"/>
      </w:pPr>
      <w:r>
        <w:t xml:space="preserve">Figure </w:t>
      </w:r>
      <w:r>
        <w:fldChar w:fldCharType="begin" w:dirty="true"/>
        <w:instrText xml:space="preserve"> SEQ Figure \* ARABIC </w:instrText>
        <w:fldChar w:fldCharType="separate"/>
      </w:r>
      <w:r>
        <w:t>3</w:t>
      </w:r>
      <w:r>
        <w:fldChar w:fldCharType="end"/>
      </w:r>
      <w:r>
        <w:t>. Proposed conversational request, retrieval, grounding, and response sequence.</w:t>
      </w:r>
    </w:p>
    <w:p>
      <w:pPr>
        <w:pStyle w:val="BodyText"/>
        <w:spacing w:after="40"/>
        <w:ind w:left="340" w:hanging="340"/>
      </w:pPr>
      <w:r>
        <w:rPr>
          <w:b/>
        </w:rPr>
        <w:t xml:space="preserve">1. </w:t>
      </w:r>
      <w:r>
        <w:t>The user expresses a need, operating context, or constraint through the App Store plug-in.</w:t>
      </w:r>
    </w:p>
    <w:p>
      <w:pPr>
        <w:pStyle w:val="BodyText"/>
        <w:spacing w:after="40"/>
        <w:ind w:left="340" w:hanging="340"/>
      </w:pPr>
      <w:r>
        <w:rPr>
          <w:b/>
        </w:rPr>
        <w:t xml:space="preserve">2. </w:t>
      </w:r>
      <w:r>
        <w:t>The backend boundary validates the request and passes only the agreed access and session context.</w:t>
      </w:r>
    </w:p>
    <w:p>
      <w:pPr>
        <w:pStyle w:val="BodyText"/>
        <w:spacing w:after="40"/>
        <w:ind w:left="340" w:hanging="340"/>
      </w:pPr>
      <w:r>
        <w:rPr>
          <w:b/>
        </w:rPr>
        <w:t xml:space="preserve">3. </w:t>
      </w:r>
      <w:r>
        <w:t>The conversational layer identifies intent, entities, and the context permitted by the agreed interaction model.</w:t>
      </w:r>
    </w:p>
    <w:p>
      <w:pPr>
        <w:pStyle w:val="BodyText"/>
        <w:spacing w:after="40"/>
        <w:ind w:left="340" w:hanging="340"/>
      </w:pPr>
      <w:r>
        <w:rPr>
          <w:b/>
        </w:rPr>
        <w:t xml:space="preserve">4. </w:t>
      </w:r>
      <w:r>
        <w:t>The recommendation capability refines the structured search intent and requests keyword and semantic candidates.</w:t>
      </w:r>
    </w:p>
    <w:p>
      <w:pPr>
        <w:pStyle w:val="BodyText"/>
        <w:spacing w:after="40"/>
        <w:ind w:left="340" w:hanging="340"/>
      </w:pPr>
      <w:r>
        <w:rPr>
          <w:b/>
        </w:rPr>
        <w:t xml:space="preserve">5. </w:t>
      </w:r>
      <w:r>
        <w:t>The ranking capability combines candidates, applies structured filters, and uses SAREF-aligned signals only where authoritative information exists.</w:t>
      </w:r>
    </w:p>
    <w:p>
      <w:pPr>
        <w:pStyle w:val="BodyText"/>
        <w:spacing w:after="40"/>
        <w:ind w:left="340" w:hanging="340"/>
      </w:pPr>
      <w:r>
        <w:rPr>
          <w:b/>
        </w:rPr>
        <w:t xml:space="preserve">6. </w:t>
      </w:r>
      <w:r>
        <w:t>The recommendation capability creates a concise rationale from the returned source records and checks names, claims, links, and ranking consistency.</w:t>
      </w:r>
    </w:p>
    <w:p>
      <w:pPr>
        <w:pStyle w:val="BodyText"/>
        <w:spacing w:after="40"/>
        <w:ind w:left="340" w:hanging="340"/>
      </w:pPr>
      <w:r>
        <w:rPr>
          <w:b/>
        </w:rPr>
        <w:t xml:space="preserve">7. </w:t>
      </w:r>
      <w:r>
        <w:t>The plug-in presents recommendations and source links; agreed interaction evidence is recorded separately from catalogue data.</w:t>
      </w:r>
    </w:p>
    <w:p>
      <w:pPr>
        <w:pStyle w:val="Heading2"/>
        <w:keepNext/>
      </w:pPr>
      <w:r>
        <w:t>5.2 Catalogue synchronization flow</w:t>
      </w:r>
    </w:p>
    <w:p>
      <w:pPr>
        <w:spacing w:before="80" w:after="0"/>
        <w:jc w:val="center"/>
      </w:pPr>
      <w:r>
        <w:drawing>
          <wp:inline xmlns:a="http://schemas.openxmlformats.org/drawingml/2006/main" xmlns:pic="http://schemas.openxmlformats.org/drawingml/2006/picture">
            <wp:extent cx="5532120" cy="4417228"/>
            <wp:docPr id="15" name="Picture 15"/>
            <wp:cNvGraphicFramePr>
              <a:graphicFrameLocks noChangeAspect="1"/>
            </wp:cNvGraphicFramePr>
            <a:graphic>
              <a:graphicData uri="http://schemas.openxmlformats.org/drawingml/2006/picture">
                <pic:pic>
                  <pic:nvPicPr>
                    <pic:cNvPr id="0" name="04-ingestion-flow.png"/>
                    <pic:cNvPicPr/>
                  </pic:nvPicPr>
                  <pic:blipFill>
                    <a:blip r:embed="rId23"/>
                    <a:stretch>
                      <a:fillRect/>
                    </a:stretch>
                  </pic:blipFill>
                  <pic:spPr>
                    <a:xfrm>
                      <a:off x="0" y="0"/>
                      <a:ext cx="5532120" cy="4417228"/>
                    </a:xfrm>
                    <a:prstGeom prst="rect"/>
                  </pic:spPr>
                </pic:pic>
              </a:graphicData>
            </a:graphic>
          </wp:inline>
        </w:drawing>
      </w:r>
    </w:p>
    <w:p>
      <w:pPr>
        <w:pStyle w:val="Caption"/>
        <w:spacing w:before="60" w:after="140"/>
        <w:jc w:val="center"/>
      </w:pPr>
      <w:r>
        <w:t xml:space="preserve">Figure </w:t>
      </w:r>
      <w:r>
        <w:fldChar w:fldCharType="begin" w:dirty="true"/>
        <w:instrText xml:space="preserve"> SEQ Figure \* ARABIC </w:instrText>
        <w:fldChar w:fldCharType="separate"/>
      </w:r>
      <w:r>
        <w:t>4</w:t>
      </w:r>
      <w:r>
        <w:fldChar w:fldCharType="end"/>
      </w:r>
      <w:r>
        <w:t>. Proposed catalogue acquisition, validation, lifecycle, indexing, and freshness-evidence sequence.</w:t>
      </w:r>
    </w:p>
    <w:p>
      <w:pPr>
        <w:pStyle w:val="BodyText"/>
        <w:spacing w:after="40"/>
        <w:ind w:left="340" w:hanging="340"/>
      </w:pPr>
      <w:r>
        <w:rPr>
          <w:b/>
        </w:rPr>
        <w:t xml:space="preserve">1. </w:t>
      </w:r>
      <w:r>
        <w:t>A schedule or App Store event initiates synchronization according to the agreed interface capability.</w:t>
      </w:r>
    </w:p>
    <w:p>
      <w:pPr>
        <w:pStyle w:val="BodyText"/>
        <w:spacing w:after="40"/>
        <w:ind w:left="340" w:hanging="340"/>
      </w:pPr>
      <w:r>
        <w:rPr>
          <w:b/>
        </w:rPr>
        <w:t xml:space="preserve">2. </w:t>
      </w:r>
      <w:r>
        <w:t>The ingestion capability requests records or changes and observes pagination, rate limits, and retry guidance.</w:t>
      </w:r>
    </w:p>
    <w:p>
      <w:pPr>
        <w:pStyle w:val="BodyText"/>
        <w:spacing w:after="40"/>
        <w:ind w:left="340" w:hanging="340"/>
      </w:pPr>
      <w:r>
        <w:rPr>
          <w:b/>
        </w:rPr>
        <w:t xml:space="preserve">3. </w:t>
      </w:r>
      <w:r>
        <w:t>Records are validated against the versioned contract and normalized with source provenance.</w:t>
      </w:r>
    </w:p>
    <w:p>
      <w:pPr>
        <w:pStyle w:val="BodyText"/>
        <w:spacing w:after="40"/>
        <w:ind w:left="340" w:hanging="340"/>
      </w:pPr>
      <w:r>
        <w:rPr>
          <w:b/>
        </w:rPr>
        <w:t xml:space="preserve">4. </w:t>
      </w:r>
      <w:r>
        <w:t>Stable identifiers, authoritative timestamps or checksums, and lifecycle signals determine whether to add, update, withdraw, delete, or leave a record unchanged.</w:t>
      </w:r>
    </w:p>
    <w:p>
      <w:pPr>
        <w:pStyle w:val="BodyText"/>
        <w:spacing w:after="40"/>
        <w:ind w:left="340" w:hanging="340"/>
      </w:pPr>
      <w:r>
        <w:rPr>
          <w:b/>
        </w:rPr>
        <w:t xml:space="preserve">5. </w:t>
      </w:r>
      <w:r>
        <w:t>Canonical metadata is applied before derived keyword and vector representations are updated.</w:t>
      </w:r>
    </w:p>
    <w:p>
      <w:pPr>
        <w:pStyle w:val="BodyText"/>
        <w:spacing w:after="40"/>
        <w:ind w:left="340" w:hanging="340"/>
      </w:pPr>
      <w:r>
        <w:rPr>
          <w:b/>
        </w:rPr>
        <w:t xml:space="preserve">6. </w:t>
      </w:r>
      <w:r>
        <w:t>Completion, source time, searchable time, failures, and retries are recorded to support the agreed freshness metric.</w:t>
      </w:r>
    </w:p>
    <w:p>
      <w:pPr>
        <w:pStyle w:val="Heading1"/>
        <w:keepNext/>
      </w:pPr>
      <w:r>
        <w:t>6 INFORMATION AND SEMANTIC DESIGN</w:t>
      </w:r>
    </w:p>
    <w:p>
      <w:pPr>
        <w:pStyle w:val="Heading2"/>
        <w:keepNext/>
      </w:pPr>
      <w:r>
        <w:t>6.1 Canonical App record</w:t>
      </w:r>
    </w:p>
    <w:p>
      <w:pPr>
        <w:pStyle w:val="Caption"/>
        <w:keepNext/>
        <w:spacing w:before="100" w:after="60"/>
      </w:pPr>
      <w:r>
        <w:t xml:space="preserve">Table </w:t>
      </w:r>
      <w:r>
        <w:fldChar w:fldCharType="begin" w:dirty="true"/>
        <w:instrText xml:space="preserve"> SEQ Table \* ARABIC </w:instrText>
        <w:fldChar w:fldCharType="separate"/>
      </w:r>
      <w:r>
        <w:t>7</w:t>
      </w:r>
      <w:r>
        <w:fldChar w:fldCharType="end"/>
      </w:r>
      <w:r>
        <w:t>. Canonical App metadata model</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2232"/>
            <w:vAlign w:val="center"/>
            <w:shd w:fill="2B6CB0"/>
          </w:tcPr>
          <w:p>
            <w:pPr>
              <w:pStyle w:val="Table-content"/>
              <w:spacing w:after="0"/>
            </w:pPr>
            <w:r/>
            <w:r>
              <w:rPr>
                <w:rFonts w:ascii="Arial" w:hAnsi="Arial"/>
                <w:b/>
                <w:color w:val="FFFFFF"/>
                <w:sz w:val="17"/>
              </w:rPr>
              <w:t>Field group</w:t>
            </w:r>
          </w:p>
        </w:tc>
        <w:tc>
          <w:tcPr>
            <w:tcW w:type="dxa" w:w="6768"/>
            <w:vAlign w:val="center"/>
            <w:shd w:fill="2B6CB0"/>
          </w:tcPr>
          <w:p>
            <w:pPr>
              <w:pStyle w:val="Table-content"/>
              <w:spacing w:after="0"/>
            </w:pPr>
            <w:r/>
            <w:r>
              <w:rPr>
                <w:rFonts w:ascii="Arial" w:hAnsi="Arial"/>
                <w:b/>
                <w:color w:val="FFFFFF"/>
                <w:sz w:val="17"/>
              </w:rPr>
              <w:t>Required design intent</w:t>
            </w:r>
          </w:p>
        </w:tc>
      </w:tr>
      <w:tr>
        <w:tc>
          <w:tcPr>
            <w:tcW w:type="dxa" w:w="2232"/>
            <w:vAlign w:val="center"/>
          </w:tcPr>
          <w:p>
            <w:pPr>
              <w:pStyle w:val="Table-content"/>
              <w:spacing w:after="0"/>
            </w:pPr>
            <w:r/>
            <w:r>
              <w:rPr>
                <w:rFonts w:ascii="Arial" w:hAnsi="Arial"/>
                <w:b w:val="0"/>
                <w:color w:val="102A43"/>
                <w:sz w:val="16"/>
              </w:rPr>
              <w:t>Identity</w:t>
            </w:r>
          </w:p>
        </w:tc>
        <w:tc>
          <w:tcPr>
            <w:tcW w:type="dxa" w:w="6768"/>
            <w:vAlign w:val="center"/>
          </w:tcPr>
          <w:p>
            <w:pPr>
              <w:pStyle w:val="Table-content"/>
              <w:spacing w:after="0"/>
            </w:pPr>
            <w:r/>
            <w:r>
              <w:rPr>
                <w:rFonts w:ascii="Arial" w:hAnsi="Arial"/>
                <w:b w:val="0"/>
                <w:color w:val="102A43"/>
                <w:sz w:val="16"/>
              </w:rPr>
              <w:t>Stable App identifier; canonical detail/navigation link; publisher or responsible party where supplied.</w:t>
            </w:r>
          </w:p>
        </w:tc>
      </w:tr>
      <w:tr>
        <w:tc>
          <w:tcPr>
            <w:tcW w:type="dxa" w:w="2232"/>
            <w:vAlign w:val="center"/>
            <w:shd w:fill="F4F8FC"/>
          </w:tcPr>
          <w:p>
            <w:pPr>
              <w:pStyle w:val="Table-content"/>
              <w:spacing w:after="0"/>
            </w:pPr>
            <w:r/>
            <w:r>
              <w:rPr>
                <w:rFonts w:ascii="Arial" w:hAnsi="Arial"/>
                <w:b w:val="0"/>
                <w:color w:val="102A43"/>
                <w:sz w:val="16"/>
              </w:rPr>
              <w:t>Discovery content</w:t>
            </w:r>
          </w:p>
        </w:tc>
        <w:tc>
          <w:tcPr>
            <w:tcW w:type="dxa" w:w="6768"/>
            <w:vAlign w:val="center"/>
            <w:shd w:fill="F4F8FC"/>
          </w:tcPr>
          <w:p>
            <w:pPr>
              <w:pStyle w:val="Table-content"/>
              <w:spacing w:after="0"/>
            </w:pPr>
            <w:r/>
            <w:r>
              <w:rPr>
                <w:rFonts w:ascii="Arial" w:hAnsi="Arial"/>
                <w:b w:val="0"/>
                <w:color w:val="102A43"/>
                <w:sz w:val="16"/>
              </w:rPr>
              <w:t>Title, concise and detailed descriptions, keywords/tags, categories, and supported language.</w:t>
            </w:r>
          </w:p>
        </w:tc>
      </w:tr>
      <w:tr>
        <w:tc>
          <w:tcPr>
            <w:tcW w:type="dxa" w:w="2232"/>
            <w:vAlign w:val="center"/>
          </w:tcPr>
          <w:p>
            <w:pPr>
              <w:pStyle w:val="Table-content"/>
              <w:spacing w:after="0"/>
            </w:pPr>
            <w:r/>
            <w:r>
              <w:rPr>
                <w:rFonts w:ascii="Arial" w:hAnsi="Arial"/>
                <w:b w:val="0"/>
                <w:color w:val="102A43"/>
                <w:sz w:val="16"/>
              </w:rPr>
              <w:t>Technical context</w:t>
            </w:r>
          </w:p>
        </w:tc>
        <w:tc>
          <w:tcPr>
            <w:tcW w:type="dxa" w:w="6768"/>
            <w:vAlign w:val="center"/>
          </w:tcPr>
          <w:p>
            <w:pPr>
              <w:pStyle w:val="Table-content"/>
              <w:spacing w:after="0"/>
            </w:pPr>
            <w:r/>
            <w:r>
              <w:rPr>
                <w:rFonts w:ascii="Arial" w:hAnsi="Arial"/>
                <w:b w:val="0"/>
                <w:color w:val="102A43"/>
                <w:sz w:val="16"/>
              </w:rPr>
              <w:t>Inputs, outputs, protocols, deployment or device constraints, dependencies, and version where supplied.</w:t>
            </w:r>
          </w:p>
        </w:tc>
      </w:tr>
      <w:tr>
        <w:tc>
          <w:tcPr>
            <w:tcW w:type="dxa" w:w="2232"/>
            <w:vAlign w:val="center"/>
            <w:shd w:fill="F4F8FC"/>
          </w:tcPr>
          <w:p>
            <w:pPr>
              <w:pStyle w:val="Table-content"/>
              <w:spacing w:after="0"/>
            </w:pPr>
            <w:r/>
            <w:r>
              <w:rPr>
                <w:rFonts w:ascii="Arial" w:hAnsi="Arial"/>
                <w:b w:val="0"/>
                <w:color w:val="102A43"/>
                <w:sz w:val="16"/>
              </w:rPr>
              <w:t>Lifecycle</w:t>
            </w:r>
          </w:p>
        </w:tc>
        <w:tc>
          <w:tcPr>
            <w:tcW w:type="dxa" w:w="6768"/>
            <w:vAlign w:val="center"/>
            <w:shd w:fill="F4F8FC"/>
          </w:tcPr>
          <w:p>
            <w:pPr>
              <w:pStyle w:val="Table-content"/>
              <w:spacing w:after="0"/>
            </w:pPr>
            <w:r/>
            <w:r>
              <w:rPr>
                <w:rFonts w:ascii="Arial" w:hAnsi="Arial"/>
                <w:b w:val="0"/>
                <w:color w:val="102A43"/>
                <w:sz w:val="16"/>
              </w:rPr>
              <w:t>Publication status, version, created/updated timestamps, withdrawal/deletion signal, and source schema version.</w:t>
            </w:r>
          </w:p>
        </w:tc>
      </w:tr>
      <w:tr>
        <w:tc>
          <w:tcPr>
            <w:tcW w:type="dxa" w:w="2232"/>
            <w:vAlign w:val="center"/>
          </w:tcPr>
          <w:p>
            <w:pPr>
              <w:pStyle w:val="Table-content"/>
              <w:spacing w:after="0"/>
            </w:pPr>
            <w:r/>
            <w:r>
              <w:rPr>
                <w:rFonts w:ascii="Arial" w:hAnsi="Arial"/>
                <w:b w:val="0"/>
                <w:color w:val="102A43"/>
                <w:sz w:val="16"/>
              </w:rPr>
              <w:t>Semantics</w:t>
            </w:r>
          </w:p>
        </w:tc>
        <w:tc>
          <w:tcPr>
            <w:tcW w:type="dxa" w:w="6768"/>
            <w:vAlign w:val="center"/>
          </w:tcPr>
          <w:p>
            <w:pPr>
              <w:pStyle w:val="Table-content"/>
              <w:spacing w:after="0"/>
            </w:pPr>
            <w:r/>
            <w:r>
              <w:rPr>
                <w:rFonts w:ascii="Arial" w:hAnsi="Arial"/>
                <w:b w:val="0"/>
                <w:color w:val="102A43"/>
                <w:sz w:val="16"/>
              </w:rPr>
              <w:t>Authoritative SAREF or extension URIs/labels and provenance when the source contract supplies them.</w:t>
            </w:r>
          </w:p>
        </w:tc>
      </w:tr>
      <w:tr>
        <w:tc>
          <w:tcPr>
            <w:tcW w:type="dxa" w:w="2232"/>
            <w:vAlign w:val="center"/>
            <w:shd w:fill="F4F8FC"/>
          </w:tcPr>
          <w:p>
            <w:pPr>
              <w:pStyle w:val="Table-content"/>
              <w:spacing w:after="0"/>
            </w:pPr>
            <w:r/>
            <w:r>
              <w:rPr>
                <w:rFonts w:ascii="Arial" w:hAnsi="Arial"/>
                <w:b w:val="0"/>
                <w:color w:val="102A43"/>
                <w:sz w:val="16"/>
              </w:rPr>
              <w:t>Provenance</w:t>
            </w:r>
          </w:p>
        </w:tc>
        <w:tc>
          <w:tcPr>
            <w:tcW w:type="dxa" w:w="6768"/>
            <w:vAlign w:val="center"/>
            <w:shd w:fill="F4F8FC"/>
          </w:tcPr>
          <w:p>
            <w:pPr>
              <w:pStyle w:val="Table-content"/>
              <w:spacing w:after="0"/>
            </w:pPr>
            <w:r/>
            <w:r>
              <w:rPr>
                <w:rFonts w:ascii="Arial" w:hAnsi="Arial"/>
                <w:b w:val="0"/>
                <w:color w:val="102A43"/>
                <w:sz w:val="16"/>
              </w:rPr>
              <w:t>Source endpoint or export, acquisition time, source revision, normalization version, and validation outcome.</w:t>
            </w:r>
          </w:p>
        </w:tc>
      </w:tr>
    </w:tbl>
    <w:p>
      <w:pPr>
        <w:spacing w:after="0"/>
      </w:pPr>
    </w:p>
    <w:p>
      <w:pPr>
        <w:pStyle w:val="Heading2"/>
        <w:keepNext/>
      </w:pPr>
      <w:r>
        <w:t>6.2 Derived search representations</w:t>
      </w:r>
    </w:p>
    <w:p>
      <w:pPr>
        <w:pStyle w:val="BodyText"/>
        <w:spacing w:after="100" w:line="259" w:lineRule="auto"/>
      </w:pPr>
      <w:r>
        <w:t>Keyword and vector indexes are derived, rebuildable representations. They do not replace the normalized catalogue record as the authoritative catalogue representation. A ranking result must retain the source App identifier and enough provenance to construct an authoritative link and explain the matched evidence.</w:t>
      </w:r>
    </w:p>
    <w:p>
      <w:pPr>
        <w:pStyle w:val="Heading2"/>
        <w:keepNext/>
      </w:pPr>
      <w:r>
        <w:t>6.3 HEDGE Expert Corpus</w:t>
      </w:r>
    </w:p>
    <w:p>
      <w:pPr>
        <w:pStyle w:val="BodyText"/>
        <w:spacing w:after="100" w:line="259" w:lineRule="auto"/>
      </w:pPr>
      <w:r>
        <w:t>The HEDGE Expert Corpus comprises App metadata, public HEDGE-IoT documentation, and training samples. It supports domain adaptation, intent understanding, and concise, source-grounded explanations within the expert recommendation layer.</w:t>
      </w:r>
    </w:p>
    <w:p>
      <w:pPr>
        <w:pStyle w:val="BodyText"/>
        <w:spacing w:after="100" w:line="259" w:lineRule="auto"/>
      </w:pPr>
      <w:r>
        <w:t>Corpus preparation and model adaptation shall preserve source provenance, applicable licences, data-protection requirements, reproducibility, and evaluation evidence. The detailed procedure will be documented as part of the AI processing and validation design.</w:t>
      </w:r>
    </w:p>
    <w:p>
      <w:pPr>
        <w:pStyle w:val="Heading2"/>
        <w:keepNext/>
      </w:pPr>
      <w:r>
        <w:t>6.4 Data minimization and retention</w:t>
      </w:r>
    </w:p>
    <w:p>
      <w:pPr>
        <w:pStyle w:val="BodyText"/>
        <w:spacing w:after="100" w:line="259" w:lineRule="auto"/>
      </w:pPr>
      <w:r>
        <w:t>The use case relies on public App metadata and user-initiated queries and does not require personal data. Logs used for KPI measurement are anonymized and retained only for the project period. Query-content storage is minimized, and access tokens and unnecessary prompt content are excluded from logs. If the data-processing scope changes, the project will assess and apply the required data-protection measures, including a DPIA where applicable.</w:t>
      </w:r>
    </w:p>
    <w:p>
      <w:pPr>
        <w:pStyle w:val="Heading2"/>
        <w:keepNext/>
      </w:pPr>
      <w:r>
        <w:t>6.5 Public telemetry statement</w:t>
      </w:r>
    </w:p>
    <w:p>
      <w:pPr>
        <w:pStyle w:val="BodyText"/>
        <w:spacing w:after="100" w:line="259" w:lineRule="auto"/>
      </w:pPr>
      <w:r>
        <w:t>Anonymized telemetry intended for public reporting is limited to aggregate, non-identifying project metrics. The reporting plan will define the publication destination, included fields, schedule, retention period, and responsible owner before export.</w:t>
      </w:r>
    </w:p>
    <w:p>
      <w:pPr>
        <w:pStyle w:val="Heading1"/>
        <w:keepNext/>
      </w:pPr>
      <w:r>
        <w:t>7 EXTERNAL INTERFACES</w:t>
      </w:r>
    </w:p>
    <w:p>
      <w:pPr>
        <w:pStyle w:val="Heading2"/>
        <w:keepNext/>
      </w:pPr>
      <w:r>
        <w:t>7.1 App Store metadata interface</w:t>
      </w:r>
    </w:p>
    <w:p>
      <w:pPr>
        <w:pStyle w:val="BodyText"/>
        <w:spacing w:after="100" w:line="259" w:lineRule="auto"/>
      </w:pPr>
      <w:r>
        <w:t>The App Store metadata interface covers the base environment, authentication, list and detail operations, field schema, pagination, rate limits, error model, schema versioning, lifecycle behavior, localization, and event or polling support. A representative export or draft contract can support early mapping, while final compatibility and freshness evidence uses the official interface contract.</w:t>
      </w:r>
    </w:p>
    <w:p>
      <w:pPr>
        <w:pStyle w:val="Heading2"/>
        <w:keepNext/>
      </w:pPr>
      <w:r>
        <w:t>7.2 App Store plug-in</w:t>
      </w:r>
    </w:p>
    <w:p>
      <w:pPr>
        <w:pStyle w:val="BodyText"/>
        <w:spacing w:after="100" w:line="259" w:lineRule="auto"/>
      </w:pPr>
      <w:r>
        <w:t>Plug-in integration covers the embedding mechanism, asset hosting, navigation links, visual and accessibility guidance, browser support, CSP/CORS behavior, localization, release process, analytics, and feedback handling. Authentication and browser-security behavior follow the approach supported by the App Store environment.</w:t>
      </w:r>
    </w:p>
    <w:p>
      <w:pPr>
        <w:pStyle w:val="Heading2"/>
        <w:keepNext/>
      </w:pPr>
      <w:r>
        <w:t>7.3 Backend contract</w:t>
      </w:r>
    </w:p>
    <w:p>
      <w:pPr>
        <w:pStyle w:val="BodyText"/>
        <w:spacing w:after="100" w:line="259" w:lineRule="auto"/>
      </w:pPr>
      <w:r>
        <w:t>Externally consumed operations are versioned and described through OpenAPI. The contract covers request and response schemas, error codes, correlation identifiers, authentication and authorization requirements, timeouts, rate limits, the selected response-delivery pattern, and compatibility policy. Example payloads use synthetic or authorized records.</w:t>
      </w:r>
    </w:p>
    <w:p>
      <w:pPr>
        <w:pStyle w:val="Heading2"/>
        <w:keepNext/>
      </w:pPr>
      <w:r>
        <w:t>7.4 Identity and access</w:t>
      </w:r>
    </w:p>
    <w:p>
      <w:pPr>
        <w:pStyle w:val="BodyText"/>
        <w:spacing w:after="100" w:line="259" w:lineRule="auto"/>
      </w:pPr>
      <w:r>
        <w:t>The project design supports OAuth-compatible authentication where required by the App Store environment. The interface specification will document the platform-supported user and service access model, including credential or token validation, authorization scope, session lifecycle, and service-to-service rules where applicable.</w:t>
      </w:r>
    </w:p>
    <w:p>
      <w:pPr>
        <w:pStyle w:val="Heading1"/>
        <w:keepNext/>
      </w:pPr>
      <w:r>
        <w:t>8 DEPLOYMENT, SECURITY AND OPERATIONS</w:t>
      </w:r>
    </w:p>
    <w:p>
      <w:pPr>
        <w:pStyle w:val="Heading2"/>
        <w:keepNext/>
      </w:pPr>
      <w:r>
        <w:t>8.1 Deployment boundary</w:t>
      </w:r>
    </w:p>
    <w:p>
      <w:pPr>
        <w:pStyle w:val="BodyText"/>
        <w:spacing w:after="100" w:line="259" w:lineRule="auto"/>
      </w:pPr>
      <w:r>
        <w:t>The pilot architecture supports deployment on an owned server hosted in an EU ISO/IEC 27001-certified data centre and remains portable to a HEDGE-IoT data centre or cloud node. Deployment planning will assign responsibilities for infrastructure, network access, secrets, monitoring, backup, incident handling, and handover for the selected environment.</w:t>
      </w:r>
    </w:p>
    <w:p>
      <w:pPr>
        <w:pStyle w:val="Heading2"/>
        <w:keepNext/>
      </w:pPr>
      <w:r>
        <w:t>8.2 Network and secrets</w:t>
      </w:r>
    </w:p>
    <w:p>
      <w:pPr>
        <w:pStyle w:val="BodyText"/>
        <w:spacing w:after="40"/>
        <w:ind w:left="340" w:hanging="198"/>
      </w:pPr>
      <w:r>
        <w:rPr>
          <w:b/>
        </w:rPr>
        <w:t xml:space="preserve">• </w:t>
      </w:r>
      <w:r>
        <w:t>Expose only the agreed backend boundary; keep data services and model runtimes on non-public service networks.</w:t>
      </w:r>
    </w:p>
    <w:p>
      <w:pPr>
        <w:pStyle w:val="BodyText"/>
        <w:spacing w:after="40"/>
        <w:ind w:left="340" w:hanging="198"/>
      </w:pPr>
      <w:r>
        <w:rPr>
          <w:b/>
        </w:rPr>
        <w:t xml:space="preserve">• </w:t>
      </w:r>
      <w:r>
        <w:t>Use TLS for external traffic and for internal traffic where the hosting threat model requires it.</w:t>
      </w:r>
    </w:p>
    <w:p>
      <w:pPr>
        <w:pStyle w:val="BodyText"/>
        <w:spacing w:after="40"/>
        <w:ind w:left="340" w:hanging="198"/>
      </w:pPr>
      <w:r>
        <w:rPr>
          <w:b/>
        </w:rPr>
        <w:t xml:space="preserve">• </w:t>
      </w:r>
      <w:r>
        <w:t>Store secrets outside images and source control; define issuance, rotation, revocation, and emergency access responsibilities.</w:t>
      </w:r>
    </w:p>
    <w:p>
      <w:pPr>
        <w:pStyle w:val="BodyText"/>
        <w:spacing w:after="40"/>
        <w:ind w:left="340" w:hanging="198"/>
      </w:pPr>
      <w:r>
        <w:rPr>
          <w:b/>
        </w:rPr>
        <w:t xml:space="preserve">• </w:t>
      </w:r>
      <w:r>
        <w:t>Apply allow-lists or egress policy for the official catalogue source and any agreed model or observability service.</w:t>
      </w:r>
    </w:p>
    <w:p>
      <w:pPr>
        <w:pStyle w:val="BodyText"/>
        <w:spacing w:after="40"/>
        <w:ind w:left="340" w:hanging="198"/>
      </w:pPr>
      <w:r>
        <w:rPr>
          <w:b/>
        </w:rPr>
        <w:t xml:space="preserve">• </w:t>
      </w:r>
      <w:r>
        <w:t>Record security-relevant events without tokens, full prompts, or unnecessary catalogue payloads.</w:t>
      </w:r>
    </w:p>
    <w:p>
      <w:pPr>
        <w:pStyle w:val="Heading2"/>
        <w:keepNext/>
      </w:pPr>
      <w:r>
        <w:t>8.3 Availability and graceful degradation</w:t>
      </w:r>
    </w:p>
    <w:p>
      <w:pPr>
        <w:pStyle w:val="BodyText"/>
        <w:spacing w:after="100" w:line="259" w:lineRule="auto"/>
      </w:pPr>
      <w:r>
        <w:t>Timeouts, bounded retries, backoff, circuit-breaking, health checks, and rollback are defined per environment. If the LLM is unavailable or cannot produce a grounded rationale, the service should return deterministic ranked results with source links or abstain; it must not manufacture catalogue facts. If optional semantic metadata is absent, retrieval continues without the semantic boost.</w:t>
      </w:r>
    </w:p>
    <w:p>
      <w:pPr>
        <w:pStyle w:val="Heading2"/>
        <w:keepNext/>
      </w:pPr>
      <w:r>
        <w:t>8.4 Operational evidence</w:t>
      </w:r>
    </w:p>
    <w:p>
      <w:pPr>
        <w:pStyle w:val="BodyText"/>
        <w:spacing w:after="100" w:line="259" w:lineRule="auto"/>
      </w:pPr>
      <w:r>
        <w:t>Operational monitoring should cover service availability, request latency, retrieval latency, error rates, synchronization outcomes, source-to-searchable freshness, queue or schedule health, and index consistency. Exact tooling and retention are environment decisions, not architecture claims.</w:t>
      </w:r>
    </w:p>
    <w:p>
      <w:pPr>
        <w:pStyle w:val="Heading1"/>
        <w:keepNext/>
      </w:pPr>
      <w:r>
        <w:t>9 KPI AND VALIDATION DESIGN</w:t>
      </w:r>
    </w:p>
    <w:p>
      <w:pPr>
        <w:pStyle w:val="Heading2"/>
        <w:keepNext/>
      </w:pPr>
      <w:r>
        <w:t>9.1 Measurement principles</w:t>
      </w:r>
    </w:p>
    <w:p>
      <w:pPr>
        <w:pStyle w:val="BodyText"/>
        <w:spacing w:after="40"/>
        <w:ind w:left="340" w:hanging="198"/>
      </w:pPr>
      <w:r>
        <w:rPr>
          <w:b/>
        </w:rPr>
        <w:t xml:space="preserve">• </w:t>
      </w:r>
      <w:r>
        <w:t>Freeze the representative catalogue snapshot, query set, labels, configuration, and software version for each formal run.</w:t>
      </w:r>
    </w:p>
    <w:p>
      <w:pPr>
        <w:pStyle w:val="BodyText"/>
        <w:spacing w:after="40"/>
        <w:ind w:left="340" w:hanging="198"/>
      </w:pPr>
      <w:r>
        <w:rPr>
          <w:b/>
        </w:rPr>
        <w:t xml:space="preserve">• </w:t>
      </w:r>
      <w:r>
        <w:t>Separate development/tuning queries from the held-out acceptance set.</w:t>
      </w:r>
    </w:p>
    <w:p>
      <w:pPr>
        <w:pStyle w:val="BodyText"/>
        <w:spacing w:after="40"/>
        <w:ind w:left="340" w:hanging="198"/>
      </w:pPr>
      <w:r>
        <w:rPr>
          <w:b/>
        </w:rPr>
        <w:t xml:space="preserve">• </w:t>
      </w:r>
      <w:r>
        <w:t>Define every numerator, denominator, exclusion, warm-up condition, and clock boundary before collecting evidence.</w:t>
      </w:r>
    </w:p>
    <w:p>
      <w:pPr>
        <w:pStyle w:val="BodyText"/>
        <w:spacing w:after="40"/>
        <w:ind w:left="340" w:hanging="198"/>
      </w:pPr>
      <w:r>
        <w:rPr>
          <w:b/>
        </w:rPr>
        <w:t xml:space="preserve">• </w:t>
      </w:r>
      <w:r>
        <w:t>Retain reproducible aggregate results and only the minimum necessary underlying evidence.</w:t>
      </w:r>
    </w:p>
    <w:p>
      <w:pPr>
        <w:pStyle w:val="BodyText"/>
        <w:spacing w:after="40"/>
        <w:ind w:left="340" w:hanging="198"/>
      </w:pPr>
      <w:r>
        <w:rPr>
          <w:b/>
        </w:rPr>
        <w:t xml:space="preserve">• </w:t>
      </w:r>
      <w:r>
        <w:t>Report confidence intervals or sample-size limitations where they materially affect interpretation.</w:t>
      </w:r>
    </w:p>
    <w:p>
      <w:pPr>
        <w:pStyle w:val="Heading2"/>
        <w:keepNext/>
      </w:pPr>
      <w:r>
        <w:t>9.2 Measurement points</w:t>
      </w:r>
    </w:p>
    <w:p>
      <w:pPr>
        <w:pStyle w:val="Caption"/>
        <w:keepNext/>
        <w:spacing w:before="100" w:after="60"/>
      </w:pPr>
      <w:r>
        <w:t xml:space="preserve">Table </w:t>
      </w:r>
      <w:r>
        <w:fldChar w:fldCharType="begin" w:dirty="true"/>
        <w:instrText xml:space="preserve"> SEQ Table \* ARABIC </w:instrText>
        <w:fldChar w:fldCharType="separate"/>
      </w:r>
      <w:r>
        <w:t>8</w:t>
      </w:r>
      <w:r>
        <w:fldChar w:fldCharType="end"/>
      </w:r>
      <w:r>
        <w:t>. KPI measurement approach</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872"/>
            <w:vAlign w:val="center"/>
            <w:shd w:fill="2B6CB0"/>
          </w:tcPr>
          <w:p>
            <w:pPr>
              <w:pStyle w:val="Table-content"/>
              <w:spacing w:after="0"/>
            </w:pPr>
            <w:r/>
            <w:r>
              <w:rPr>
                <w:rFonts w:ascii="Arial" w:hAnsi="Arial"/>
                <w:b/>
                <w:color w:val="FFFFFF"/>
                <w:sz w:val="17"/>
              </w:rPr>
              <w:t>KPI</w:t>
            </w:r>
          </w:p>
        </w:tc>
        <w:tc>
          <w:tcPr>
            <w:tcW w:type="dxa" w:w="4536"/>
            <w:vAlign w:val="center"/>
            <w:shd w:fill="2B6CB0"/>
          </w:tcPr>
          <w:p>
            <w:pPr>
              <w:pStyle w:val="Table-content"/>
              <w:spacing w:after="0"/>
            </w:pPr>
            <w:r/>
            <w:r>
              <w:rPr>
                <w:rFonts w:ascii="Arial" w:hAnsi="Arial"/>
                <w:b/>
                <w:color w:val="FFFFFF"/>
                <w:sz w:val="17"/>
              </w:rPr>
              <w:t>Measurement</w:t>
            </w:r>
          </w:p>
        </w:tc>
        <w:tc>
          <w:tcPr>
            <w:tcW w:type="dxa" w:w="2592"/>
            <w:vAlign w:val="center"/>
            <w:shd w:fill="2B6CB0"/>
          </w:tcPr>
          <w:p>
            <w:pPr>
              <w:pStyle w:val="Table-content"/>
              <w:spacing w:after="0"/>
            </w:pPr>
            <w:r/>
            <w:r>
              <w:rPr>
                <w:rFonts w:ascii="Arial" w:hAnsi="Arial"/>
                <w:b/>
                <w:color w:val="FFFFFF"/>
                <w:sz w:val="17"/>
              </w:rPr>
              <w:t>Planned evidence</w:t>
            </w:r>
          </w:p>
        </w:tc>
      </w:tr>
      <w:tr>
        <w:tc>
          <w:tcPr>
            <w:tcW w:type="dxa" w:w="1872"/>
            <w:vAlign w:val="center"/>
          </w:tcPr>
          <w:p>
            <w:pPr>
              <w:pStyle w:val="Table-content"/>
              <w:spacing w:after="0"/>
            </w:pPr>
            <w:r/>
            <w:r>
              <w:rPr>
                <w:rFonts w:ascii="Arial" w:hAnsi="Arial"/>
                <w:b w:val="0"/>
                <w:color w:val="102A43"/>
                <w:sz w:val="16"/>
              </w:rPr>
              <w:t>Top-2 relevance</w:t>
            </w:r>
          </w:p>
        </w:tc>
        <w:tc>
          <w:tcPr>
            <w:tcW w:type="dxa" w:w="4536"/>
            <w:vAlign w:val="center"/>
          </w:tcPr>
          <w:p>
            <w:pPr>
              <w:pStyle w:val="Table-content"/>
              <w:spacing w:after="0"/>
            </w:pPr>
            <w:r/>
            <w:r>
              <w:rPr>
                <w:rFonts w:ascii="Arial" w:hAnsi="Arial"/>
                <w:b w:val="0"/>
                <w:color w:val="102A43"/>
                <w:sz w:val="16"/>
              </w:rPr>
              <w:t>Share of held-out queries for which at least one of the first two Apps is labelled relevant under the defined rubric.</w:t>
            </w:r>
          </w:p>
        </w:tc>
        <w:tc>
          <w:tcPr>
            <w:tcW w:type="dxa" w:w="2592"/>
            <w:vAlign w:val="center"/>
          </w:tcPr>
          <w:p>
            <w:pPr>
              <w:pStyle w:val="Table-content"/>
              <w:spacing w:after="0"/>
            </w:pPr>
            <w:r/>
            <w:r>
              <w:rPr>
                <w:rFonts w:ascii="Arial" w:hAnsi="Arial"/>
                <w:b w:val="0"/>
                <w:color w:val="102A43"/>
                <w:sz w:val="16"/>
              </w:rPr>
              <w:t>Frozen catalogue/query set, labels, ranking output, configuration, adjudication record.</w:t>
            </w:r>
          </w:p>
        </w:tc>
      </w:tr>
      <w:tr>
        <w:tc>
          <w:tcPr>
            <w:tcW w:type="dxa" w:w="1872"/>
            <w:vAlign w:val="center"/>
            <w:shd w:fill="F4F8FC"/>
          </w:tcPr>
          <w:p>
            <w:pPr>
              <w:pStyle w:val="Table-content"/>
              <w:spacing w:after="0"/>
            </w:pPr>
            <w:r/>
            <w:r>
              <w:rPr>
                <w:rFonts w:ascii="Arial" w:hAnsi="Arial"/>
                <w:b w:val="0"/>
                <w:color w:val="102A43"/>
                <w:sz w:val="16"/>
              </w:rPr>
              <w:t>Response time</w:t>
            </w:r>
          </w:p>
        </w:tc>
        <w:tc>
          <w:tcPr>
            <w:tcW w:type="dxa" w:w="4536"/>
            <w:vAlign w:val="center"/>
            <w:shd w:fill="F4F8FC"/>
          </w:tcPr>
          <w:p>
            <w:pPr>
              <w:pStyle w:val="Table-content"/>
              <w:spacing w:after="0"/>
            </w:pPr>
            <w:r/>
            <w:r>
              <w:rPr>
                <w:rFonts w:ascii="Arial" w:hAnsi="Arial"/>
                <w:b w:val="0"/>
                <w:color w:val="102A43"/>
                <w:sz w:val="16"/>
              </w:rPr>
              <w:t>Elapsed time between the defined request-start and response-complete events; report the required statistics and distribution.</w:t>
            </w:r>
          </w:p>
        </w:tc>
        <w:tc>
          <w:tcPr>
            <w:tcW w:type="dxa" w:w="2592"/>
            <w:vAlign w:val="center"/>
            <w:shd w:fill="F4F8FC"/>
          </w:tcPr>
          <w:p>
            <w:pPr>
              <w:pStyle w:val="Table-content"/>
              <w:spacing w:after="0"/>
            </w:pPr>
            <w:r/>
            <w:r>
              <w:rPr>
                <w:rFonts w:ascii="Arial" w:hAnsi="Arial"/>
                <w:b w:val="0"/>
                <w:color w:val="102A43"/>
                <w:sz w:val="16"/>
              </w:rPr>
              <w:t>Timestamped run log, environment/load profile, failures and exclusions.</w:t>
            </w:r>
          </w:p>
        </w:tc>
      </w:tr>
      <w:tr>
        <w:tc>
          <w:tcPr>
            <w:tcW w:type="dxa" w:w="1872"/>
            <w:vAlign w:val="center"/>
          </w:tcPr>
          <w:p>
            <w:pPr>
              <w:pStyle w:val="Table-content"/>
              <w:spacing w:after="0"/>
            </w:pPr>
            <w:r/>
            <w:r>
              <w:rPr>
                <w:rFonts w:ascii="Arial" w:hAnsi="Arial"/>
                <w:b w:val="0"/>
                <w:color w:val="102A43"/>
                <w:sz w:val="16"/>
              </w:rPr>
              <w:t>Catalogue freshness</w:t>
            </w:r>
          </w:p>
        </w:tc>
        <w:tc>
          <w:tcPr>
            <w:tcW w:type="dxa" w:w="4536"/>
            <w:vAlign w:val="center"/>
          </w:tcPr>
          <w:p>
            <w:pPr>
              <w:pStyle w:val="Table-content"/>
              <w:spacing w:after="0"/>
            </w:pPr>
            <w:r/>
            <w:r>
              <w:rPr>
                <w:rFonts w:ascii="Arial" w:hAnsi="Arial"/>
                <w:b w:val="0"/>
                <w:color w:val="102A43"/>
                <w:sz w:val="16"/>
              </w:rPr>
              <w:t>Elapsed time from the authoritative source event or timestamp to successful searchable availability.</w:t>
            </w:r>
          </w:p>
        </w:tc>
        <w:tc>
          <w:tcPr>
            <w:tcW w:type="dxa" w:w="2592"/>
            <w:vAlign w:val="center"/>
          </w:tcPr>
          <w:p>
            <w:pPr>
              <w:pStyle w:val="Table-content"/>
              <w:spacing w:after="0"/>
            </w:pPr>
            <w:r/>
            <w:r>
              <w:rPr>
                <w:rFonts w:ascii="Arial" w:hAnsi="Arial"/>
                <w:b w:val="0"/>
                <w:color w:val="102A43"/>
                <w:sz w:val="16"/>
              </w:rPr>
              <w:t>Source time, acquisition time, index-complete time, lifecycle result, retries.</w:t>
            </w:r>
          </w:p>
        </w:tc>
      </w:tr>
      <w:tr>
        <w:tc>
          <w:tcPr>
            <w:tcW w:type="dxa" w:w="1872"/>
            <w:vAlign w:val="center"/>
            <w:shd w:fill="F4F8FC"/>
          </w:tcPr>
          <w:p>
            <w:pPr>
              <w:pStyle w:val="Table-content"/>
              <w:spacing w:after="0"/>
            </w:pPr>
            <w:r/>
            <w:r>
              <w:rPr>
                <w:rFonts w:ascii="Arial" w:hAnsi="Arial"/>
                <w:b w:val="0"/>
                <w:color w:val="102A43"/>
                <w:sz w:val="16"/>
              </w:rPr>
              <w:t>Explanation accuracy</w:t>
            </w:r>
          </w:p>
        </w:tc>
        <w:tc>
          <w:tcPr>
            <w:tcW w:type="dxa" w:w="4536"/>
            <w:vAlign w:val="center"/>
            <w:shd w:fill="F4F8FC"/>
          </w:tcPr>
          <w:p>
            <w:pPr>
              <w:pStyle w:val="Table-content"/>
              <w:spacing w:after="0"/>
            </w:pPr>
            <w:r/>
            <w:r>
              <w:rPr>
                <w:rFonts w:ascii="Arial" w:hAnsi="Arial"/>
                <w:b w:val="0"/>
                <w:color w:val="102A43"/>
                <w:sz w:val="16"/>
              </w:rPr>
              <w:t>Share of reviewed rationales meeting the agreed source-grounding and contextual-accuracy rubric.</w:t>
            </w:r>
          </w:p>
        </w:tc>
        <w:tc>
          <w:tcPr>
            <w:tcW w:type="dxa" w:w="2592"/>
            <w:vAlign w:val="center"/>
            <w:shd w:fill="F4F8FC"/>
          </w:tcPr>
          <w:p>
            <w:pPr>
              <w:pStyle w:val="Table-content"/>
              <w:spacing w:after="0"/>
            </w:pPr>
            <w:r/>
            <w:r>
              <w:rPr>
                <w:rFonts w:ascii="Arial" w:hAnsi="Arial"/>
                <w:b w:val="0"/>
                <w:color w:val="102A43"/>
                <w:sz w:val="16"/>
              </w:rPr>
              <w:t>Sample, source records, rationale, reviewer ratings, disagreements.</w:t>
            </w:r>
          </w:p>
        </w:tc>
      </w:tr>
      <w:tr>
        <w:tc>
          <w:tcPr>
            <w:tcW w:type="dxa" w:w="1872"/>
            <w:vAlign w:val="center"/>
          </w:tcPr>
          <w:p>
            <w:pPr>
              <w:pStyle w:val="Table-content"/>
              <w:spacing w:after="0"/>
            </w:pPr>
            <w:r/>
            <w:r>
              <w:rPr>
                <w:rFonts w:ascii="Arial" w:hAnsi="Arial"/>
                <w:b w:val="0"/>
                <w:color w:val="102A43"/>
                <w:sz w:val="16"/>
              </w:rPr>
              <w:t>Accepted sessions</w:t>
            </w:r>
          </w:p>
        </w:tc>
        <w:tc>
          <w:tcPr>
            <w:tcW w:type="dxa" w:w="4536"/>
            <w:vAlign w:val="center"/>
          </w:tcPr>
          <w:p>
            <w:pPr>
              <w:pStyle w:val="Table-content"/>
              <w:spacing w:after="0"/>
            </w:pPr>
            <w:r/>
            <w:r>
              <w:rPr>
                <w:rFonts w:ascii="Arial" w:hAnsi="Arial"/>
                <w:b w:val="0"/>
                <w:color w:val="102A43"/>
                <w:sz w:val="16"/>
              </w:rPr>
              <w:t>Share of complete consented sessions containing the defined acceptance action.</w:t>
            </w:r>
          </w:p>
        </w:tc>
        <w:tc>
          <w:tcPr>
            <w:tcW w:type="dxa" w:w="2592"/>
            <w:vAlign w:val="center"/>
          </w:tcPr>
          <w:p>
            <w:pPr>
              <w:pStyle w:val="Table-content"/>
              <w:spacing w:after="0"/>
            </w:pPr>
            <w:r/>
            <w:r>
              <w:rPr>
                <w:rFonts w:ascii="Arial" w:hAnsi="Arial"/>
                <w:b w:val="0"/>
                <w:color w:val="102A43"/>
                <w:sz w:val="16"/>
              </w:rPr>
              <w:t>Pseudonymous session events, action definition, denominator and exclusions.</w:t>
            </w:r>
          </w:p>
        </w:tc>
      </w:tr>
      <w:tr>
        <w:tc>
          <w:tcPr>
            <w:tcW w:type="dxa" w:w="1872"/>
            <w:vAlign w:val="center"/>
            <w:shd w:fill="F4F8FC"/>
          </w:tcPr>
          <w:p>
            <w:pPr>
              <w:pStyle w:val="Table-content"/>
              <w:spacing w:after="0"/>
            </w:pPr>
            <w:r/>
            <w:r>
              <w:rPr>
                <w:rFonts w:ascii="Arial" w:hAnsi="Arial"/>
                <w:b w:val="0"/>
                <w:color w:val="102A43"/>
                <w:sz w:val="16"/>
              </w:rPr>
              <w:t>Session count</w:t>
            </w:r>
          </w:p>
        </w:tc>
        <w:tc>
          <w:tcPr>
            <w:tcW w:type="dxa" w:w="4536"/>
            <w:vAlign w:val="center"/>
            <w:shd w:fill="F4F8FC"/>
          </w:tcPr>
          <w:p>
            <w:pPr>
              <w:pStyle w:val="Table-content"/>
              <w:spacing w:after="0"/>
            </w:pPr>
            <w:r/>
            <w:r>
              <w:rPr>
                <w:rFonts w:ascii="Arial" w:hAnsi="Arial"/>
                <w:b w:val="0"/>
                <w:color w:val="102A43"/>
                <w:sz w:val="16"/>
              </w:rPr>
              <w:t>Number of complete interaction sessions meeting the defined completeness rule.</w:t>
            </w:r>
          </w:p>
        </w:tc>
        <w:tc>
          <w:tcPr>
            <w:tcW w:type="dxa" w:w="2592"/>
            <w:vAlign w:val="center"/>
            <w:shd w:fill="F4F8FC"/>
          </w:tcPr>
          <w:p>
            <w:pPr>
              <w:pStyle w:val="Table-content"/>
              <w:spacing w:after="0"/>
            </w:pPr>
            <w:r/>
            <w:r>
              <w:rPr>
                <w:rFonts w:ascii="Arial" w:hAnsi="Arial"/>
                <w:b w:val="0"/>
                <w:color w:val="102A43"/>
                <w:sz w:val="16"/>
              </w:rPr>
              <w:t>Session lifecycle evidence and consent/retention record.</w:t>
            </w:r>
          </w:p>
        </w:tc>
      </w:tr>
      <w:tr>
        <w:tc>
          <w:tcPr>
            <w:tcW w:type="dxa" w:w="1872"/>
            <w:vAlign w:val="center"/>
          </w:tcPr>
          <w:p>
            <w:pPr>
              <w:pStyle w:val="Table-content"/>
              <w:spacing w:after="0"/>
            </w:pPr>
            <w:r/>
            <w:r>
              <w:rPr>
                <w:rFonts w:ascii="Arial" w:hAnsi="Arial"/>
                <w:b w:val="0"/>
                <w:color w:val="102A43"/>
                <w:sz w:val="16"/>
              </w:rPr>
              <w:t>Retrieval diagnostics</w:t>
            </w:r>
          </w:p>
        </w:tc>
        <w:tc>
          <w:tcPr>
            <w:tcW w:type="dxa" w:w="4536"/>
            <w:vAlign w:val="center"/>
          </w:tcPr>
          <w:p>
            <w:pPr>
              <w:pStyle w:val="Table-content"/>
              <w:spacing w:after="0"/>
            </w:pPr>
            <w:r/>
            <w:r>
              <w:rPr>
                <w:rFonts w:ascii="Arial" w:hAnsi="Arial"/>
                <w:b w:val="0"/>
                <w:color w:val="102A43"/>
                <w:sz w:val="16"/>
              </w:rPr>
              <w:t>Precision, recall and mean reciprocal rank using the evaluation set.</w:t>
            </w:r>
          </w:p>
        </w:tc>
        <w:tc>
          <w:tcPr>
            <w:tcW w:type="dxa" w:w="2592"/>
            <w:vAlign w:val="center"/>
          </w:tcPr>
          <w:p>
            <w:pPr>
              <w:pStyle w:val="Table-content"/>
              <w:spacing w:after="0"/>
            </w:pPr>
            <w:r/>
            <w:r>
              <w:rPr>
                <w:rFonts w:ascii="Arial" w:hAnsi="Arial"/>
                <w:b w:val="0"/>
                <w:color w:val="102A43"/>
                <w:sz w:val="16"/>
              </w:rPr>
              <w:t>Metric definitions, ranked output, labels, configuration and reproducible calculation.</w:t>
            </w:r>
          </w:p>
        </w:tc>
      </w:tr>
    </w:tbl>
    <w:p>
      <w:pPr>
        <w:spacing w:after="0"/>
      </w:pPr>
    </w:p>
    <w:p>
      <w:pPr>
        <w:pStyle w:val="Heading2"/>
        <w:keepNext/>
      </w:pPr>
      <w:r>
        <w:t>9.3 Additional project indicators</w:t>
      </w:r>
    </w:p>
    <w:p>
      <w:pPr>
        <w:pStyle w:val="BodyText"/>
        <w:spacing w:after="100" w:line="259" w:lineRule="auto"/>
      </w:pPr>
      <w:r>
        <w:t>Additional project-end indicators are TRL 8; at least 50 reproducible test cases; a 25% reduction in manual catalogue-maintenance actions; at least 30% faster App identification; and at least 60% of sandbox Apps receiving a qualified visit generated by the assistant. The validation plan will document the baseline, attribution rule, evidence source, and calculation method used for each indicator. Continuous adaptation to new Apps and interaction evidence will follow the same controlled evaluation process.</w:t>
      </w:r>
    </w:p>
    <w:p>
      <w:pPr>
        <w:pStyle w:val="Heading1"/>
        <w:keepNext/>
      </w:pPr>
      <w:r>
        <w:t>10 INTEGRATION COORDINATION</w:t>
      </w:r>
    </w:p>
    <w:p>
      <w:pPr>
        <w:pStyle w:val="BodyText"/>
        <w:spacing w:after="100" w:line="259" w:lineRule="auto"/>
      </w:pPr>
      <w:r>
        <w:t>The following coordination points support App Store integration and the joint validation activities defined in the project plan. For each input, the HEDGE-ExpertAI team will provide a corresponding technical artifact for review.</w:t>
      </w:r>
    </w:p>
    <w:p>
      <w:pPr>
        <w:pStyle w:val="Caption"/>
        <w:keepNext/>
        <w:spacing w:before="100" w:after="60"/>
      </w:pPr>
      <w:r>
        <w:t xml:space="preserve">Table </w:t>
      </w:r>
      <w:r>
        <w:fldChar w:fldCharType="begin" w:dirty="true"/>
        <w:instrText xml:space="preserve"> SEQ Table \* ARABIC </w:instrText>
        <w:fldChar w:fldCharType="separate"/>
      </w:r>
      <w:r>
        <w:t>9</w:t>
      </w:r>
      <w:r>
        <w:fldChar w:fldCharType="end"/>
      </w:r>
      <w:r>
        <w:t>. Integration inputs and project follow-up</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1800"/>
            <w:vAlign w:val="center"/>
            <w:shd w:fill="2B6CB0"/>
          </w:tcPr>
          <w:p>
            <w:pPr>
              <w:pStyle w:val="Table-content"/>
              <w:spacing w:after="0"/>
            </w:pPr>
            <w:r/>
            <w:r>
              <w:rPr>
                <w:rFonts w:ascii="Arial" w:hAnsi="Arial"/>
                <w:b/>
                <w:color w:val="FFFFFF"/>
                <w:sz w:val="17"/>
              </w:rPr>
              <w:t>Priority / area</w:t>
            </w:r>
          </w:p>
        </w:tc>
        <w:tc>
          <w:tcPr>
            <w:tcW w:type="dxa" w:w="4104"/>
            <w:vAlign w:val="center"/>
            <w:shd w:fill="2B6CB0"/>
          </w:tcPr>
          <w:p>
            <w:pPr>
              <w:pStyle w:val="Table-content"/>
              <w:spacing w:after="0"/>
            </w:pPr>
            <w:r/>
            <w:r>
              <w:rPr>
                <w:rFonts w:ascii="Arial" w:hAnsi="Arial"/>
                <w:b/>
                <w:color w:val="FFFFFF"/>
                <w:sz w:val="17"/>
              </w:rPr>
              <w:t>HEDGE-IoT input</w:t>
            </w:r>
          </w:p>
        </w:tc>
        <w:tc>
          <w:tcPr>
            <w:tcW w:type="dxa" w:w="3096"/>
            <w:vAlign w:val="center"/>
            <w:shd w:fill="2B6CB0"/>
          </w:tcPr>
          <w:p>
            <w:pPr>
              <w:pStyle w:val="Table-content"/>
              <w:spacing w:after="0"/>
            </w:pPr>
            <w:r/>
            <w:r>
              <w:rPr>
                <w:rFonts w:ascii="Arial" w:hAnsi="Arial"/>
                <w:b/>
                <w:color w:val="FFFFFF"/>
                <w:sz w:val="17"/>
              </w:rPr>
              <w:t>HEDGE-ExpertAI follow-up</w:t>
            </w:r>
          </w:p>
        </w:tc>
      </w:tr>
      <w:tr>
        <w:tc>
          <w:tcPr>
            <w:tcW w:type="dxa" w:w="1800"/>
            <w:vAlign w:val="center"/>
          </w:tcPr>
          <w:p>
            <w:pPr>
              <w:pStyle w:val="Table-content"/>
              <w:spacing w:after="0"/>
            </w:pPr>
            <w:r/>
            <w:r>
              <w:rPr>
                <w:rFonts w:ascii="Arial" w:hAnsi="Arial"/>
                <w:b w:val="0"/>
                <w:color w:val="102A43"/>
                <w:sz w:val="16"/>
              </w:rPr>
              <w:t>Priority 1 — Technical coordination</w:t>
            </w:r>
          </w:p>
        </w:tc>
        <w:tc>
          <w:tcPr>
            <w:tcW w:type="dxa" w:w="4104"/>
            <w:vAlign w:val="center"/>
          </w:tcPr>
          <w:p>
            <w:pPr>
              <w:pStyle w:val="Table-content"/>
              <w:spacing w:after="0"/>
            </w:pPr>
            <w:r/>
            <w:r>
              <w:rPr>
                <w:rFonts w:ascii="Arial" w:hAnsi="Arial"/>
                <w:b w:val="0"/>
                <w:color w:val="102A43"/>
                <w:sz w:val="16"/>
              </w:rPr>
              <w:t>Contacts for the App Store interface, front end, identity/security, infrastructure, and validation activities.</w:t>
            </w:r>
          </w:p>
        </w:tc>
        <w:tc>
          <w:tcPr>
            <w:tcW w:type="dxa" w:w="3096"/>
            <w:vAlign w:val="center"/>
          </w:tcPr>
          <w:p>
            <w:pPr>
              <w:pStyle w:val="Table-content"/>
              <w:spacing w:after="0"/>
            </w:pPr>
            <w:r/>
            <w:r>
              <w:rPr>
                <w:rFonts w:ascii="Arial" w:hAnsi="Arial"/>
                <w:b w:val="0"/>
                <w:color w:val="102A43"/>
                <w:sz w:val="16"/>
              </w:rPr>
              <w:t>Maintain a concise contact and action register and route technical questions to the relevant role.</w:t>
            </w:r>
          </w:p>
        </w:tc>
      </w:tr>
      <w:tr>
        <w:tc>
          <w:tcPr>
            <w:tcW w:type="dxa" w:w="1800"/>
            <w:vAlign w:val="center"/>
            <w:shd w:fill="F4F8FC"/>
          </w:tcPr>
          <w:p>
            <w:pPr>
              <w:pStyle w:val="Table-content"/>
              <w:spacing w:after="0"/>
            </w:pPr>
            <w:r/>
            <w:r>
              <w:rPr>
                <w:rFonts w:ascii="Arial" w:hAnsi="Arial"/>
                <w:b w:val="0"/>
                <w:color w:val="102A43"/>
                <w:sz w:val="16"/>
              </w:rPr>
              <w:t>Priority 1 — Metadata interface</w:t>
            </w:r>
          </w:p>
        </w:tc>
        <w:tc>
          <w:tcPr>
            <w:tcW w:type="dxa" w:w="4104"/>
            <w:vAlign w:val="center"/>
            <w:shd w:fill="F4F8FC"/>
          </w:tcPr>
          <w:p>
            <w:pPr>
              <w:pStyle w:val="Table-content"/>
              <w:spacing w:after="0"/>
            </w:pPr>
            <w:r/>
            <w:r>
              <w:rPr>
                <w:rFonts w:ascii="Arial" w:hAnsi="Arial"/>
                <w:b w:val="0"/>
                <w:color w:val="102A43"/>
                <w:sz w:val="16"/>
              </w:rPr>
              <w:t>Sandbox access process, API and authentication guidance, representative records, and interface behavior.</w:t>
            </w:r>
          </w:p>
        </w:tc>
        <w:tc>
          <w:tcPr>
            <w:tcW w:type="dxa" w:w="3096"/>
            <w:vAlign w:val="center"/>
            <w:shd w:fill="F4F8FC"/>
          </w:tcPr>
          <w:p>
            <w:pPr>
              <w:pStyle w:val="Table-content"/>
              <w:spacing w:after="0"/>
            </w:pPr>
            <w:r/>
            <w:r>
              <w:rPr>
                <w:rFonts w:ascii="Arial" w:hAnsi="Arial"/>
                <w:b w:val="0"/>
                <w:color w:val="102A43"/>
                <w:sz w:val="16"/>
              </w:rPr>
              <w:t>Prepare the field and lifecycle mapping, adapter contract, and interface-test specification.</w:t>
            </w:r>
          </w:p>
        </w:tc>
      </w:tr>
      <w:tr>
        <w:tc>
          <w:tcPr>
            <w:tcW w:type="dxa" w:w="1800"/>
            <w:vAlign w:val="center"/>
          </w:tcPr>
          <w:p>
            <w:pPr>
              <w:pStyle w:val="Table-content"/>
              <w:spacing w:after="0"/>
            </w:pPr>
            <w:r/>
            <w:r>
              <w:rPr>
                <w:rFonts w:ascii="Arial" w:hAnsi="Arial"/>
                <w:b w:val="0"/>
                <w:color w:val="102A43"/>
                <w:sz w:val="16"/>
              </w:rPr>
              <w:t>Priority 1 — Plug-in integration</w:t>
            </w:r>
          </w:p>
        </w:tc>
        <w:tc>
          <w:tcPr>
            <w:tcW w:type="dxa" w:w="4104"/>
            <w:vAlign w:val="center"/>
          </w:tcPr>
          <w:p>
            <w:pPr>
              <w:pStyle w:val="Table-content"/>
              <w:spacing w:after="0"/>
            </w:pPr>
            <w:r/>
            <w:r>
              <w:rPr>
                <w:rFonts w:ascii="Arial" w:hAnsi="Arial"/>
                <w:b w:val="0"/>
                <w:color w:val="102A43"/>
                <w:sz w:val="16"/>
              </w:rPr>
              <w:t>Embedding and asset-hosting guidance, navigation behavior, browser/accessibility constraints, and supported access model.</w:t>
            </w:r>
          </w:p>
        </w:tc>
        <w:tc>
          <w:tcPr>
            <w:tcW w:type="dxa" w:w="3096"/>
            <w:vAlign w:val="center"/>
          </w:tcPr>
          <w:p>
            <w:pPr>
              <w:pStyle w:val="Table-content"/>
              <w:spacing w:after="0"/>
            </w:pPr>
            <w:r/>
            <w:r>
              <w:rPr>
                <w:rFonts w:ascii="Arial" w:hAnsi="Arial"/>
                <w:b w:val="0"/>
                <w:color w:val="102A43"/>
                <w:sz w:val="16"/>
              </w:rPr>
              <w:t>Prepare the plug-in integration specification and compatibility checklist.</w:t>
            </w:r>
          </w:p>
        </w:tc>
      </w:tr>
      <w:tr>
        <w:tc>
          <w:tcPr>
            <w:tcW w:type="dxa" w:w="1800"/>
            <w:vAlign w:val="center"/>
            <w:shd w:fill="F4F8FC"/>
          </w:tcPr>
          <w:p>
            <w:pPr>
              <w:pStyle w:val="Table-content"/>
              <w:spacing w:after="0"/>
            </w:pPr>
            <w:r/>
            <w:r>
              <w:rPr>
                <w:rFonts w:ascii="Arial" w:hAnsi="Arial"/>
                <w:b w:val="0"/>
                <w:color w:val="102A43"/>
                <w:sz w:val="16"/>
              </w:rPr>
              <w:t>Priority 1 — Deployment interface</w:t>
            </w:r>
          </w:p>
        </w:tc>
        <w:tc>
          <w:tcPr>
            <w:tcW w:type="dxa" w:w="4104"/>
            <w:vAlign w:val="center"/>
            <w:shd w:fill="F4F8FC"/>
          </w:tcPr>
          <w:p>
            <w:pPr>
              <w:pStyle w:val="Table-content"/>
              <w:spacing w:after="0"/>
            </w:pPr>
            <w:r/>
            <w:r>
              <w:rPr>
                <w:rFonts w:ascii="Arial" w:hAnsi="Arial"/>
                <w:b w:val="0"/>
                <w:color w:val="102A43"/>
                <w:sz w:val="16"/>
              </w:rPr>
              <w:t>Applicable ingress, egress, DNS/TLS, secrets, infrastructure, and operational requirements for the selected environment.</w:t>
            </w:r>
          </w:p>
        </w:tc>
        <w:tc>
          <w:tcPr>
            <w:tcW w:type="dxa" w:w="3096"/>
            <w:vAlign w:val="center"/>
            <w:shd w:fill="F4F8FC"/>
          </w:tcPr>
          <w:p>
            <w:pPr>
              <w:pStyle w:val="Table-content"/>
              <w:spacing w:after="0"/>
            </w:pPr>
            <w:r/>
            <w:r>
              <w:rPr>
                <w:rFonts w:ascii="Arial" w:hAnsi="Arial"/>
                <w:b w:val="0"/>
                <w:color w:val="102A43"/>
                <w:sz w:val="16"/>
              </w:rPr>
              <w:t>Provide the deployment plan, resource estimate, connectivity checks, and rollback procedure.</w:t>
            </w:r>
          </w:p>
        </w:tc>
      </w:tr>
      <w:tr>
        <w:tc>
          <w:tcPr>
            <w:tcW w:type="dxa" w:w="1800"/>
            <w:vAlign w:val="center"/>
          </w:tcPr>
          <w:p>
            <w:pPr>
              <w:pStyle w:val="Table-content"/>
              <w:spacing w:after="0"/>
            </w:pPr>
            <w:r/>
            <w:r>
              <w:rPr>
                <w:rFonts w:ascii="Arial" w:hAnsi="Arial"/>
                <w:b w:val="0"/>
                <w:color w:val="102A43"/>
                <w:sz w:val="16"/>
              </w:rPr>
              <w:t>Priority 2 — Catalogue semantics</w:t>
            </w:r>
          </w:p>
        </w:tc>
        <w:tc>
          <w:tcPr>
            <w:tcW w:type="dxa" w:w="4104"/>
            <w:vAlign w:val="center"/>
          </w:tcPr>
          <w:p>
            <w:pPr>
              <w:pStyle w:val="Table-content"/>
              <w:spacing w:after="0"/>
            </w:pPr>
            <w:r/>
            <w:r>
              <w:rPr>
                <w:rFonts w:ascii="Arial" w:hAnsi="Arial"/>
                <w:b w:val="0"/>
                <w:color w:val="102A43"/>
                <w:sz w:val="16"/>
              </w:rPr>
              <w:t>Examples covering identifiers, required fields, timestamps, localization, lifecycle behavior, and available SAREF-aligned metadata.</w:t>
            </w:r>
          </w:p>
        </w:tc>
        <w:tc>
          <w:tcPr>
            <w:tcW w:type="dxa" w:w="3096"/>
            <w:vAlign w:val="center"/>
          </w:tcPr>
          <w:p>
            <w:pPr>
              <w:pStyle w:val="Table-content"/>
              <w:spacing w:after="0"/>
            </w:pPr>
            <w:r/>
            <w:r>
              <w:rPr>
                <w:rFonts w:ascii="Arial" w:hAnsi="Arial"/>
                <w:b w:val="0"/>
                <w:color w:val="102A43"/>
                <w:sz w:val="16"/>
              </w:rPr>
              <w:t>Prepare the canonical mapping, synchronization rules, and semantic-validation specification.</w:t>
            </w:r>
          </w:p>
        </w:tc>
      </w:tr>
      <w:tr>
        <w:tc>
          <w:tcPr>
            <w:tcW w:type="dxa" w:w="1800"/>
            <w:vAlign w:val="center"/>
            <w:shd w:fill="F4F8FC"/>
          </w:tcPr>
          <w:p>
            <w:pPr>
              <w:pStyle w:val="Table-content"/>
              <w:spacing w:after="0"/>
            </w:pPr>
            <w:r/>
            <w:r>
              <w:rPr>
                <w:rFonts w:ascii="Arial" w:hAnsi="Arial"/>
                <w:b w:val="0"/>
                <w:color w:val="102A43"/>
                <w:sz w:val="16"/>
              </w:rPr>
              <w:t>Priority 2 — Joint validation</w:t>
            </w:r>
          </w:p>
        </w:tc>
        <w:tc>
          <w:tcPr>
            <w:tcW w:type="dxa" w:w="4104"/>
            <w:vAlign w:val="center"/>
            <w:shd w:fill="F4F8FC"/>
          </w:tcPr>
          <w:p>
            <w:pPr>
              <w:pStyle w:val="Table-content"/>
              <w:spacing w:after="0"/>
            </w:pPr>
            <w:r/>
            <w:r>
              <w:rPr>
                <w:rFonts w:ascii="Arial" w:hAnsi="Arial"/>
                <w:b w:val="0"/>
                <w:color w:val="102A43"/>
                <w:sz w:val="16"/>
              </w:rPr>
              <w:t>Participation in preparing the labelled query set and reviewing relevance and explanation criteria.</w:t>
            </w:r>
          </w:p>
        </w:tc>
        <w:tc>
          <w:tcPr>
            <w:tcW w:type="dxa" w:w="3096"/>
            <w:vAlign w:val="center"/>
            <w:shd w:fill="F4F8FC"/>
          </w:tcPr>
          <w:p>
            <w:pPr>
              <w:pStyle w:val="Table-content"/>
              <w:spacing w:after="0"/>
            </w:pPr>
            <w:r/>
            <w:r>
              <w:rPr>
                <w:rFonts w:ascii="Arial" w:hAnsi="Arial"/>
                <w:b w:val="0"/>
                <w:color w:val="102A43"/>
                <w:sz w:val="16"/>
              </w:rPr>
              <w:t>Prepare the reproducible test protocol and planned evidence format.</w:t>
            </w:r>
          </w:p>
        </w:tc>
      </w:tr>
    </w:tbl>
    <w:p>
      <w:pPr>
        <w:spacing w:after="0"/>
      </w:pPr>
    </w:p>
    <w:p>
      <w:pPr>
        <w:pStyle w:val="Heading1"/>
        <w:keepNext/>
      </w:pPr>
      <w:r>
        <w:t>11 RISKS AND MITIGATIONS</w:t>
      </w:r>
    </w:p>
    <w:p>
      <w:pPr>
        <w:pStyle w:val="Caption"/>
        <w:keepNext/>
        <w:spacing w:before="100" w:after="60"/>
      </w:pPr>
      <w:r>
        <w:t xml:space="preserve">Table </w:t>
      </w:r>
      <w:r>
        <w:fldChar w:fldCharType="begin" w:dirty="true"/>
        <w:instrText xml:space="preserve"> SEQ Table \* ARABIC </w:instrText>
        <w:fldChar w:fldCharType="separate"/>
      </w:r>
      <w:r>
        <w:t>10</w:t>
      </w:r>
      <w:r>
        <w:fldChar w:fldCharType="end"/>
      </w:r>
      <w:r>
        <w:t>. Architecture and integration risks</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2088"/>
            <w:vAlign w:val="center"/>
            <w:shd w:fill="2B6CB0"/>
          </w:tcPr>
          <w:p>
            <w:pPr>
              <w:pStyle w:val="Table-content"/>
              <w:spacing w:after="0"/>
            </w:pPr>
            <w:r/>
            <w:r>
              <w:rPr>
                <w:rFonts w:ascii="Arial" w:hAnsi="Arial"/>
                <w:b/>
                <w:color w:val="FFFFFF"/>
                <w:sz w:val="17"/>
              </w:rPr>
              <w:t>Risk</w:t>
            </w:r>
          </w:p>
        </w:tc>
        <w:tc>
          <w:tcPr>
            <w:tcW w:type="dxa" w:w="3096"/>
            <w:vAlign w:val="center"/>
            <w:shd w:fill="2B6CB0"/>
          </w:tcPr>
          <w:p>
            <w:pPr>
              <w:pStyle w:val="Table-content"/>
              <w:spacing w:after="0"/>
            </w:pPr>
            <w:r/>
            <w:r>
              <w:rPr>
                <w:rFonts w:ascii="Arial" w:hAnsi="Arial"/>
                <w:b/>
                <w:color w:val="FFFFFF"/>
                <w:sz w:val="17"/>
              </w:rPr>
              <w:t>Effect</w:t>
            </w:r>
          </w:p>
        </w:tc>
        <w:tc>
          <w:tcPr>
            <w:tcW w:type="dxa" w:w="3816"/>
            <w:vAlign w:val="center"/>
            <w:shd w:fill="2B6CB0"/>
          </w:tcPr>
          <w:p>
            <w:pPr>
              <w:pStyle w:val="Table-content"/>
              <w:spacing w:after="0"/>
            </w:pPr>
            <w:r/>
            <w:r>
              <w:rPr>
                <w:rFonts w:ascii="Arial" w:hAnsi="Arial"/>
                <w:b/>
                <w:color w:val="FFFFFF"/>
                <w:sz w:val="17"/>
              </w:rPr>
              <w:t>Mitigation / decision</w:t>
            </w:r>
          </w:p>
        </w:tc>
      </w:tr>
      <w:tr>
        <w:tc>
          <w:tcPr>
            <w:tcW w:type="dxa" w:w="2088"/>
            <w:vAlign w:val="center"/>
          </w:tcPr>
          <w:p>
            <w:pPr>
              <w:pStyle w:val="Table-content"/>
              <w:spacing w:after="0"/>
            </w:pPr>
            <w:r/>
            <w:r>
              <w:rPr>
                <w:rFonts w:ascii="Arial" w:hAnsi="Arial"/>
                <w:b w:val="0"/>
                <w:color w:val="102A43"/>
                <w:sz w:val="16"/>
              </w:rPr>
              <w:t>Official interface availability or change</w:t>
            </w:r>
          </w:p>
        </w:tc>
        <w:tc>
          <w:tcPr>
            <w:tcW w:type="dxa" w:w="3096"/>
            <w:vAlign w:val="center"/>
          </w:tcPr>
          <w:p>
            <w:pPr>
              <w:pStyle w:val="Table-content"/>
              <w:spacing w:after="0"/>
            </w:pPr>
            <w:r/>
            <w:r>
              <w:rPr>
                <w:rFonts w:ascii="Arial" w:hAnsi="Arial"/>
                <w:b w:val="0"/>
                <w:color w:val="102A43"/>
                <w:sz w:val="16"/>
              </w:rPr>
              <w:t>Can delay mapping or invalidate synchronization behavior.</w:t>
            </w:r>
          </w:p>
        </w:tc>
        <w:tc>
          <w:tcPr>
            <w:tcW w:type="dxa" w:w="3816"/>
            <w:vAlign w:val="center"/>
          </w:tcPr>
          <w:p>
            <w:pPr>
              <w:pStyle w:val="Table-content"/>
              <w:spacing w:after="0"/>
            </w:pPr>
            <w:r/>
            <w:r>
              <w:rPr>
                <w:rFonts w:ascii="Arial" w:hAnsi="Arial"/>
                <w:b w:val="0"/>
                <w:color w:val="102A43"/>
                <w:sz w:val="16"/>
              </w:rPr>
              <w:t>Use a versioned adapter and an agreed contract fixture; freeze the schema used for formal validation.</w:t>
            </w:r>
          </w:p>
        </w:tc>
      </w:tr>
      <w:tr>
        <w:tc>
          <w:tcPr>
            <w:tcW w:type="dxa" w:w="2088"/>
            <w:vAlign w:val="center"/>
            <w:shd w:fill="F4F8FC"/>
          </w:tcPr>
          <w:p>
            <w:pPr>
              <w:pStyle w:val="Table-content"/>
              <w:spacing w:after="0"/>
            </w:pPr>
            <w:r/>
            <w:r>
              <w:rPr>
                <w:rFonts w:ascii="Arial" w:hAnsi="Arial"/>
                <w:b w:val="0"/>
                <w:color w:val="102A43"/>
                <w:sz w:val="16"/>
              </w:rPr>
              <w:t>Measurement protocol incomplete</w:t>
            </w:r>
          </w:p>
        </w:tc>
        <w:tc>
          <w:tcPr>
            <w:tcW w:type="dxa" w:w="3096"/>
            <w:vAlign w:val="center"/>
            <w:shd w:fill="F4F8FC"/>
          </w:tcPr>
          <w:p>
            <w:pPr>
              <w:pStyle w:val="Table-content"/>
              <w:spacing w:after="0"/>
            </w:pPr>
            <w:r/>
            <w:r>
              <w:rPr>
                <w:rFonts w:ascii="Arial" w:hAnsi="Arial"/>
                <w:b w:val="0"/>
                <w:color w:val="102A43"/>
                <w:sz w:val="16"/>
              </w:rPr>
              <w:t>Results may not be comparable across test runs.</w:t>
            </w:r>
          </w:p>
        </w:tc>
        <w:tc>
          <w:tcPr>
            <w:tcW w:type="dxa" w:w="3816"/>
            <w:vAlign w:val="center"/>
            <w:shd w:fill="F4F8FC"/>
          </w:tcPr>
          <w:p>
            <w:pPr>
              <w:pStyle w:val="Table-content"/>
              <w:spacing w:after="0"/>
            </w:pPr>
            <w:r/>
            <w:r>
              <w:rPr>
                <w:rFonts w:ascii="Arial" w:hAnsi="Arial"/>
                <w:b w:val="0"/>
                <w:color w:val="102A43"/>
                <w:sz w:val="16"/>
              </w:rPr>
              <w:t>Baseline the metric definitions, dataset, environment, and calculation method before formal evidence collection.</w:t>
            </w:r>
          </w:p>
        </w:tc>
      </w:tr>
      <w:tr>
        <w:tc>
          <w:tcPr>
            <w:tcW w:type="dxa" w:w="2088"/>
            <w:vAlign w:val="center"/>
          </w:tcPr>
          <w:p>
            <w:pPr>
              <w:pStyle w:val="Table-content"/>
              <w:spacing w:after="0"/>
            </w:pPr>
            <w:r/>
            <w:r>
              <w:rPr>
                <w:rFonts w:ascii="Arial" w:hAnsi="Arial"/>
                <w:b w:val="0"/>
                <w:color w:val="102A43"/>
                <w:sz w:val="16"/>
              </w:rPr>
              <w:t>Ungrounded generated explanations</w:t>
            </w:r>
          </w:p>
        </w:tc>
        <w:tc>
          <w:tcPr>
            <w:tcW w:type="dxa" w:w="3096"/>
            <w:vAlign w:val="center"/>
          </w:tcPr>
          <w:p>
            <w:pPr>
              <w:pStyle w:val="Table-content"/>
              <w:spacing w:after="0"/>
            </w:pPr>
            <w:r/>
            <w:r>
              <w:rPr>
                <w:rFonts w:ascii="Arial" w:hAnsi="Arial"/>
                <w:b w:val="0"/>
                <w:color w:val="102A43"/>
                <w:sz w:val="16"/>
              </w:rPr>
              <w:t>Can reduce trust or misrepresent Apps.</w:t>
            </w:r>
          </w:p>
        </w:tc>
        <w:tc>
          <w:tcPr>
            <w:tcW w:type="dxa" w:w="3816"/>
            <w:vAlign w:val="center"/>
          </w:tcPr>
          <w:p>
            <w:pPr>
              <w:pStyle w:val="Table-content"/>
              <w:spacing w:after="0"/>
            </w:pPr>
            <w:r/>
            <w:r>
              <w:rPr>
                <w:rFonts w:ascii="Arial" w:hAnsi="Arial"/>
                <w:b w:val="0"/>
                <w:color w:val="102A43"/>
                <w:sz w:val="16"/>
              </w:rPr>
              <w:t>Ground on source records, validate claims and links, constrain output, and use deterministic fallback or abstention.</w:t>
            </w:r>
          </w:p>
        </w:tc>
      </w:tr>
      <w:tr>
        <w:tc>
          <w:tcPr>
            <w:tcW w:type="dxa" w:w="2088"/>
            <w:vAlign w:val="center"/>
            <w:shd w:fill="F4F8FC"/>
          </w:tcPr>
          <w:p>
            <w:pPr>
              <w:pStyle w:val="Table-content"/>
              <w:spacing w:after="0"/>
            </w:pPr>
            <w:r/>
            <w:r>
              <w:rPr>
                <w:rFonts w:ascii="Arial" w:hAnsi="Arial"/>
                <w:b w:val="0"/>
                <w:color w:val="102A43"/>
                <w:sz w:val="16"/>
              </w:rPr>
              <w:t>Catalogue lifecycle incomplete</w:t>
            </w:r>
          </w:p>
        </w:tc>
        <w:tc>
          <w:tcPr>
            <w:tcW w:type="dxa" w:w="3096"/>
            <w:vAlign w:val="center"/>
            <w:shd w:fill="F4F8FC"/>
          </w:tcPr>
          <w:p>
            <w:pPr>
              <w:pStyle w:val="Table-content"/>
              <w:spacing w:after="0"/>
            </w:pPr>
            <w:r/>
            <w:r>
              <w:rPr>
                <w:rFonts w:ascii="Arial" w:hAnsi="Arial"/>
                <w:b w:val="0"/>
                <w:color w:val="102A43"/>
                <w:sz w:val="16"/>
              </w:rPr>
              <w:t>Withdrawn or changed Apps can remain discoverable.</w:t>
            </w:r>
          </w:p>
        </w:tc>
        <w:tc>
          <w:tcPr>
            <w:tcW w:type="dxa" w:w="3816"/>
            <w:vAlign w:val="center"/>
            <w:shd w:fill="F4F8FC"/>
          </w:tcPr>
          <w:p>
            <w:pPr>
              <w:pStyle w:val="Table-content"/>
              <w:spacing w:after="0"/>
            </w:pPr>
            <w:r/>
            <w:r>
              <w:rPr>
                <w:rFonts w:ascii="Arial" w:hAnsi="Arial"/>
                <w:b w:val="0"/>
                <w:color w:val="102A43"/>
                <w:sz w:val="16"/>
              </w:rPr>
              <w:t>Agree stable IDs, timestamps, tombstones/deletion behavior, reconciliation, and freshness measurement.</w:t>
            </w:r>
          </w:p>
        </w:tc>
      </w:tr>
      <w:tr>
        <w:tc>
          <w:tcPr>
            <w:tcW w:type="dxa" w:w="2088"/>
            <w:vAlign w:val="center"/>
          </w:tcPr>
          <w:p>
            <w:pPr>
              <w:pStyle w:val="Table-content"/>
              <w:spacing w:after="0"/>
            </w:pPr>
            <w:r/>
            <w:r>
              <w:rPr>
                <w:rFonts w:ascii="Arial" w:hAnsi="Arial"/>
                <w:b w:val="0"/>
                <w:color w:val="102A43"/>
                <w:sz w:val="16"/>
              </w:rPr>
              <w:t>Frontend integration incompatibility</w:t>
            </w:r>
          </w:p>
        </w:tc>
        <w:tc>
          <w:tcPr>
            <w:tcW w:type="dxa" w:w="3096"/>
            <w:vAlign w:val="center"/>
          </w:tcPr>
          <w:p>
            <w:pPr>
              <w:pStyle w:val="Table-content"/>
              <w:spacing w:after="0"/>
            </w:pPr>
            <w:r/>
            <w:r>
              <w:rPr>
                <w:rFonts w:ascii="Arial" w:hAnsi="Arial"/>
                <w:b w:val="0"/>
                <w:color w:val="102A43"/>
                <w:sz w:val="16"/>
              </w:rPr>
              <w:t>Plug-in may fail CSP, identity, accessibility, or release requirements.</w:t>
            </w:r>
          </w:p>
        </w:tc>
        <w:tc>
          <w:tcPr>
            <w:tcW w:type="dxa" w:w="3816"/>
            <w:vAlign w:val="center"/>
          </w:tcPr>
          <w:p>
            <w:pPr>
              <w:pStyle w:val="Table-content"/>
              <w:spacing w:after="0"/>
            </w:pPr>
            <w:r/>
            <w:r>
              <w:rPr>
                <w:rFonts w:ascii="Arial" w:hAnsi="Arial"/>
                <w:b w:val="0"/>
                <w:color w:val="102A43"/>
                <w:sz w:val="16"/>
              </w:rPr>
              <w:t>Apply the App Store integration guidance and test against the staging environment.</w:t>
            </w:r>
          </w:p>
        </w:tc>
      </w:tr>
      <w:tr>
        <w:tc>
          <w:tcPr>
            <w:tcW w:type="dxa" w:w="2088"/>
            <w:vAlign w:val="center"/>
            <w:shd w:fill="F4F8FC"/>
          </w:tcPr>
          <w:p>
            <w:pPr>
              <w:pStyle w:val="Table-content"/>
              <w:spacing w:after="0"/>
            </w:pPr>
            <w:r/>
            <w:r>
              <w:rPr>
                <w:rFonts w:ascii="Arial" w:hAnsi="Arial"/>
                <w:b w:val="0"/>
                <w:color w:val="102A43"/>
                <w:sz w:val="16"/>
              </w:rPr>
              <w:t>Deployment responsibilities incomplete</w:t>
            </w:r>
          </w:p>
        </w:tc>
        <w:tc>
          <w:tcPr>
            <w:tcW w:type="dxa" w:w="3096"/>
            <w:vAlign w:val="center"/>
            <w:shd w:fill="F4F8FC"/>
          </w:tcPr>
          <w:p>
            <w:pPr>
              <w:pStyle w:val="Table-content"/>
              <w:spacing w:after="0"/>
            </w:pPr>
            <w:r/>
            <w:r>
              <w:rPr>
                <w:rFonts w:ascii="Arial" w:hAnsi="Arial"/>
                <w:b w:val="0"/>
                <w:color w:val="102A43"/>
                <w:sz w:val="16"/>
              </w:rPr>
              <w:t>Can create gaps in DNS/TLS, secrets, monitoring, incident response, and rollback.</w:t>
            </w:r>
          </w:p>
        </w:tc>
        <w:tc>
          <w:tcPr>
            <w:tcW w:type="dxa" w:w="3816"/>
            <w:vAlign w:val="center"/>
            <w:shd w:fill="F4F8FC"/>
          </w:tcPr>
          <w:p>
            <w:pPr>
              <w:pStyle w:val="Table-content"/>
              <w:spacing w:after="0"/>
            </w:pPr>
            <w:r/>
            <w:r>
              <w:rPr>
                <w:rFonts w:ascii="Arial" w:hAnsi="Arial"/>
                <w:b w:val="0"/>
                <w:color w:val="102A43"/>
                <w:sz w:val="16"/>
              </w:rPr>
              <w:t>Document the responsibility matrix and environment checklist before deployment.</w:t>
            </w:r>
          </w:p>
        </w:tc>
      </w:tr>
      <w:tr>
        <w:tc>
          <w:tcPr>
            <w:tcW w:type="dxa" w:w="2088"/>
            <w:vAlign w:val="center"/>
          </w:tcPr>
          <w:p>
            <w:pPr>
              <w:pStyle w:val="Table-content"/>
              <w:spacing w:after="0"/>
            </w:pPr>
            <w:r/>
            <w:r>
              <w:rPr>
                <w:rFonts w:ascii="Arial" w:hAnsi="Arial"/>
                <w:b w:val="0"/>
                <w:color w:val="102A43"/>
                <w:sz w:val="16"/>
              </w:rPr>
              <w:t>Personal data enters free text</w:t>
            </w:r>
          </w:p>
        </w:tc>
        <w:tc>
          <w:tcPr>
            <w:tcW w:type="dxa" w:w="3096"/>
            <w:vAlign w:val="center"/>
          </w:tcPr>
          <w:p>
            <w:pPr>
              <w:pStyle w:val="Table-content"/>
              <w:spacing w:after="0"/>
            </w:pPr>
            <w:r/>
            <w:r>
              <w:rPr>
                <w:rFonts w:ascii="Arial" w:hAnsi="Arial"/>
                <w:b w:val="0"/>
                <w:color w:val="102A43"/>
                <w:sz w:val="16"/>
              </w:rPr>
              <w:t>Creates unplanned privacy and retention obligations.</w:t>
            </w:r>
          </w:p>
        </w:tc>
        <w:tc>
          <w:tcPr>
            <w:tcW w:type="dxa" w:w="3816"/>
            <w:vAlign w:val="center"/>
          </w:tcPr>
          <w:p>
            <w:pPr>
              <w:pStyle w:val="Table-content"/>
              <w:spacing w:after="0"/>
            </w:pPr>
            <w:r/>
            <w:r>
              <w:rPr>
                <w:rFonts w:ascii="Arial" w:hAnsi="Arial"/>
                <w:b w:val="0"/>
                <w:color w:val="102A43"/>
                <w:sz w:val="16"/>
              </w:rPr>
              <w:t>Minimize logging, filter sensitive fields, apply the retention and access policy, and reassess data-protection requirements if scope changes.</w:t>
            </w:r>
          </w:p>
        </w:tc>
      </w:tr>
    </w:tbl>
    <w:p>
      <w:pPr>
        <w:spacing w:after="0"/>
      </w:pPr>
    </w:p>
    <w:p>
      <w:pPr>
        <w:pStyle w:val="Heading1"/>
        <w:keepNext/>
      </w:pPr>
      <w:r>
        <w:t>12 TRACEABILITY</w:t>
      </w:r>
    </w:p>
    <w:p>
      <w:pPr>
        <w:pStyle w:val="Caption"/>
        <w:keepNext/>
        <w:spacing w:before="100" w:after="60"/>
      </w:pPr>
      <w:r>
        <w:t xml:space="preserve">Table </w:t>
      </w:r>
      <w:r>
        <w:fldChar w:fldCharType="begin" w:dirty="true"/>
        <w:instrText xml:space="preserve"> SEQ Table \* ARABIC </w:instrText>
        <w:fldChar w:fldCharType="separate"/>
      </w:r>
      <w:r>
        <w:t>11</w:t>
      </w:r>
      <w:r>
        <w:fldChar w:fldCharType="end"/>
      </w:r>
      <w:r>
        <w:t>. Traceability from project objectives to this architecture</w:t>
      </w:r>
    </w:p>
    <w:tbl>
      <w:tblPr>
        <w:tblStyle w:val="TableGrid"/>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2160"/>
            <w:vAlign w:val="center"/>
            <w:shd w:fill="2B6CB0"/>
          </w:tcPr>
          <w:p>
            <w:pPr>
              <w:pStyle w:val="Table-content"/>
              <w:spacing w:after="0"/>
            </w:pPr>
            <w:r/>
            <w:r>
              <w:rPr>
                <w:rFonts w:ascii="Arial" w:hAnsi="Arial"/>
                <w:b/>
                <w:color w:val="FFFFFF"/>
                <w:sz w:val="17"/>
              </w:rPr>
              <w:t>Project objective</w:t>
            </w:r>
          </w:p>
        </w:tc>
        <w:tc>
          <w:tcPr>
            <w:tcW w:type="dxa" w:w="4392"/>
            <w:vAlign w:val="center"/>
            <w:shd w:fill="2B6CB0"/>
          </w:tcPr>
          <w:p>
            <w:pPr>
              <w:pStyle w:val="Table-content"/>
              <w:spacing w:after="0"/>
            </w:pPr>
            <w:r/>
            <w:r>
              <w:rPr>
                <w:rFonts w:ascii="Arial" w:hAnsi="Arial"/>
                <w:b/>
                <w:color w:val="FFFFFF"/>
                <w:sz w:val="17"/>
              </w:rPr>
              <w:t>Architecture response</w:t>
            </w:r>
          </w:p>
        </w:tc>
        <w:tc>
          <w:tcPr>
            <w:tcW w:type="dxa" w:w="2448"/>
            <w:vAlign w:val="center"/>
            <w:shd w:fill="2B6CB0"/>
          </w:tcPr>
          <w:p>
            <w:pPr>
              <w:pStyle w:val="Table-content"/>
              <w:spacing w:after="0"/>
            </w:pPr>
            <w:r/>
            <w:r>
              <w:rPr>
                <w:rFonts w:ascii="Arial" w:hAnsi="Arial"/>
                <w:b/>
                <w:color w:val="FFFFFF"/>
                <w:sz w:val="17"/>
              </w:rPr>
              <w:t>Verification path</w:t>
            </w:r>
          </w:p>
        </w:tc>
      </w:tr>
      <w:tr>
        <w:tc>
          <w:tcPr>
            <w:tcW w:type="dxa" w:w="2160"/>
            <w:vAlign w:val="center"/>
          </w:tcPr>
          <w:p>
            <w:pPr>
              <w:pStyle w:val="Table-content"/>
              <w:spacing w:after="0"/>
            </w:pPr>
            <w:r/>
            <w:r>
              <w:rPr>
                <w:rFonts w:ascii="Arial" w:hAnsi="Arial"/>
                <w:b w:val="0"/>
                <w:color w:val="102A43"/>
                <w:sz w:val="16"/>
              </w:rPr>
              <w:t>Objective 1 — conversational discovery</w:t>
            </w:r>
          </w:p>
        </w:tc>
        <w:tc>
          <w:tcPr>
            <w:tcW w:type="dxa" w:w="4392"/>
            <w:vAlign w:val="center"/>
          </w:tcPr>
          <w:p>
            <w:pPr>
              <w:pStyle w:val="Table-content"/>
              <w:spacing w:after="0"/>
            </w:pPr>
            <w:r/>
            <w:r>
              <w:rPr>
                <w:rFonts w:ascii="Arial" w:hAnsi="Arial"/>
                <w:b w:val="0"/>
                <w:color w:val="102A43"/>
                <w:sz w:val="16"/>
              </w:rPr>
              <w:t>Sections 4 and 5 define the plug-in, conversational path, retrieval, and grounded response.</w:t>
            </w:r>
          </w:p>
        </w:tc>
        <w:tc>
          <w:tcPr>
            <w:tcW w:type="dxa" w:w="2448"/>
            <w:vAlign w:val="center"/>
          </w:tcPr>
          <w:p>
            <w:pPr>
              <w:pStyle w:val="Table-content"/>
              <w:spacing w:after="0"/>
            </w:pPr>
            <w:r/>
            <w:r>
              <w:rPr>
                <w:rFonts w:ascii="Arial" w:hAnsi="Arial"/>
                <w:b w:val="0"/>
                <w:color w:val="102A43"/>
                <w:sz w:val="16"/>
              </w:rPr>
              <w:t>Agreed interface tests and user scenarios.</w:t>
            </w:r>
          </w:p>
        </w:tc>
      </w:tr>
      <w:tr>
        <w:tc>
          <w:tcPr>
            <w:tcW w:type="dxa" w:w="2160"/>
            <w:vAlign w:val="center"/>
            <w:shd w:fill="F4F8FC"/>
          </w:tcPr>
          <w:p>
            <w:pPr>
              <w:pStyle w:val="Table-content"/>
              <w:spacing w:after="0"/>
            </w:pPr>
            <w:r/>
            <w:r>
              <w:rPr>
                <w:rFonts w:ascii="Arial" w:hAnsi="Arial"/>
                <w:b w:val="0"/>
                <w:color w:val="102A43"/>
                <w:sz w:val="16"/>
              </w:rPr>
              <w:t>Objective 2 — metadata ingestion</w:t>
            </w:r>
          </w:p>
        </w:tc>
        <w:tc>
          <w:tcPr>
            <w:tcW w:type="dxa" w:w="4392"/>
            <w:vAlign w:val="center"/>
            <w:shd w:fill="F4F8FC"/>
          </w:tcPr>
          <w:p>
            <w:pPr>
              <w:pStyle w:val="Table-content"/>
              <w:spacing w:after="0"/>
            </w:pPr>
            <w:r/>
            <w:r>
              <w:rPr>
                <w:rFonts w:ascii="Arial" w:hAnsi="Arial"/>
                <w:b w:val="0"/>
                <w:color w:val="102A43"/>
                <w:sz w:val="16"/>
              </w:rPr>
              <w:t>Sections 5.2, 6, and 7.1 define acquisition, normalization, lifecycle, indexing, and provenance.</w:t>
            </w:r>
          </w:p>
        </w:tc>
        <w:tc>
          <w:tcPr>
            <w:tcW w:type="dxa" w:w="2448"/>
            <w:vAlign w:val="center"/>
            <w:shd w:fill="F4F8FC"/>
          </w:tcPr>
          <w:p>
            <w:pPr>
              <w:pStyle w:val="Table-content"/>
              <w:spacing w:after="0"/>
            </w:pPr>
            <w:r/>
            <w:r>
              <w:rPr>
                <w:rFonts w:ascii="Arial" w:hAnsi="Arial"/>
                <w:b w:val="0"/>
                <w:color w:val="102A43"/>
                <w:sz w:val="16"/>
              </w:rPr>
              <w:t>Contract tests and agreed freshness evidence.</w:t>
            </w:r>
          </w:p>
        </w:tc>
      </w:tr>
      <w:tr>
        <w:tc>
          <w:tcPr>
            <w:tcW w:type="dxa" w:w="2160"/>
            <w:vAlign w:val="center"/>
          </w:tcPr>
          <w:p>
            <w:pPr>
              <w:pStyle w:val="Table-content"/>
              <w:spacing w:after="0"/>
            </w:pPr>
            <w:r/>
            <w:r>
              <w:rPr>
                <w:rFonts w:ascii="Arial" w:hAnsi="Arial"/>
                <w:b w:val="0"/>
                <w:color w:val="102A43"/>
                <w:sz w:val="16"/>
              </w:rPr>
              <w:t>Objective 3 — hybrid retrieval</w:t>
            </w:r>
          </w:p>
        </w:tc>
        <w:tc>
          <w:tcPr>
            <w:tcW w:type="dxa" w:w="4392"/>
            <w:vAlign w:val="center"/>
          </w:tcPr>
          <w:p>
            <w:pPr>
              <w:pStyle w:val="Table-content"/>
              <w:spacing w:after="0"/>
            </w:pPr>
            <w:r/>
            <w:r>
              <w:rPr>
                <w:rFonts w:ascii="Arial" w:hAnsi="Arial"/>
                <w:b w:val="0"/>
                <w:color w:val="102A43"/>
                <w:sz w:val="16"/>
              </w:rPr>
              <w:t>Sections 4.2 and 6.2 separate keyword/vector representations and optional semantic signals.</w:t>
            </w:r>
          </w:p>
        </w:tc>
        <w:tc>
          <w:tcPr>
            <w:tcW w:type="dxa" w:w="2448"/>
            <w:vAlign w:val="center"/>
          </w:tcPr>
          <w:p>
            <w:pPr>
              <w:pStyle w:val="Table-content"/>
              <w:spacing w:after="0"/>
            </w:pPr>
            <w:r/>
            <w:r>
              <w:rPr>
                <w:rFonts w:ascii="Arial" w:hAnsi="Arial"/>
                <w:b w:val="0"/>
                <w:color w:val="102A43"/>
                <w:sz w:val="16"/>
              </w:rPr>
              <w:t>Held-out relevance evaluation.</w:t>
            </w:r>
          </w:p>
        </w:tc>
      </w:tr>
      <w:tr>
        <w:tc>
          <w:tcPr>
            <w:tcW w:type="dxa" w:w="2160"/>
            <w:vAlign w:val="center"/>
            <w:shd w:fill="F4F8FC"/>
          </w:tcPr>
          <w:p>
            <w:pPr>
              <w:pStyle w:val="Table-content"/>
              <w:spacing w:after="0"/>
            </w:pPr>
            <w:r/>
            <w:r>
              <w:rPr>
                <w:rFonts w:ascii="Arial" w:hAnsi="Arial"/>
                <w:b w:val="0"/>
                <w:color w:val="102A43"/>
                <w:sz w:val="16"/>
              </w:rPr>
              <w:t>Objective 4 — expert LLM layer</w:t>
            </w:r>
          </w:p>
        </w:tc>
        <w:tc>
          <w:tcPr>
            <w:tcW w:type="dxa" w:w="4392"/>
            <w:vAlign w:val="center"/>
            <w:shd w:fill="F4F8FC"/>
          </w:tcPr>
          <w:p>
            <w:pPr>
              <w:pStyle w:val="Table-content"/>
              <w:spacing w:after="0"/>
            </w:pPr>
            <w:r/>
            <w:r>
              <w:rPr>
                <w:rFonts w:ascii="Arial" w:hAnsi="Arial"/>
                <w:b w:val="0"/>
                <w:color w:val="102A43"/>
                <w:sz w:val="16"/>
              </w:rPr>
              <w:t>Sections 4.2, 5.1, and 6.3 define corpus governance and source-grounded rationales.</w:t>
            </w:r>
          </w:p>
        </w:tc>
        <w:tc>
          <w:tcPr>
            <w:tcW w:type="dxa" w:w="2448"/>
            <w:vAlign w:val="center"/>
            <w:shd w:fill="F4F8FC"/>
          </w:tcPr>
          <w:p>
            <w:pPr>
              <w:pStyle w:val="Table-content"/>
              <w:spacing w:after="0"/>
            </w:pPr>
            <w:r/>
            <w:r>
              <w:rPr>
                <w:rFonts w:ascii="Arial" w:hAnsi="Arial"/>
                <w:b w:val="0"/>
                <w:color w:val="102A43"/>
                <w:sz w:val="16"/>
              </w:rPr>
              <w:t>Explanation rubric and reviewer evidence.</w:t>
            </w:r>
          </w:p>
        </w:tc>
      </w:tr>
      <w:tr>
        <w:tc>
          <w:tcPr>
            <w:tcW w:type="dxa" w:w="2160"/>
            <w:vAlign w:val="center"/>
          </w:tcPr>
          <w:p>
            <w:pPr>
              <w:pStyle w:val="Table-content"/>
              <w:spacing w:after="0"/>
            </w:pPr>
            <w:r/>
            <w:r>
              <w:rPr>
                <w:rFonts w:ascii="Arial" w:hAnsi="Arial"/>
                <w:b w:val="0"/>
                <w:color w:val="102A43"/>
                <w:sz w:val="16"/>
              </w:rPr>
              <w:t>Objective 5 — App Store plug-in</w:t>
            </w:r>
          </w:p>
        </w:tc>
        <w:tc>
          <w:tcPr>
            <w:tcW w:type="dxa" w:w="4392"/>
            <w:vAlign w:val="center"/>
          </w:tcPr>
          <w:p>
            <w:pPr>
              <w:pStyle w:val="Table-content"/>
              <w:spacing w:after="0"/>
            </w:pPr>
            <w:r/>
            <w:r>
              <w:rPr>
                <w:rFonts w:ascii="Arial" w:hAnsi="Arial"/>
                <w:b w:val="0"/>
                <w:color w:val="102A43"/>
                <w:sz w:val="16"/>
              </w:rPr>
              <w:t>Sections 3 and 7.2 define the frontend and security integration boundary.</w:t>
            </w:r>
          </w:p>
        </w:tc>
        <w:tc>
          <w:tcPr>
            <w:tcW w:type="dxa" w:w="2448"/>
            <w:vAlign w:val="center"/>
          </w:tcPr>
          <w:p>
            <w:pPr>
              <w:pStyle w:val="Table-content"/>
              <w:spacing w:after="0"/>
            </w:pPr>
            <w:r/>
            <w:r>
              <w:rPr>
                <w:rFonts w:ascii="Arial" w:hAnsi="Arial"/>
                <w:b w:val="0"/>
                <w:color w:val="102A43"/>
                <w:sz w:val="16"/>
              </w:rPr>
              <w:t>Agreed staging compatibility and end-to-end sessions.</w:t>
            </w:r>
          </w:p>
        </w:tc>
      </w:tr>
      <w:tr>
        <w:tc>
          <w:tcPr>
            <w:tcW w:type="dxa" w:w="2160"/>
            <w:vAlign w:val="center"/>
            <w:shd w:fill="F4F8FC"/>
          </w:tcPr>
          <w:p>
            <w:pPr>
              <w:pStyle w:val="Table-content"/>
              <w:spacing w:after="0"/>
            </w:pPr>
            <w:r/>
            <w:r>
              <w:rPr>
                <w:rFonts w:ascii="Arial" w:hAnsi="Arial"/>
                <w:b w:val="0"/>
                <w:color w:val="102A43"/>
                <w:sz w:val="16"/>
              </w:rPr>
              <w:t>Objective 6 — open documentation</w:t>
            </w:r>
          </w:p>
        </w:tc>
        <w:tc>
          <w:tcPr>
            <w:tcW w:type="dxa" w:w="4392"/>
            <w:vAlign w:val="center"/>
            <w:shd w:fill="F4F8FC"/>
          </w:tcPr>
          <w:p>
            <w:pPr>
              <w:pStyle w:val="Table-content"/>
              <w:spacing w:after="0"/>
            </w:pPr>
            <w:r/>
            <w:r>
              <w:rPr>
                <w:rFonts w:ascii="Arial" w:hAnsi="Arial"/>
                <w:b w:val="0"/>
                <w:color w:val="102A43"/>
                <w:sz w:val="16"/>
              </w:rPr>
              <w:t>Section 7.3 requires versioned OpenAPI; Section 10 identifies integration artifacts.</w:t>
            </w:r>
          </w:p>
        </w:tc>
        <w:tc>
          <w:tcPr>
            <w:tcW w:type="dxa" w:w="2448"/>
            <w:vAlign w:val="center"/>
            <w:shd w:fill="F4F8FC"/>
          </w:tcPr>
          <w:p>
            <w:pPr>
              <w:pStyle w:val="Table-content"/>
              <w:spacing w:after="0"/>
            </w:pPr>
            <w:r/>
            <w:r>
              <w:rPr>
                <w:rFonts w:ascii="Arial" w:hAnsi="Arial"/>
                <w:b w:val="0"/>
                <w:color w:val="102A43"/>
                <w:sz w:val="16"/>
              </w:rPr>
              <w:t>Repository, licence, release, API and deployment documentation review.</w:t>
            </w:r>
          </w:p>
        </w:tc>
      </w:tr>
      <w:tr>
        <w:tc>
          <w:tcPr>
            <w:tcW w:type="dxa" w:w="2160"/>
            <w:vAlign w:val="center"/>
          </w:tcPr>
          <w:p>
            <w:pPr>
              <w:pStyle w:val="Table-content"/>
              <w:spacing w:after="0"/>
            </w:pPr>
            <w:r/>
            <w:r>
              <w:rPr>
                <w:rFonts w:ascii="Arial" w:hAnsi="Arial"/>
                <w:b w:val="0"/>
                <w:color w:val="102A43"/>
                <w:sz w:val="16"/>
              </w:rPr>
              <w:t>M1 — architecture approval</w:t>
            </w:r>
          </w:p>
        </w:tc>
        <w:tc>
          <w:tcPr>
            <w:tcW w:type="dxa" w:w="4392"/>
            <w:vAlign w:val="center"/>
          </w:tcPr>
          <w:p>
            <w:pPr>
              <w:pStyle w:val="Table-content"/>
              <w:spacing w:after="0"/>
            </w:pPr>
            <w:r/>
            <w:r>
              <w:rPr>
                <w:rFonts w:ascii="Arial" w:hAnsi="Arial"/>
                <w:b w:val="0"/>
                <w:color w:val="102A43"/>
                <w:sz w:val="16"/>
              </w:rPr>
              <w:t>This D2.1 provides the system architecture and integration baseline.</w:t>
            </w:r>
          </w:p>
        </w:tc>
        <w:tc>
          <w:tcPr>
            <w:tcW w:type="dxa" w:w="2448"/>
            <w:vAlign w:val="center"/>
          </w:tcPr>
          <w:p>
            <w:pPr>
              <w:pStyle w:val="Table-content"/>
              <w:spacing w:after="0"/>
            </w:pPr>
            <w:r/>
            <w:r>
              <w:rPr>
                <w:rFonts w:ascii="Arial" w:hAnsi="Arial"/>
                <w:b w:val="0"/>
                <w:color w:val="102A43"/>
                <w:sz w:val="16"/>
              </w:rPr>
              <w:t>Recorded review comments and architecture approval.</w:t>
            </w:r>
          </w:p>
        </w:tc>
      </w:tr>
    </w:tbl>
    <w:p>
      <w:pPr>
        <w:spacing w:after="0"/>
      </w:pPr>
    </w:p>
    <w:p>
      <w:pPr>
        <w:pStyle w:val="Heading1"/>
        <w:keepNext/>
      </w:pPr>
      <w:r>
        <w:t>13 CONCLUSION AND NEXT STEPS</w:t>
      </w:r>
    </w:p>
    <w:p>
      <w:pPr>
        <w:pStyle w:val="BodyText"/>
        <w:spacing w:after="100" w:line="259" w:lineRule="auto"/>
      </w:pPr>
      <w:r>
        <w:t>This deliverable defines the HEDGE-ExpertAI target architecture, integration boundaries, information flows, technology baseline, security principles, and validation approach. The modular design supports conversational App discovery, source-grounded recommendations, catalogue synchronization, and portable deployment.</w:t>
      </w:r>
    </w:p>
    <w:p>
      <w:pPr>
        <w:pStyle w:val="BodyText"/>
        <w:spacing w:after="100" w:line="259" w:lineRule="auto"/>
      </w:pPr>
      <w:r>
        <w:t>The next integration activities are to establish the official App Store interface mapping, complete the plug-in compatibility checklist, prepare the selected deployment environment, and baseline the joint validation dataset and measurement protocol. The resulting technical artifacts will support implementation, integration testing, and architecture review.</w:t>
      </w:r>
    </w:p>
    <w:p>
      <w:pPr>
        <w:pStyle w:val="Heading1"/>
        <w:keepNext/>
      </w:pPr>
      <w:r>
        <w:t>REFERENCES</w:t>
      </w:r>
    </w:p>
    <w:p>
      <w:pPr>
        <w:pStyle w:val="Reference"/>
      </w:pPr>
      <w:r>
        <w:t>[1] HEDGE-ExpertAI, Open Call 1 project proposal: Context-Aware AI Discovery and Recommendation Assistant for the HEDGE-IoT App Store.</w:t>
      </w:r>
    </w:p>
    <w:p>
      <w:pPr>
        <w:pStyle w:val="Reference"/>
      </w:pPr>
      <w:r>
        <w:t>[2] HEDGE-IoT, Open Call 1 Deliverable Template, supplied project template.</w:t>
      </w:r>
    </w:p>
    <w:p>
      <w:pPr>
        <w:pStyle w:val="Reference"/>
      </w:pPr>
      <w:r>
        <w:t>[3] ETSI, SAREF portal and ontology documentation, https://saref.etsi.org/.</w:t>
      </w:r>
    </w:p>
    <w:p>
      <w:pPr>
        <w:pStyle w:val="Reference"/>
      </w:pPr>
      <w:r>
        <w:t>[4] OpenAPI Initiative, OpenAPI Specification, https://spec.openapis.org/oas/latest.html.</w:t>
      </w:r>
    </w:p>
    <w:p>
      <w:pPr>
        <w:pStyle w:val="Reference"/>
      </w:pPr>
      <w:r>
        <w:t>[5] European Union, Regulation (EU) 2016/679 (General Data Protection Regulation).</w:t>
      </w:r>
    </w:p>
    <w:sectPr w:rsidR="00CB1F2F" w:rsidRPr="00E07A91" w:rsidSect="0022605F">
      <w:headerReference w:type="even" r:id="rId12"/>
      <w:headerReference w:type="default" r:id="rId13"/>
      <w:footerReference w:type="even" r:id="rId14"/>
      <w:footerReference w:type="default" r:id="rId15"/>
      <w:headerReference w:type="first" r:id="rId16"/>
      <w:footerReference w:type="first" r:id="rId17"/>
      <w:pgSz w:w="11900" w:h="16840"/>
      <w:pgMar w:top="2200" w:right="1247" w:bottom="1418" w:left="1298" w:header="0" w:footer="4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0E6B6" w14:textId="77777777" w:rsidR="00513BFD" w:rsidRDefault="00513BFD">
      <w:r>
        <w:separator/>
      </w:r>
    </w:p>
  </w:endnote>
  <w:endnote w:type="continuationSeparator" w:id="0">
    <w:p w14:paraId="1B105E85" w14:textId="77777777" w:rsidR="00513BFD" w:rsidRDefault="00513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altName w:val="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4D"/>
    <w:family w:val="auto"/>
    <w:pitch w:val="variable"/>
    <w:sig w:usb0="A00002FF" w:usb1="4000247B" w:usb2="00000000" w:usb3="00000000" w:csb0="00000197" w:csb1="00000000"/>
  </w:font>
  <w:font w:name="Arial">
    <w:panose1 w:val="020B0604020202020204"/>
    <w:charset w:val="00"/>
    <w:family w:val="swiss"/>
    <w:pitch w:val="variable"/>
    <w:sig w:usb0="E0002AFF" w:usb1="C0007843" w:usb2="00000009" w:usb3="00000000" w:csb0="000001FF" w:csb1="00000000"/>
  </w:font>
  <w:font w:name="Open Sans ExtraBold">
    <w:panose1 w:val="020B09060308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Times New Roman (Body C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rlow">
    <w:altName w:val="Barlow"/>
    <w:panose1 w:val="00000500000000000000"/>
    <w:charset w:val="4D"/>
    <w:family w:val="auto"/>
    <w:pitch w:val="variable"/>
    <w:sig w:usb0="20000007" w:usb1="00000000" w:usb2="00000000" w:usb3="00000000" w:csb0="00000193" w:csb1="00000000"/>
  </w:font>
  <w:font w:name="Gotham">
    <w:altName w:val="Cambria"/>
    <w:panose1 w:val="020B0604020202020204"/>
    <w:charset w:val="00"/>
    <w:family w:val="auto"/>
    <w:notTrueType/>
    <w:pitch w:val="variable"/>
    <w:sig w:usb0="A10002FF" w:usb1="4000005B" w:usb2="00000000" w:usb3="00000000" w:csb0="0000009F" w:csb1="00000000"/>
  </w:font>
  <w:font w:name="Montserrat Light">
    <w:panose1 w:val="000004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4B13" w14:textId="77777777" w:rsidR="00CB1F2F" w:rsidRDefault="00A05AAB">
    <w:pPr>
      <w:pBdr>
        <w:top w:val="nil"/>
        <w:left w:val="nil"/>
        <w:bottom w:val="nil"/>
        <w:right w:val="nil"/>
        <w:between w:val="nil"/>
      </w:pBdr>
      <w:tabs>
        <w:tab w:val="center" w:pos="4680"/>
        <w:tab w:val="right" w:pos="9360"/>
      </w:tabs>
      <w:rPr>
        <w:rFonts w:ascii="Montserrat" w:eastAsia="Montserrat" w:hAnsi="Montserrat" w:cs="Montserrat"/>
        <w:color w:val="BBC7C4"/>
        <w:sz w:val="16"/>
        <w:szCs w:val="16"/>
      </w:rPr>
    </w:pPr>
    <w:r>
      <w:rPr>
        <w:rFonts w:ascii="Montserrat" w:eastAsia="Montserrat" w:hAnsi="Montserrat" w:cs="Montserrat"/>
        <w:color w:val="BBC7C4"/>
        <w:sz w:val="16"/>
        <w:szCs w:val="16"/>
      </w:rPr>
      <w:fldChar w:fldCharType="begin"/>
    </w:r>
    <w:r>
      <w:rPr>
        <w:rFonts w:ascii="Montserrat" w:eastAsia="Montserrat" w:hAnsi="Montserrat" w:cs="Montserrat"/>
        <w:color w:val="BBC7C4"/>
        <w:sz w:val="16"/>
        <w:szCs w:val="16"/>
      </w:rPr>
      <w:instrText>PAGE</w:instrText>
    </w:r>
    <w:r>
      <w:rPr>
        <w:rFonts w:ascii="Montserrat" w:eastAsia="Montserrat" w:hAnsi="Montserrat" w:cs="Montserrat"/>
        <w:color w:val="BBC7C4"/>
        <w:sz w:val="16"/>
        <w:szCs w:val="16"/>
      </w:rPr>
      <w:fldChar w:fldCharType="end"/>
    </w:r>
  </w:p>
  <w:p w14:paraId="2CCCF950" w14:textId="77777777" w:rsidR="00CB1F2F" w:rsidRDefault="00CB1F2F">
    <w:pPr>
      <w:pBdr>
        <w:top w:val="nil"/>
        <w:left w:val="nil"/>
        <w:bottom w:val="nil"/>
        <w:right w:val="nil"/>
        <w:between w:val="nil"/>
      </w:pBdr>
      <w:tabs>
        <w:tab w:val="center" w:pos="4680"/>
        <w:tab w:val="right" w:pos="9360"/>
      </w:tabs>
      <w:rPr>
        <w:rFonts w:ascii="DM Sans" w:hAnsi="DM Sans"/>
        <w:color w:val="4D4F52"/>
      </w:rPr>
    </w:pPr>
  </w:p>
  <w:p w14:paraId="4E852AA2" w14:textId="77777777" w:rsidR="00CB1F2F" w:rsidRDefault="00CB1F2F"/>
  <w:p w14:paraId="65C16802" w14:textId="77777777" w:rsidR="00CB1F2F" w:rsidRDefault="00CB1F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1516" w14:textId="348CDAC0" w:rsidR="00CB1F2F" w:rsidRDefault="00E07A91">
    <w:pPr>
      <w:pBdr>
        <w:top w:val="nil"/>
        <w:left w:val="nil"/>
        <w:bottom w:val="nil"/>
        <w:right w:val="nil"/>
        <w:between w:val="nil"/>
      </w:pBdr>
      <w:tabs>
        <w:tab w:val="center" w:pos="4680"/>
        <w:tab w:val="right" w:pos="9360"/>
      </w:tabs>
      <w:jc w:val="right"/>
      <w:rPr>
        <w:rFonts w:ascii="DM Sans" w:hAnsi="DM Sans"/>
        <w:color w:val="BBC7C4"/>
        <w:sz w:val="16"/>
        <w:szCs w:val="16"/>
      </w:rPr>
    </w:pPr>
    <w:r w:rsidRPr="00225B3E">
      <w:rPr>
        <w:rFonts w:ascii="DM Sans" w:hAnsi="DM Sans"/>
        <w:noProof/>
        <w:color w:val="4D4F52"/>
        <w:lang w:eastAsia="en-US"/>
      </w:rPr>
      <w:drawing>
        <wp:anchor distT="0" distB="0" distL="114300" distR="114300" simplePos="0" relativeHeight="251676672" behindDoc="0" locked="0" layoutInCell="1" allowOverlap="1" wp14:anchorId="1EB283C8" wp14:editId="5CB80E07">
          <wp:simplePos x="0" y="0"/>
          <wp:positionH relativeFrom="column">
            <wp:posOffset>18888</wp:posOffset>
          </wp:positionH>
          <wp:positionV relativeFrom="paragraph">
            <wp:posOffset>-19050</wp:posOffset>
          </wp:positionV>
          <wp:extent cx="1174750" cy="256540"/>
          <wp:effectExtent l="0" t="0" r="0" b="0"/>
          <wp:wrapNone/>
          <wp:docPr id="697604961" name="Imagem 11" descr="Blue text on a black background&#10;&#10;Description automatically generated">
            <a:extLst xmlns:a="http://schemas.openxmlformats.org/drawingml/2006/main">
              <a:ext uri="{FF2B5EF4-FFF2-40B4-BE49-F238E27FC236}">
                <a16:creationId xmlns:a16="http://schemas.microsoft.com/office/drawing/2014/main" id="{E1278C65-E10A-9AC9-0617-9A1DB0058761}"/>
              </a:ext>
            </a:extLst>
          </wp:docPr>
          <wp:cNvGraphicFramePr/>
          <a:graphic xmlns:a="http://schemas.openxmlformats.org/drawingml/2006/main">
            <a:graphicData uri="http://schemas.openxmlformats.org/drawingml/2006/picture">
              <pic:pic xmlns:pic="http://schemas.openxmlformats.org/drawingml/2006/picture">
                <pic:nvPicPr>
                  <pic:cNvPr id="14" name="Imagem 11" descr="Blue text on a black background&#10;&#10;Description automatically generated">
                    <a:extLst>
                      <a:ext uri="{FF2B5EF4-FFF2-40B4-BE49-F238E27FC236}">
                        <a16:creationId xmlns:a16="http://schemas.microsoft.com/office/drawing/2014/main" id="{E1278C65-E10A-9AC9-0617-9A1DB0058761}"/>
                      </a:ext>
                    </a:extLst>
                  </pic:cNvPr>
                  <pic:cNvPicPr/>
                </pic:nvPicPr>
                <pic:blipFill>
                  <a:blip r:embed="rId1"/>
                  <a:srcRect/>
                  <a:stretch/>
                </pic:blipFill>
                <pic:spPr>
                  <a:xfrm>
                    <a:off x="0" y="0"/>
                    <a:ext cx="1174750" cy="256540"/>
                  </a:xfrm>
                  <a:prstGeom prst="rect">
                    <a:avLst/>
                  </a:prstGeom>
                </pic:spPr>
              </pic:pic>
            </a:graphicData>
          </a:graphic>
          <wp14:sizeRelH relativeFrom="margin">
            <wp14:pctWidth>0</wp14:pctWidth>
          </wp14:sizeRelH>
          <wp14:sizeRelV relativeFrom="margin">
            <wp14:pctHeight>0</wp14:pctHeight>
          </wp14:sizeRelV>
        </wp:anchor>
      </w:drawing>
    </w:r>
    <w:r w:rsidR="00225B3E" w:rsidRPr="00225B3E">
      <w:rPr>
        <w:rFonts w:ascii="DM Sans" w:hAnsi="DM Sans"/>
        <w:noProof/>
        <w:color w:val="4D4F52"/>
        <w:lang w:eastAsia="en-US"/>
      </w:rPr>
      <mc:AlternateContent>
        <mc:Choice Requires="wps">
          <w:drawing>
            <wp:anchor distT="0" distB="0" distL="114300" distR="114300" simplePos="0" relativeHeight="251677696" behindDoc="0" locked="0" layoutInCell="1" allowOverlap="1" wp14:anchorId="75D9C8E5" wp14:editId="18676933">
              <wp:simplePos x="0" y="0"/>
              <wp:positionH relativeFrom="column">
                <wp:posOffset>1231900</wp:posOffset>
              </wp:positionH>
              <wp:positionV relativeFrom="paragraph">
                <wp:posOffset>-61433</wp:posOffset>
              </wp:positionV>
              <wp:extent cx="4687570" cy="314325"/>
              <wp:effectExtent l="0" t="0" r="0" b="0"/>
              <wp:wrapNone/>
              <wp:docPr id="514586049" name="TextBox 15"/>
              <wp:cNvGraphicFramePr/>
              <a:graphic xmlns:a="http://schemas.openxmlformats.org/drawingml/2006/main">
                <a:graphicData uri="http://schemas.microsoft.com/office/word/2010/wordprocessingShape">
                  <wps:wsp>
                    <wps:cNvSpPr txBox="1"/>
                    <wps:spPr>
                      <a:xfrm>
                        <a:off x="0" y="0"/>
                        <a:ext cx="4687570" cy="314325"/>
                      </a:xfrm>
                      <a:prstGeom prst="rect">
                        <a:avLst/>
                      </a:prstGeom>
                      <a:noFill/>
                    </wps:spPr>
                    <wps:txbx>
                      <w:txbxContent>
                        <w:p w14:paraId="15FE261F" w14:textId="77777777" w:rsidR="00225B3E" w:rsidRPr="00225B3E" w:rsidRDefault="00225B3E" w:rsidP="00225B3E">
                          <w:pPr>
                            <w:rPr>
                              <w:rFonts w:ascii="Barlow" w:hAnsi="Barlow" w:cstheme="minorBidi"/>
                              <w:color w:val="2D67B3"/>
                              <w:kern w:val="24"/>
                              <w:sz w:val="10"/>
                              <w:szCs w:val="10"/>
                              <w:lang w:val="en-GB"/>
                            </w:rPr>
                          </w:pPr>
                          <w:r w:rsidRPr="00225B3E">
                            <w:rPr>
                              <w:rFonts w:ascii="Barlow" w:hAnsi="Barlow" w:cstheme="minorBidi"/>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75D9C8E5" id="_x0000_t202" coordsize="21600,21600" o:spt="202" path="m,l,21600r21600,l21600,xe">
              <v:stroke joinstyle="miter"/>
              <v:path gradientshapeok="t" o:connecttype="rect"/>
            </v:shapetype>
            <v:shape id="TextBox 15" o:spid="_x0000_s1027" type="#_x0000_t202" style="position:absolute;left:0;text-align:left;margin-left:97pt;margin-top:-4.85pt;width:369.1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" filled="f" stroked="f">
              <v:textbox>
                <w:txbxContent>
                  <w:p w14:paraId="15FE261F" w14:textId="77777777" w:rsidR="00225B3E" w:rsidRPr="00225B3E" w:rsidRDefault="00225B3E" w:rsidP="00225B3E">
                    <w:pPr>
                      <w:rPr>
                        <w:rFonts w:ascii="Barlow" w:hAnsi="Barlow" w:cstheme="minorBidi"/>
                        <w:color w:val="2D67B3"/>
                        <w:kern w:val="24"/>
                        <w:sz w:val="10"/>
                        <w:szCs w:val="10"/>
                        <w:lang w:val="en-GB"/>
                      </w:rPr>
                    </w:pPr>
                    <w:r w:rsidRPr="00225B3E">
                      <w:rPr>
                        <w:rFonts w:ascii="Barlow" w:hAnsi="Barlow" w:cstheme="minorBidi"/>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v:textbox>
            </v:shape>
          </w:pict>
        </mc:Fallback>
      </mc:AlternateContent>
    </w:r>
    <w:r w:rsidR="00225B3E" w:rsidRPr="00225B3E">
      <w:rPr>
        <w:rFonts w:ascii="DM Sans" w:hAnsi="DM Sans"/>
        <w:noProof/>
        <w:color w:val="4D4F52"/>
        <w:lang w:eastAsia="en-US"/>
      </w:rPr>
      <mc:AlternateContent>
        <mc:Choice Requires="wps">
          <w:drawing>
            <wp:anchor distT="0" distB="0" distL="114300" distR="114300" simplePos="0" relativeHeight="251678720" behindDoc="0" locked="0" layoutInCell="1" allowOverlap="1" wp14:anchorId="06551358" wp14:editId="289248A4">
              <wp:simplePos x="0" y="0"/>
              <wp:positionH relativeFrom="column">
                <wp:posOffset>1205230</wp:posOffset>
              </wp:positionH>
              <wp:positionV relativeFrom="paragraph">
                <wp:posOffset>-52543</wp:posOffset>
              </wp:positionV>
              <wp:extent cx="0" cy="310515"/>
              <wp:effectExtent l="12700" t="0" r="12700" b="19685"/>
              <wp:wrapNone/>
              <wp:docPr id="677501332" name="Straight Connector 16"/>
              <wp:cNvGraphicFramePr/>
              <a:graphic xmlns:a="http://schemas.openxmlformats.org/drawingml/2006/main">
                <a:graphicData uri="http://schemas.microsoft.com/office/word/2010/wordprocessingShape">
                  <wps:wsp>
                    <wps:cNvCnPr/>
                    <wps:spPr>
                      <a:xfrm flipH="1">
                        <a:off x="0" y="0"/>
                        <a:ext cx="0" cy="3105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75B2A59" id="Straight Connector 16" o:spid="_x0000_s1026" style="position:absolute;flip:x;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4.9pt,-4.15pt" to="94.9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" strokecolor="#686a6e [3213]" strokeweight="1.5pt">
              <v:stroke joinstyle="miter"/>
            </v:line>
          </w:pict>
        </mc:Fallback>
      </mc:AlternateContent>
    </w:r>
    <w:r w:rsidR="00F96CF2">
      <w:rPr>
        <w:rFonts w:ascii="DM Sans" w:hAnsi="DM Sans"/>
        <w:color w:val="686A6E"/>
        <w:sz w:val="16"/>
        <w:szCs w:val="16"/>
      </w:rPr>
      <w:fldChar w:fldCharType="begin"/>
    </w:r>
    <w:r w:rsidR="00F96CF2">
      <w:rPr>
        <w:rFonts w:ascii="DM Sans" w:hAnsi="DM Sans"/>
        <w:color w:val="686A6E"/>
        <w:sz w:val="16"/>
        <w:szCs w:val="16"/>
      </w:rPr>
      <w:instrText>PAGE</w:instrText>
    </w:r>
    <w:r w:rsidR="00F96CF2">
      <w:rPr>
        <w:rFonts w:ascii="DM Sans" w:hAnsi="DM Sans"/>
        <w:color w:val="686A6E"/>
        <w:sz w:val="16"/>
        <w:szCs w:val="16"/>
      </w:rPr>
      <w:fldChar w:fldCharType="separate"/>
    </w:r>
    <w:r w:rsidR="00B50347">
      <w:rPr>
        <w:rFonts w:ascii="DM Sans" w:hAnsi="DM Sans"/>
        <w:noProof/>
        <w:color w:val="686A6E"/>
        <w:sz w:val="16"/>
        <w:szCs w:val="16"/>
      </w:rPr>
      <w:t>20</w:t>
    </w:r>
    <w:r w:rsidR="00F96CF2">
      <w:rPr>
        <w:rFonts w:ascii="DM Sans" w:hAnsi="DM Sans"/>
        <w:color w:val="686A6E"/>
        <w:sz w:val="16"/>
        <w:szCs w:val="16"/>
      </w:rPr>
      <w:fldChar w:fldCharType="end"/>
    </w:r>
  </w:p>
  <w:p w14:paraId="761BAF73" w14:textId="46B4CEC0" w:rsidR="00CB1F2F" w:rsidRDefault="00CB1F2F">
    <w:pPr>
      <w:pBdr>
        <w:top w:val="nil"/>
        <w:left w:val="nil"/>
        <w:bottom w:val="nil"/>
        <w:right w:val="nil"/>
        <w:between w:val="nil"/>
      </w:pBdr>
      <w:tabs>
        <w:tab w:val="center" w:pos="4680"/>
        <w:tab w:val="right" w:pos="9360"/>
      </w:tabs>
      <w:rPr>
        <w:rFonts w:ascii="DM Sans" w:hAnsi="DM Sans"/>
        <w:color w:val="4D4F5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DA77" w14:textId="6FE1497B" w:rsidR="00CB1F2F" w:rsidRDefault="00225B3E">
    <w:pPr>
      <w:pBdr>
        <w:top w:val="nil"/>
        <w:left w:val="nil"/>
        <w:bottom w:val="nil"/>
        <w:right w:val="nil"/>
        <w:between w:val="nil"/>
      </w:pBdr>
      <w:tabs>
        <w:tab w:val="center" w:pos="4680"/>
        <w:tab w:val="right" w:pos="9360"/>
      </w:tabs>
      <w:rPr>
        <w:rFonts w:ascii="DM Sans" w:hAnsi="DM Sans"/>
        <w:color w:val="4D4F52"/>
      </w:rPr>
    </w:pPr>
    <w:r w:rsidRPr="00225B3E">
      <w:rPr>
        <w:rFonts w:ascii="DM Sans" w:hAnsi="DM Sans"/>
        <w:noProof/>
        <w:color w:val="4D4F52"/>
        <w:lang w:eastAsia="en-US"/>
      </w:rPr>
      <mc:AlternateContent>
        <mc:Choice Requires="wps">
          <w:drawing>
            <wp:anchor distT="0" distB="0" distL="114300" distR="114300" simplePos="0" relativeHeight="251673600" behindDoc="0" locked="0" layoutInCell="1" allowOverlap="1" wp14:anchorId="1392CDB8" wp14:editId="0CC8FF7D">
              <wp:simplePos x="0" y="0"/>
              <wp:positionH relativeFrom="column">
                <wp:posOffset>1397000</wp:posOffset>
              </wp:positionH>
              <wp:positionV relativeFrom="paragraph">
                <wp:posOffset>-416560</wp:posOffset>
              </wp:positionV>
              <wp:extent cx="0" cy="310515"/>
              <wp:effectExtent l="12700" t="0" r="12700" b="19685"/>
              <wp:wrapNone/>
              <wp:docPr id="17" name="Straight Connector 16">
                <a:extLst xmlns:a="http://schemas.openxmlformats.org/drawingml/2006/main">
                  <a:ext uri="{FF2B5EF4-FFF2-40B4-BE49-F238E27FC236}">
                    <a16:creationId xmlns:a16="http://schemas.microsoft.com/office/drawing/2014/main" id="{0B1D0DEE-9EFE-D25F-5FA4-47528491F6A3}"/>
                  </a:ext>
                </a:extLst>
              </wp:docPr>
              <wp:cNvGraphicFramePr/>
              <a:graphic xmlns:a="http://schemas.openxmlformats.org/drawingml/2006/main">
                <a:graphicData uri="http://schemas.microsoft.com/office/word/2010/wordprocessingShape">
                  <wps:wsp>
                    <wps:cNvCnPr/>
                    <wps:spPr>
                      <a:xfrm flipH="1">
                        <a:off x="0" y="0"/>
                        <a:ext cx="0" cy="3105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46C565F" id="Straight Connector 16" o:spid="_x0000_s1026" style="position:absolute;flip:x;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0pt,-32.8pt" to="110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" strokecolor="#686a6e [3213]" strokeweight="1.5pt">
              <v:stroke joinstyle="miter"/>
            </v:line>
          </w:pict>
        </mc:Fallback>
      </mc:AlternateContent>
    </w:r>
    <w:r w:rsidRPr="00225B3E">
      <w:rPr>
        <w:rFonts w:ascii="DM Sans" w:hAnsi="DM Sans"/>
        <w:noProof/>
        <w:color w:val="4D4F52"/>
        <w:lang w:eastAsia="en-US"/>
      </w:rPr>
      <mc:AlternateContent>
        <mc:Choice Requires="wps">
          <w:drawing>
            <wp:anchor distT="0" distB="0" distL="114300" distR="114300" simplePos="0" relativeHeight="251672576" behindDoc="0" locked="0" layoutInCell="1" allowOverlap="1" wp14:anchorId="64EB47AA" wp14:editId="69AC29B5">
              <wp:simplePos x="0" y="0"/>
              <wp:positionH relativeFrom="column">
                <wp:posOffset>1525270</wp:posOffset>
              </wp:positionH>
              <wp:positionV relativeFrom="paragraph">
                <wp:posOffset>-417830</wp:posOffset>
              </wp:positionV>
              <wp:extent cx="4606290" cy="314325"/>
              <wp:effectExtent l="0" t="0" r="0" b="0"/>
              <wp:wrapNone/>
              <wp:docPr id="16" name="TextBox 15">
                <a:extLst xmlns:a="http://schemas.openxmlformats.org/drawingml/2006/main">
                  <a:ext uri="{FF2B5EF4-FFF2-40B4-BE49-F238E27FC236}">
                    <a16:creationId xmlns:a16="http://schemas.microsoft.com/office/drawing/2014/main" id="{9F5E34E9-F926-9698-C8D1-60FA64152D55}"/>
                  </a:ext>
                </a:extLst>
              </wp:docPr>
              <wp:cNvGraphicFramePr/>
              <a:graphic xmlns:a="http://schemas.openxmlformats.org/drawingml/2006/main">
                <a:graphicData uri="http://schemas.microsoft.com/office/word/2010/wordprocessingShape">
                  <wps:wsp>
                    <wps:cNvSpPr txBox="1"/>
                    <wps:spPr>
                      <a:xfrm>
                        <a:off x="0" y="0"/>
                        <a:ext cx="4606290" cy="314325"/>
                      </a:xfrm>
                      <a:prstGeom prst="rect">
                        <a:avLst/>
                      </a:prstGeom>
                      <a:noFill/>
                    </wps:spPr>
                    <wps:txbx>
                      <w:txbxContent>
                        <w:p w14:paraId="404662D4" w14:textId="77777777" w:rsidR="00225B3E" w:rsidRPr="00225B3E" w:rsidRDefault="00225B3E" w:rsidP="00225B3E">
                          <w:pPr>
                            <w:rPr>
                              <w:rFonts w:ascii="Barlow" w:hAnsi="Barlow" w:cstheme="minorBidi"/>
                              <w:color w:val="2D67B3"/>
                              <w:kern w:val="24"/>
                              <w:sz w:val="10"/>
                              <w:szCs w:val="10"/>
                              <w:lang w:val="en-GB"/>
                            </w:rPr>
                          </w:pPr>
                          <w:r w:rsidRPr="00225B3E">
                            <w:rPr>
                              <w:rFonts w:ascii="Barlow" w:hAnsi="Barlow" w:cstheme="minorBidi"/>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64EB47AA" id="_x0000_t202" coordsize="21600,21600" o:spt="202" path="m,l,21600r21600,l21600,xe">
              <v:stroke joinstyle="miter"/>
              <v:path gradientshapeok="t" o:connecttype="rect"/>
            </v:shapetype>
            <v:shape id="_x0000_s1029" type="#_x0000_t202" style="position:absolute;margin-left:120.1pt;margin-top:-32.9pt;width:362.7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" filled="f" stroked="f">
              <v:textbox>
                <w:txbxContent>
                  <w:p w14:paraId="404662D4" w14:textId="77777777" w:rsidR="00225B3E" w:rsidRPr="00225B3E" w:rsidRDefault="00225B3E" w:rsidP="00225B3E">
                    <w:pPr>
                      <w:rPr>
                        <w:rFonts w:ascii="Barlow" w:hAnsi="Barlow" w:cstheme="minorBidi"/>
                        <w:color w:val="2D67B3"/>
                        <w:kern w:val="24"/>
                        <w:sz w:val="10"/>
                        <w:szCs w:val="10"/>
                        <w:lang w:val="en-GB"/>
                      </w:rPr>
                    </w:pPr>
                    <w:r w:rsidRPr="00225B3E">
                      <w:rPr>
                        <w:rFonts w:ascii="Barlow" w:hAnsi="Barlow" w:cstheme="minorBidi"/>
                        <w:color w:val="2D67B3"/>
                        <w:kern w:val="24"/>
                        <w:sz w:val="10"/>
                        <w:szCs w:val="10"/>
                        <w:lang w:val="en-GB"/>
                      </w:rPr>
                      <w:t>This project has received funding from the European Union's Horizon Europe research and innovation programme under the Grant Agreement number 101136216. Views and opinions expressed are however those of the author(s) only and do not necessarily reflect those of the European Union or the European Climate, Infrastructure and Environment Executive Agency. Neither the European Union nor the granting authority can be held responsible for them.</w:t>
                    </w:r>
                  </w:p>
                </w:txbxContent>
              </v:textbox>
            </v:shape>
          </w:pict>
        </mc:Fallback>
      </mc:AlternateContent>
    </w:r>
    <w:r w:rsidRPr="00225B3E">
      <w:rPr>
        <w:rFonts w:ascii="DM Sans" w:hAnsi="DM Sans"/>
        <w:noProof/>
        <w:color w:val="4D4F52"/>
        <w:lang w:eastAsia="en-US"/>
      </w:rPr>
      <w:drawing>
        <wp:anchor distT="0" distB="0" distL="114300" distR="114300" simplePos="0" relativeHeight="251671552" behindDoc="0" locked="0" layoutInCell="1" allowOverlap="1" wp14:anchorId="171E2CAA" wp14:editId="384FD506">
          <wp:simplePos x="0" y="0"/>
          <wp:positionH relativeFrom="column">
            <wp:posOffset>149860</wp:posOffset>
          </wp:positionH>
          <wp:positionV relativeFrom="paragraph">
            <wp:posOffset>-399760</wp:posOffset>
          </wp:positionV>
          <wp:extent cx="1154430" cy="256540"/>
          <wp:effectExtent l="0" t="0" r="0" b="0"/>
          <wp:wrapNone/>
          <wp:docPr id="14" name="Imagem 11" descr="Blue text on a black background&#10;&#10;Description automatically generated">
            <a:extLst xmlns:a="http://schemas.openxmlformats.org/drawingml/2006/main">
              <a:ext uri="{FF2B5EF4-FFF2-40B4-BE49-F238E27FC236}">
                <a16:creationId xmlns:a16="http://schemas.microsoft.com/office/drawing/2014/main" id="{E1278C65-E10A-9AC9-0617-9A1DB0058761}"/>
              </a:ext>
            </a:extLst>
          </wp:docPr>
          <wp:cNvGraphicFramePr/>
          <a:graphic xmlns:a="http://schemas.openxmlformats.org/drawingml/2006/main">
            <a:graphicData uri="http://schemas.openxmlformats.org/drawingml/2006/picture">
              <pic:pic xmlns:pic="http://schemas.openxmlformats.org/drawingml/2006/picture">
                <pic:nvPicPr>
                  <pic:cNvPr id="14" name="Imagem 11" descr="Blue text on a black background&#10;&#10;Description automatically generated">
                    <a:extLst>
                      <a:ext uri="{FF2B5EF4-FFF2-40B4-BE49-F238E27FC236}">
                        <a16:creationId xmlns:a16="http://schemas.microsoft.com/office/drawing/2014/main" id="{E1278C65-E10A-9AC9-0617-9A1DB0058761}"/>
                      </a:ext>
                    </a:extLst>
                  </pic:cNvPr>
                  <pic:cNvPicPr/>
                </pic:nvPicPr>
                <pic:blipFill>
                  <a:blip r:embed="rId1"/>
                  <a:srcRect/>
                  <a:stretch/>
                </pic:blipFill>
                <pic:spPr>
                  <a:xfrm>
                    <a:off x="0" y="0"/>
                    <a:ext cx="1154430" cy="2565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9ABAA" w14:textId="77777777" w:rsidR="00513BFD" w:rsidRDefault="00513BFD">
      <w:r>
        <w:separator/>
      </w:r>
    </w:p>
  </w:footnote>
  <w:footnote w:type="continuationSeparator" w:id="0">
    <w:p w14:paraId="7A9839CE" w14:textId="77777777" w:rsidR="00513BFD" w:rsidRDefault="00513BFD">
      <w:r>
        <w:continuationSeparator/>
      </w:r>
    </w:p>
  </w:footnote>
  <w:footnote w:id="1">
    <w:p w14:paraId="31984853" w14:textId="77777777" w:rsidR="00CB1F2F" w:rsidRDefault="00A05AAB">
      <w:pPr>
        <w:pBdr>
          <w:top w:val="nil"/>
          <w:left w:val="nil"/>
          <w:bottom w:val="nil"/>
          <w:right w:val="nil"/>
          <w:between w:val="nil"/>
        </w:pBdr>
        <w:rPr>
          <w:rFonts w:ascii="DM Sans" w:hAnsi="DM Sans"/>
          <w:color w:val="4D4F52"/>
          <w:sz w:val="16"/>
          <w:szCs w:val="16"/>
        </w:rPr>
      </w:pPr>
      <w:r>
        <w:rPr>
          <w:rStyle w:val="FootnoteReference"/>
        </w:rPr>
        <w:footnoteRef/>
      </w:r>
      <w:r>
        <w:rPr>
          <w:rFonts w:ascii="DM Sans" w:hAnsi="DM Sans"/>
          <w:color w:val="4D4F52"/>
          <w:sz w:val="16"/>
          <w:szCs w:val="16"/>
        </w:rPr>
        <w:t xml:space="preserve"> Footnote</w:t>
      </w:r>
    </w:p>
  </w:footnote>
  <w:footnote w:id="2">
    <w:p w14:paraId="01DD8F16" w14:textId="77777777" w:rsidR="009F0D7A" w:rsidRDefault="009F0D7A" w:rsidP="009F0D7A">
      <w:pPr>
        <w:pBdr>
          <w:top w:val="nil"/>
          <w:left w:val="nil"/>
          <w:bottom w:val="nil"/>
          <w:right w:val="nil"/>
          <w:between w:val="nil"/>
        </w:pBdr>
        <w:rPr>
          <w:rFonts w:ascii="DM Sans" w:hAnsi="DM Sans"/>
          <w:color w:val="4D4F52"/>
          <w:sz w:val="16"/>
          <w:szCs w:val="16"/>
        </w:rPr>
      </w:pPr>
      <w:r>
        <w:rPr>
          <w:rStyle w:val="FootnoteReference"/>
        </w:rPr>
        <w:footnoteRef/>
      </w:r>
      <w:r>
        <w:rPr>
          <w:rFonts w:ascii="DM Sans" w:hAnsi="DM Sans"/>
          <w:color w:val="4D4F52"/>
          <w:sz w:val="16"/>
          <w:szCs w:val="16"/>
        </w:rPr>
        <w:t xml:space="preserve"> http://www.interneturl.com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7A1A" w14:textId="77777777" w:rsidR="00CB1F2F" w:rsidRDefault="00CB1F2F">
    <w:pPr>
      <w:pBdr>
        <w:top w:val="nil"/>
        <w:left w:val="nil"/>
        <w:bottom w:val="nil"/>
        <w:right w:val="nil"/>
        <w:between w:val="nil"/>
      </w:pBdr>
      <w:tabs>
        <w:tab w:val="center" w:pos="4680"/>
        <w:tab w:val="right" w:pos="9360"/>
      </w:tabs>
      <w:rPr>
        <w:rFonts w:ascii="DM Sans" w:hAnsi="DM Sans"/>
        <w:color w:val="4D4F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688BB" w14:textId="2FB98E62" w:rsidR="00CB1F2F" w:rsidRDefault="00CB1F2F">
    <w:pPr>
      <w:pBdr>
        <w:top w:val="nil"/>
        <w:left w:val="nil"/>
        <w:bottom w:val="nil"/>
        <w:right w:val="nil"/>
        <w:between w:val="nil"/>
      </w:pBdr>
      <w:tabs>
        <w:tab w:val="center" w:pos="4680"/>
        <w:tab w:val="right" w:pos="9360"/>
      </w:tabs>
      <w:rPr>
        <w:rFonts w:ascii="DM Sans" w:hAnsi="DM Sans"/>
        <w:color w:val="4D4F52"/>
      </w:rPr>
    </w:pPr>
  </w:p>
  <w:p w14:paraId="67E8277A" w14:textId="0D993619" w:rsidR="00CB1F2F" w:rsidRDefault="00CB1F2F">
    <w:pPr>
      <w:ind w:firstLine="720"/>
    </w:pPr>
  </w:p>
  <w:p w14:paraId="503F6057" w14:textId="49BD20BE" w:rsidR="00CB1F2F" w:rsidRDefault="00225B3E">
    <w:r w:rsidRPr="00225B3E">
      <w:rPr>
        <w:noProof/>
        <w:lang w:eastAsia="en-US"/>
      </w:rPr>
      <w:drawing>
        <wp:anchor distT="0" distB="0" distL="114300" distR="114300" simplePos="0" relativeHeight="251674624" behindDoc="1" locked="0" layoutInCell="1" allowOverlap="1" wp14:anchorId="70E8A6D2" wp14:editId="06F2CE2A">
          <wp:simplePos x="0" y="0"/>
          <wp:positionH relativeFrom="margin">
            <wp:posOffset>3735460</wp:posOffset>
          </wp:positionH>
          <wp:positionV relativeFrom="paragraph">
            <wp:posOffset>260985</wp:posOffset>
          </wp:positionV>
          <wp:extent cx="2176041" cy="529879"/>
          <wp:effectExtent l="0" t="0" r="0" b="3810"/>
          <wp:wrapNone/>
          <wp:docPr id="408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57113" name=""/>
                  <pic:cNvPicPr/>
                </pic:nvPicPr>
                <pic:blipFill>
                  <a:blip r:embed="rId1">
                    <a:extLst>
                      <a:ext uri="{28A0092B-C50C-407E-A947-70E740481C1C}">
                        <a14:useLocalDpi xmlns:a14="http://schemas.microsoft.com/office/drawing/2010/main" val="0"/>
                      </a:ext>
                    </a:extLst>
                  </a:blip>
                  <a:stretch>
                    <a:fillRect/>
                  </a:stretch>
                </pic:blipFill>
                <pic:spPr>
                  <a:xfrm>
                    <a:off x="0" y="0"/>
                    <a:ext cx="2176041" cy="529879"/>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59264" behindDoc="0" locked="0" layoutInCell="1" hidden="0" allowOverlap="1" wp14:anchorId="3BC2AE5A" wp14:editId="36A78D49">
              <wp:simplePos x="0" y="0"/>
              <wp:positionH relativeFrom="column">
                <wp:posOffset>1</wp:posOffset>
              </wp:positionH>
              <wp:positionV relativeFrom="paragraph">
                <wp:posOffset>533400</wp:posOffset>
              </wp:positionV>
              <wp:extent cx="0" cy="12700"/>
              <wp:effectExtent l="0" t="0" r="0" b="0"/>
              <wp:wrapNone/>
              <wp:docPr id="1881453588" name="Straight Arrow Connector 1881453588"/>
              <wp:cNvGraphicFramePr/>
              <a:graphic xmlns:a="http://schemas.openxmlformats.org/drawingml/2006/main">
                <a:graphicData uri="http://schemas.microsoft.com/office/word/2010/wordprocessingShape">
                  <wps:wsp>
                    <wps:cNvCnPr/>
                    <wps:spPr>
                      <a:xfrm>
                        <a:off x="2372002" y="3780000"/>
                        <a:ext cx="5947997" cy="0"/>
                      </a:xfrm>
                      <a:prstGeom prst="straightConnector1">
                        <a:avLst/>
                      </a:prstGeom>
                      <a:noFill/>
                      <a:ln w="9525" cap="flat" cmpd="sng">
                        <a:solidFill>
                          <a:schemeClr val="accent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0" cy="12700"/>
              <wp:effectExtent b="0" l="0" r="0" t="0"/>
              <wp:wrapNone/>
              <wp:docPr id="1881453588"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DD3A" w14:textId="33AB13D0" w:rsidR="00CB1F2F" w:rsidRDefault="00225B3E">
    <w:pPr>
      <w:pBdr>
        <w:top w:val="nil"/>
        <w:left w:val="nil"/>
        <w:bottom w:val="nil"/>
        <w:right w:val="nil"/>
        <w:between w:val="nil"/>
      </w:pBdr>
      <w:tabs>
        <w:tab w:val="center" w:pos="4680"/>
        <w:tab w:val="right" w:pos="9360"/>
      </w:tabs>
      <w:rPr>
        <w:rFonts w:ascii="DM Sans" w:hAnsi="DM Sans"/>
        <w:color w:val="4D4F52"/>
      </w:rPr>
    </w:pPr>
    <w:r>
      <w:rPr>
        <w:noProof/>
        <w:lang w:eastAsia="en-US"/>
      </w:rPr>
      <w:drawing>
        <wp:anchor distT="0" distB="0" distL="114300" distR="114300" simplePos="0" relativeHeight="251669504" behindDoc="1" locked="0" layoutInCell="1" allowOverlap="1" wp14:anchorId="1E6EA636" wp14:editId="44715BAA">
          <wp:simplePos x="0" y="0"/>
          <wp:positionH relativeFrom="column">
            <wp:posOffset>633730</wp:posOffset>
          </wp:positionH>
          <wp:positionV relativeFrom="paragraph">
            <wp:posOffset>670439</wp:posOffset>
          </wp:positionV>
          <wp:extent cx="4833865" cy="3020992"/>
          <wp:effectExtent l="0" t="0" r="0" b="0"/>
          <wp:wrapNone/>
          <wp:docPr id="1315223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3405"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833865" cy="3020992"/>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6432" behindDoc="1" locked="0" layoutInCell="1" allowOverlap="1" wp14:anchorId="51F9E05B" wp14:editId="6C35D7CE">
          <wp:simplePos x="0" y="0"/>
          <wp:positionH relativeFrom="column">
            <wp:posOffset>-951929</wp:posOffset>
          </wp:positionH>
          <wp:positionV relativeFrom="paragraph">
            <wp:posOffset>-196480</wp:posOffset>
          </wp:positionV>
          <wp:extent cx="7780655" cy="10997565"/>
          <wp:effectExtent l="0" t="0" r="4445" b="635"/>
          <wp:wrapNone/>
          <wp:docPr id="2611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412" name="Picture 2"/>
                  <pic:cNvPicPr/>
                </pic:nvPicPr>
                <pic:blipFill>
                  <a:blip r:embed="rId2">
                    <a:alphaModFix amt="23000"/>
                    <a:extLst>
                      <a:ext uri="{28A0092B-C50C-407E-A947-70E740481C1C}">
                        <a14:useLocalDpi xmlns:a14="http://schemas.microsoft.com/office/drawing/2010/main" val="0"/>
                      </a:ext>
                    </a:extLst>
                  </a:blip>
                  <a:stretch>
                    <a:fillRect/>
                  </a:stretch>
                </pic:blipFill>
                <pic:spPr>
                  <a:xfrm>
                    <a:off x="0" y="0"/>
                    <a:ext cx="7780655" cy="10997565"/>
                  </a:xfrm>
                  <a:prstGeom prst="rect">
                    <a:avLst/>
                  </a:prstGeom>
                </pic:spPr>
              </pic:pic>
            </a:graphicData>
          </a:graphic>
          <wp14:sizeRelH relativeFrom="page">
            <wp14:pctWidth>0</wp14:pctWidth>
          </wp14:sizeRelH>
          <wp14:sizeRelV relativeFrom="page">
            <wp14:pctHeight>0</wp14:pctHeight>
          </wp14:sizeRelV>
        </wp:anchor>
      </w:drawing>
    </w:r>
    <w:r w:rsidR="00FC2BD6">
      <w:rPr>
        <w:noProof/>
        <w:lang w:eastAsia="en-US"/>
      </w:rPr>
      <mc:AlternateContent>
        <mc:Choice Requires="wps">
          <w:drawing>
            <wp:anchor distT="0" distB="0" distL="114300" distR="114300" simplePos="0" relativeHeight="251664384" behindDoc="1" locked="0" layoutInCell="1" hidden="0" allowOverlap="1" wp14:anchorId="23CA48E7" wp14:editId="7D715CFD">
              <wp:simplePos x="0" y="0"/>
              <wp:positionH relativeFrom="column">
                <wp:posOffset>-143510</wp:posOffset>
              </wp:positionH>
              <wp:positionV relativeFrom="paragraph">
                <wp:posOffset>4951095</wp:posOffset>
              </wp:positionV>
              <wp:extent cx="5300345" cy="1331595"/>
              <wp:effectExtent l="0" t="0" r="0" b="0"/>
              <wp:wrapNone/>
              <wp:docPr id="1881453589" name="Rectangle 1881453589"/>
              <wp:cNvGraphicFramePr/>
              <a:graphic xmlns:a="http://schemas.openxmlformats.org/drawingml/2006/main">
                <a:graphicData uri="http://schemas.microsoft.com/office/word/2010/wordprocessingShape">
                  <wps:wsp>
                    <wps:cNvSpPr/>
                    <wps:spPr>
                      <a:xfrm>
                        <a:off x="0" y="0"/>
                        <a:ext cx="5300345" cy="1331595"/>
                      </a:xfrm>
                      <a:prstGeom prst="rect">
                        <a:avLst/>
                      </a:prstGeom>
                      <a:noFill/>
                      <a:ln>
                        <a:noFill/>
                      </a:ln>
                    </wps:spPr>
                    <wps:txbx>
                      <w:txbxContent>
                        <w:p w14:paraId="4ABF283E" w14:textId="77777777" w:rsidR="00CB1F2F" w:rsidRPr="009F0D7A" w:rsidRDefault="00A05AAB" w:rsidP="00FC2BD6">
                          <w:pPr>
                            <w:textDirection w:val="btLr"/>
                            <w:rPr>
                              <w:sz w:val="24"/>
                              <w:szCs w:val="24"/>
                            </w:rPr>
                          </w:pPr>
                          <w:r w:rsidRPr="009F0D7A">
                            <w:rPr>
                              <w:rFonts w:ascii="DM Sans" w:hAnsi="DM Sans"/>
                              <w:smallCaps/>
                              <w:color w:val="FFFFFF"/>
                              <w:sz w:val="40"/>
                              <w:szCs w:val="24"/>
                            </w:rPr>
                            <w:t>D2.1 SYSTEM ARCHITECTURE SPECIFICATION</w:t>
                          </w:r>
                        </w:p>
                        <w:p w14:paraId="2277AB3E" w14:textId="718D4B25" w:rsidR="00CB1F2F" w:rsidRPr="009F0D7A" w:rsidRDefault="00981FB3" w:rsidP="00FC2BD6">
                          <w:pPr>
                            <w:spacing w:before="240" w:after="240"/>
                            <w:textDirection w:val="btLr"/>
                            <w:rPr>
                              <w:sz w:val="24"/>
                              <w:szCs w:val="24"/>
                            </w:rPr>
                          </w:pPr>
                          <w:r w:rsidRPr="009F0D7A">
                            <w:rPr>
                              <w:rFonts w:ascii="DM Sans" w:hAnsi="DM Sans"/>
                              <w:color w:val="FFFFFF"/>
                              <w:sz w:val="28"/>
                              <w:szCs w:val="24"/>
                            </w:rPr>
                            <w:t/>
                          </w:r>
                        </w:p>
                        <w:p w14:paraId="63F11F65" w14:textId="77777777" w:rsidR="00CB1F2F" w:rsidRPr="009F0D7A" w:rsidRDefault="00CB1F2F" w:rsidP="00FC2BD6">
                          <w:pPr>
                            <w:spacing w:before="240" w:after="240"/>
                            <w:textDirection w:val="btLr"/>
                            <w:rPr>
                              <w:sz w:val="24"/>
                              <w:szCs w:val="24"/>
                            </w:rPr>
                          </w:pPr>
                        </w:p>
                      </w:txbxContent>
                    </wps:txbx>
                    <wps:bodyPr spcFirstLastPara="1" wrap="square" lIns="91425" tIns="144000" rIns="91425" bIns="90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3CA48E7" id="Rectangle 1881453589" o:spid="_x0000_s1028" style="position:absolute;margin-left:-11.3pt;margin-top:389.85pt;width:417.35pt;height:104.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" filled="f" stroked="f">
              <v:textbox inset="2.53958mm,4mm,2.53958mm,2.5mm">
                <w:txbxContent>
                  <w:p w14:paraId="4ABF283E" w14:textId="77777777" w:rsidR="00CB1F2F" w:rsidRPr="009F0D7A" w:rsidRDefault="00000000" w:rsidP="00FC2BD6">
                    <w:pPr>
                      <w:textDirection w:val="btLr"/>
                      <w:rPr>
                        <w:sz w:val="24"/>
                        <w:szCs w:val="24"/>
                      </w:rPr>
                    </w:pPr>
                    <w:r w:rsidRPr="009F0D7A">
                      <w:rPr>
                        <w:rFonts w:ascii="DM Sans" w:hAnsi="DM Sans"/>
                        <w:smallCaps/>
                        <w:color w:val="FFFFFF"/>
                        <w:sz w:val="40"/>
                        <w:szCs w:val="24"/>
                      </w:rPr>
                      <w:t>D2.1 SYSTEM ARCHITECTURE SPECIFICATION</w:t>
                    </w:r>
                  </w:p>
                  <w:p w14:paraId="2277AB3E" w14:textId="718D4B25" w:rsidR="00CB1F2F" w:rsidRPr="009F0D7A" w:rsidRDefault="00981FB3" w:rsidP="00FC2BD6">
                    <w:pPr>
                      <w:spacing w:before="240" w:after="240"/>
                      <w:textDirection w:val="btLr"/>
                      <w:rPr>
                        <w:sz w:val="24"/>
                        <w:szCs w:val="24"/>
                      </w:rPr>
                    </w:pPr>
                    <w:r w:rsidRPr="009F0D7A">
                      <w:rPr>
                        <w:rFonts w:ascii="DM Sans" w:hAnsi="DM Sans"/>
                        <w:color w:val="FFFFFF"/>
                        <w:sz w:val="28"/>
                        <w:szCs w:val="24"/>
                      </w:rPr>
                      <w:t/>
                    </w:r>
                  </w:p>
                  <w:p w14:paraId="63F11F65" w14:textId="77777777" w:rsidR="00CB1F2F" w:rsidRPr="009F0D7A" w:rsidRDefault="00CB1F2F" w:rsidP="00FC2BD6">
                    <w:pPr>
                      <w:spacing w:before="240" w:after="240"/>
                      <w:textDirection w:val="btLr"/>
                      <w:rPr>
                        <w:sz w:val="24"/>
                        <w:szCs w:val="24"/>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A08"/>
    <w:multiLevelType w:val="multilevel"/>
    <w:tmpl w:val="7494EC3E"/>
    <w:lvl w:ilvl="0">
      <w:start w:val="1"/>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pStyle w:val="Heading3"/>
      <w:lvlText w:val="%2.%1.%3"/>
      <w:lvlJc w:val="left"/>
      <w:pPr>
        <w:ind w:left="0" w:firstLine="0"/>
      </w:pPr>
      <w:rPr>
        <w:rFonts w:hint="default"/>
        <w:b w:val="0"/>
        <w:i w:val="0"/>
        <w:smallCaps w:val="0"/>
        <w:strike w:val="0"/>
        <w:color w:val="2976BC"/>
        <w:u w:val="none"/>
        <w:vertAlign w:val="baseline"/>
      </w:rPr>
    </w:lvl>
    <w:lvl w:ilvl="3">
      <w:start w:val="1"/>
      <w:numFmt w:val="decimal"/>
      <w:pStyle w:val="Heading4"/>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1" w15:restartNumberingAfterBreak="0">
    <w:nsid w:val="09DF6360"/>
    <w:multiLevelType w:val="multilevel"/>
    <w:tmpl w:val="7EA852E4"/>
    <w:styleLink w:val="CurrentList10"/>
    <w:lvl w:ilvl="0">
      <w:start w:val="1"/>
      <w:numFmt w:val="decimal"/>
      <w:lvlText w:val="%1"/>
      <w:lvlJc w:val="left"/>
      <w:pPr>
        <w:ind w:left="360" w:hanging="360"/>
      </w:pPr>
      <w:rPr>
        <w:rFonts w:hint="default"/>
        <w:color w:val="2976BC"/>
        <w:sz w:val="28"/>
        <w:szCs w:val="28"/>
      </w:rPr>
    </w:lvl>
    <w:lvl w:ilvl="1">
      <w:start w:val="1"/>
      <w:numFmt w:val="decimal"/>
      <w:lvlText w:val="%1.%2"/>
      <w:lvlJc w:val="left"/>
      <w:pPr>
        <w:ind w:left="720" w:hanging="720"/>
      </w:pPr>
      <w:rPr>
        <w:rFonts w:hint="default"/>
        <w:b w:val="0"/>
        <w:i w:val="0"/>
        <w:smallCaps w:val="0"/>
        <w:strike w:val="0"/>
        <w:color w:val="2976BC"/>
        <w:u w:val="none"/>
        <w:vertAlign w:val="baseline"/>
      </w:rPr>
    </w:lvl>
    <w:lvl w:ilvl="2">
      <w:start w:val="1"/>
      <w:numFmt w:val="decimal"/>
      <w:lvlText w:val="%1.%2.%3"/>
      <w:lvlJc w:val="left"/>
      <w:pPr>
        <w:ind w:left="1080" w:hanging="1080"/>
      </w:pPr>
      <w:rPr>
        <w:rFonts w:hint="default"/>
        <w:b w:val="0"/>
        <w:i w:val="0"/>
        <w:smallCaps w:val="0"/>
        <w:strike w:val="0"/>
        <w:color w:val="2976BC"/>
        <w:u w:val="none"/>
        <w:vertAlign w:val="baseline"/>
      </w:rPr>
    </w:lvl>
    <w:lvl w:ilvl="3">
      <w:start w:val="1"/>
      <w:numFmt w:val="decimal"/>
      <w:lvlText w:val="%1.%2.%3.%4"/>
      <w:lvlJc w:val="left"/>
      <w:pPr>
        <w:ind w:left="1080" w:hanging="1080"/>
      </w:pPr>
      <w:rPr>
        <w:rFonts w:hint="default"/>
        <w:color w:val="2976BC"/>
        <w:sz w:val="24"/>
        <w:szCs w:val="24"/>
      </w:rPr>
    </w:lvl>
    <w:lvl w:ilvl="4">
      <w:start w:val="1"/>
      <w:numFmt w:val="decimal"/>
      <w:lvlText w:val="%1.%2.%3.%4.%5"/>
      <w:lvlJc w:val="left"/>
      <w:pPr>
        <w:ind w:left="1440" w:hanging="1440"/>
      </w:pPr>
      <w:rPr>
        <w:rFonts w:hint="default"/>
        <w:color w:val="2976BC"/>
        <w:sz w:val="22"/>
        <w:szCs w:val="22"/>
        <w:u w:val="none"/>
      </w:rPr>
    </w:lvl>
    <w:lvl w:ilvl="5">
      <w:start w:val="1"/>
      <w:numFmt w:val="decimal"/>
      <w:lvlText w:val="%1.%2.%3.%4.%5.%6"/>
      <w:lvlJc w:val="left"/>
      <w:pPr>
        <w:ind w:left="1800" w:hanging="1800"/>
      </w:pPr>
      <w:rPr>
        <w:rFonts w:hint="default"/>
        <w:color w:val="2976BC"/>
        <w:sz w:val="22"/>
        <w:szCs w:val="22"/>
      </w:rPr>
    </w:lvl>
    <w:lvl w:ilvl="6">
      <w:start w:val="1"/>
      <w:numFmt w:val="decimal"/>
      <w:lvlText w:val="%1.%2.%3.%4.%5.%6.%7"/>
      <w:lvlJc w:val="left"/>
      <w:pPr>
        <w:ind w:left="2160" w:hanging="2160"/>
      </w:pPr>
      <w:rPr>
        <w:rFonts w:hint="default"/>
        <w:b w:val="0"/>
        <w:i w:val="0"/>
        <w:color w:val="2976BC"/>
        <w:sz w:val="22"/>
        <w:szCs w:val="22"/>
      </w:rPr>
    </w:lvl>
    <w:lvl w:ilvl="7">
      <w:start w:val="1"/>
      <w:numFmt w:val="decimal"/>
      <w:lvlText w:val="%1.%2.%3.%4.%5.%6.%7.%8"/>
      <w:lvlJc w:val="left"/>
      <w:pPr>
        <w:ind w:left="2520" w:hanging="2520"/>
      </w:pPr>
      <w:rPr>
        <w:rFonts w:hint="default"/>
        <w:color w:val="2976BC"/>
        <w:sz w:val="20"/>
        <w:szCs w:val="20"/>
      </w:rPr>
    </w:lvl>
    <w:lvl w:ilvl="8">
      <w:start w:val="1"/>
      <w:numFmt w:val="decimal"/>
      <w:lvlText w:val="%1.%2.%3.%4.%5.%6.%7.%8.%9"/>
      <w:lvlJc w:val="left"/>
      <w:pPr>
        <w:ind w:left="2520" w:hanging="2520"/>
      </w:pPr>
      <w:rPr>
        <w:rFonts w:hint="default"/>
        <w:color w:val="2976BC"/>
        <w:sz w:val="20"/>
        <w:szCs w:val="20"/>
      </w:rPr>
    </w:lvl>
  </w:abstractNum>
  <w:abstractNum w:abstractNumId="2" w15:restartNumberingAfterBreak="0">
    <w:nsid w:val="13461C01"/>
    <w:multiLevelType w:val="multilevel"/>
    <w:tmpl w:val="BFCEE1AA"/>
    <w:styleLink w:val="CurrentList15"/>
    <w:lvl w:ilvl="0">
      <w:start w:val="1"/>
      <w:numFmt w:val="decimal"/>
      <w:lvlText w:val="%1.1,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B28FA"/>
    <w:multiLevelType w:val="multilevel"/>
    <w:tmpl w:val="6088C22C"/>
    <w:styleLink w:val="CurrentList30"/>
    <w:lvl w:ilvl="0">
      <w:start w:val="1"/>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4" w15:restartNumberingAfterBreak="0">
    <w:nsid w:val="1C42592C"/>
    <w:multiLevelType w:val="multilevel"/>
    <w:tmpl w:val="D97A9ACC"/>
    <w:styleLink w:val="CurrentList25"/>
    <w:lvl w:ilvl="0">
      <w:start w:val="1"/>
      <w:numFmt w:val="none"/>
      <w:lvlText w:val="%11.1"/>
      <w:lvlJc w:val="left"/>
      <w:pPr>
        <w:ind w:left="567" w:hanging="56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E2C2CEF"/>
    <w:multiLevelType w:val="multilevel"/>
    <w:tmpl w:val="6088C22C"/>
    <w:styleLink w:val="CurrentList29"/>
    <w:lvl w:ilvl="0">
      <w:start w:val="1"/>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6" w15:restartNumberingAfterBreak="0">
    <w:nsid w:val="29375F73"/>
    <w:multiLevelType w:val="multilevel"/>
    <w:tmpl w:val="73666C76"/>
    <w:styleLink w:val="CurrentList24"/>
    <w:lvl w:ilvl="0">
      <w:start w:val="1"/>
      <w:numFmt w:val="decimal"/>
      <w:lvlText w:val="%1"/>
      <w:lvlJc w:val="left"/>
      <w:pPr>
        <w:ind w:left="360" w:hanging="360"/>
      </w:p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2BA35246"/>
    <w:multiLevelType w:val="multilevel"/>
    <w:tmpl w:val="510E080A"/>
    <w:styleLink w:val="CurrentList1"/>
    <w:lvl w:ilvl="0">
      <w:start w:val="1"/>
      <w:numFmt w:val="decimal"/>
      <w:lvlText w:val="%1"/>
      <w:lvlJc w:val="left"/>
      <w:pPr>
        <w:ind w:left="851" w:hanging="851"/>
      </w:pPr>
      <w:rPr>
        <w:rFonts w:ascii="DM Sans" w:eastAsia="DM Sans" w:hAnsi="DM Sans" w:cs="DM Sans"/>
        <w:color w:val="2976BC"/>
        <w:sz w:val="28"/>
        <w:szCs w:val="28"/>
      </w:rPr>
    </w:lvl>
    <w:lvl w:ilvl="1">
      <w:start w:val="1"/>
      <w:numFmt w:val="decimal"/>
      <w:lvlText w:val="%1.%2"/>
      <w:lvlJc w:val="left"/>
      <w:pPr>
        <w:ind w:left="0" w:firstLine="0"/>
      </w:pPr>
      <w:rPr>
        <w:rFonts w:ascii="DM Sans" w:eastAsia="DM Sans" w:hAnsi="DM Sans" w:cs="DM Sans"/>
        <w:b w:val="0"/>
        <w:i w:val="0"/>
        <w:smallCaps w:val="0"/>
        <w:strike w:val="0"/>
        <w:color w:val="2976BC"/>
        <w:u w:val="none"/>
        <w:vertAlign w:val="baseline"/>
      </w:rPr>
    </w:lvl>
    <w:lvl w:ilvl="2">
      <w:start w:val="1"/>
      <w:numFmt w:val="decimal"/>
      <w:lvlText w:val="%1.%2.%3"/>
      <w:lvlJc w:val="left"/>
      <w:pPr>
        <w:ind w:left="0" w:firstLine="0"/>
      </w:pPr>
      <w:rPr>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color w:val="2976BC"/>
        <w:sz w:val="24"/>
        <w:szCs w:val="24"/>
      </w:rPr>
    </w:lvl>
    <w:lvl w:ilvl="4">
      <w:start w:val="1"/>
      <w:numFmt w:val="decimal"/>
      <w:lvlText w:val="%1.%2.%3.%4.%5"/>
      <w:lvlJc w:val="left"/>
      <w:pPr>
        <w:ind w:left="1021" w:hanging="1021"/>
      </w:pPr>
      <w:rPr>
        <w:rFonts w:ascii="DM Sans" w:eastAsia="DM Sans" w:hAnsi="DM Sans" w:cs="DM Sans"/>
        <w:color w:val="2976BC"/>
        <w:sz w:val="22"/>
        <w:szCs w:val="22"/>
        <w:u w:val="none"/>
      </w:rPr>
    </w:lvl>
    <w:lvl w:ilvl="5">
      <w:start w:val="1"/>
      <w:numFmt w:val="decimal"/>
      <w:lvlText w:val="%1.%2.%3.%4.%5.%6"/>
      <w:lvlJc w:val="left"/>
      <w:pPr>
        <w:ind w:left="1021" w:hanging="1021"/>
      </w:pPr>
      <w:rPr>
        <w:rFonts w:ascii="DM Sans" w:eastAsia="DM Sans" w:hAnsi="DM Sans" w:cs="DM Sans"/>
        <w:color w:val="2976BC"/>
        <w:sz w:val="22"/>
        <w:szCs w:val="22"/>
      </w:rPr>
    </w:lvl>
    <w:lvl w:ilvl="6">
      <w:start w:val="1"/>
      <w:numFmt w:val="decimal"/>
      <w:lvlText w:val="%1.%2.%3.%4.%5.%6.%7"/>
      <w:lvlJc w:val="left"/>
      <w:pPr>
        <w:ind w:left="1305" w:hanging="1021"/>
      </w:pPr>
      <w:rPr>
        <w:rFonts w:ascii="DM Sans" w:eastAsia="DM Sans" w:hAnsi="DM Sans" w:cs="DM Sans"/>
        <w:b w:val="0"/>
        <w:i w:val="0"/>
        <w:color w:val="2976BC"/>
        <w:sz w:val="22"/>
        <w:szCs w:val="22"/>
      </w:rPr>
    </w:lvl>
    <w:lvl w:ilvl="7">
      <w:start w:val="1"/>
      <w:numFmt w:val="decimal"/>
      <w:lvlText w:val="%1.%2.%3.%4.%5.%6.%7.%8"/>
      <w:lvlJc w:val="left"/>
      <w:pPr>
        <w:ind w:left="1247" w:hanging="680"/>
      </w:pPr>
      <w:rPr>
        <w:rFonts w:ascii="DM Sans" w:eastAsia="DM Sans" w:hAnsi="DM Sans" w:cs="DM Sans"/>
        <w:color w:val="2976BC"/>
        <w:sz w:val="20"/>
        <w:szCs w:val="20"/>
      </w:rPr>
    </w:lvl>
    <w:lvl w:ilvl="8">
      <w:start w:val="1"/>
      <w:numFmt w:val="decimal"/>
      <w:lvlText w:val="%1.%2.%3.%4.%5.%6.%7.%8.%9"/>
      <w:lvlJc w:val="left"/>
      <w:pPr>
        <w:ind w:left="1247" w:hanging="680"/>
      </w:pPr>
      <w:rPr>
        <w:rFonts w:ascii="DM Sans" w:eastAsia="DM Sans" w:hAnsi="DM Sans" w:cs="DM Sans"/>
        <w:color w:val="2976BC"/>
        <w:sz w:val="20"/>
        <w:szCs w:val="20"/>
      </w:rPr>
    </w:lvl>
  </w:abstractNum>
  <w:abstractNum w:abstractNumId="8" w15:restartNumberingAfterBreak="0">
    <w:nsid w:val="2E483793"/>
    <w:multiLevelType w:val="multilevel"/>
    <w:tmpl w:val="6EE48336"/>
    <w:styleLink w:val="CurrentList17"/>
    <w:lvl w:ilvl="0">
      <w:start w:val="2"/>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9" w15:restartNumberingAfterBreak="0">
    <w:nsid w:val="2ED678B8"/>
    <w:multiLevelType w:val="multilevel"/>
    <w:tmpl w:val="04325ACE"/>
    <w:styleLink w:val="CurrentList8"/>
    <w:lvl w:ilvl="0">
      <w:start w:val="1"/>
      <w:numFmt w:val="decimal"/>
      <w:lvlText w:val="%1."/>
      <w:lvlJc w:val="left"/>
      <w:pPr>
        <w:ind w:left="360" w:hanging="360"/>
      </w:pPr>
      <w:rPr>
        <w:rFonts w:hint="default"/>
        <w:color w:val="2976BC"/>
        <w:sz w:val="28"/>
        <w:szCs w:val="28"/>
      </w:rPr>
    </w:lvl>
    <w:lvl w:ilvl="1">
      <w:start w:val="1"/>
      <w:numFmt w:val="decimal"/>
      <w:lvlText w:val="%1.%2."/>
      <w:lvlJc w:val="left"/>
      <w:pPr>
        <w:ind w:left="792" w:hanging="432"/>
      </w:pPr>
      <w:rPr>
        <w:rFonts w:hint="default"/>
        <w:b w:val="0"/>
        <w:i w:val="0"/>
        <w:smallCaps w:val="0"/>
        <w:strike w:val="0"/>
        <w:color w:val="2976BC"/>
        <w:u w:val="none"/>
        <w:vertAlign w:val="baseline"/>
      </w:rPr>
    </w:lvl>
    <w:lvl w:ilvl="2">
      <w:start w:val="1"/>
      <w:numFmt w:val="decimal"/>
      <w:lvlText w:val="%1.%2.%3."/>
      <w:lvlJc w:val="left"/>
      <w:pPr>
        <w:ind w:left="1224" w:hanging="504"/>
      </w:pPr>
      <w:rPr>
        <w:rFonts w:hint="default"/>
        <w:b w:val="0"/>
        <w:i w:val="0"/>
        <w:smallCaps w:val="0"/>
        <w:strike w:val="0"/>
        <w:color w:val="2976BC"/>
        <w:u w:val="none"/>
        <w:vertAlign w:val="baseline"/>
      </w:rPr>
    </w:lvl>
    <w:lvl w:ilvl="3">
      <w:start w:val="1"/>
      <w:numFmt w:val="decimal"/>
      <w:lvlText w:val="%1.%2.%3.%4."/>
      <w:lvlJc w:val="left"/>
      <w:pPr>
        <w:ind w:left="1728" w:hanging="648"/>
      </w:pPr>
      <w:rPr>
        <w:rFonts w:hint="default"/>
        <w:color w:val="2976BC"/>
        <w:sz w:val="24"/>
        <w:szCs w:val="24"/>
      </w:rPr>
    </w:lvl>
    <w:lvl w:ilvl="4">
      <w:start w:val="1"/>
      <w:numFmt w:val="decimal"/>
      <w:lvlText w:val="%1.%2.%3.%4.%5."/>
      <w:lvlJc w:val="left"/>
      <w:pPr>
        <w:ind w:left="2232" w:hanging="792"/>
      </w:pPr>
      <w:rPr>
        <w:rFonts w:hint="default"/>
        <w:color w:val="2976BC"/>
        <w:sz w:val="22"/>
        <w:szCs w:val="22"/>
        <w:u w:val="none"/>
      </w:rPr>
    </w:lvl>
    <w:lvl w:ilvl="5">
      <w:start w:val="1"/>
      <w:numFmt w:val="decimal"/>
      <w:lvlText w:val="%1.%2.%3.%4.%5.%6."/>
      <w:lvlJc w:val="left"/>
      <w:pPr>
        <w:ind w:left="2736" w:hanging="936"/>
      </w:pPr>
      <w:rPr>
        <w:rFonts w:hint="default"/>
        <w:color w:val="2976BC"/>
        <w:sz w:val="22"/>
        <w:szCs w:val="22"/>
      </w:rPr>
    </w:lvl>
    <w:lvl w:ilvl="6">
      <w:start w:val="1"/>
      <w:numFmt w:val="decimal"/>
      <w:lvlText w:val="%1.%2.%3.%4.%5.%6.%7."/>
      <w:lvlJc w:val="left"/>
      <w:pPr>
        <w:ind w:left="3240" w:hanging="1080"/>
      </w:pPr>
      <w:rPr>
        <w:rFonts w:hint="default"/>
        <w:b w:val="0"/>
        <w:i w:val="0"/>
        <w:color w:val="2976BC"/>
        <w:sz w:val="22"/>
        <w:szCs w:val="22"/>
      </w:rPr>
    </w:lvl>
    <w:lvl w:ilvl="7">
      <w:start w:val="1"/>
      <w:numFmt w:val="decimal"/>
      <w:lvlText w:val="%1.%2.%3.%4.%5.%6.%7.%8."/>
      <w:lvlJc w:val="left"/>
      <w:pPr>
        <w:ind w:left="3744" w:hanging="1224"/>
      </w:pPr>
      <w:rPr>
        <w:rFonts w:hint="default"/>
        <w:color w:val="2976BC"/>
        <w:sz w:val="20"/>
        <w:szCs w:val="20"/>
      </w:rPr>
    </w:lvl>
    <w:lvl w:ilvl="8">
      <w:start w:val="1"/>
      <w:numFmt w:val="decimal"/>
      <w:lvlText w:val="%1.%2.%3.%4.%5.%6.%7.%8.%9."/>
      <w:lvlJc w:val="left"/>
      <w:pPr>
        <w:ind w:left="4320" w:hanging="1440"/>
      </w:pPr>
      <w:rPr>
        <w:rFonts w:hint="default"/>
        <w:color w:val="2976BC"/>
        <w:sz w:val="20"/>
        <w:szCs w:val="20"/>
      </w:rPr>
    </w:lvl>
  </w:abstractNum>
  <w:abstractNum w:abstractNumId="10" w15:restartNumberingAfterBreak="0">
    <w:nsid w:val="31762B20"/>
    <w:multiLevelType w:val="multilevel"/>
    <w:tmpl w:val="0A3CF186"/>
    <w:styleLink w:val="CurrentList16"/>
    <w:lvl w:ilvl="0">
      <w:start w:val="1"/>
      <w:numFmt w:val="none"/>
      <w:lvlText w:val="2.1.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0226"/>
    <w:multiLevelType w:val="multilevel"/>
    <w:tmpl w:val="D6C4AB3C"/>
    <w:styleLink w:val="CurrentList9"/>
    <w:lvl w:ilvl="0">
      <w:start w:val="1"/>
      <w:numFmt w:val="decimal"/>
      <w:lvlText w:val="%1."/>
      <w:lvlJc w:val="left"/>
      <w:pPr>
        <w:ind w:left="360" w:hanging="360"/>
      </w:pPr>
      <w:rPr>
        <w:rFonts w:hint="default"/>
        <w:color w:val="2976BC"/>
        <w:sz w:val="28"/>
        <w:szCs w:val="28"/>
      </w:rPr>
    </w:lvl>
    <w:lvl w:ilvl="1">
      <w:start w:val="1"/>
      <w:numFmt w:val="decimal"/>
      <w:lvlText w:val="%1.%2."/>
      <w:lvlJc w:val="left"/>
      <w:pPr>
        <w:ind w:left="792" w:hanging="432"/>
      </w:pPr>
      <w:rPr>
        <w:rFonts w:hint="default"/>
        <w:b w:val="0"/>
        <w:i w:val="0"/>
        <w:smallCaps w:val="0"/>
        <w:strike w:val="0"/>
        <w:color w:val="2976BC"/>
        <w:u w:val="none"/>
        <w:vertAlign w:val="baseline"/>
      </w:rPr>
    </w:lvl>
    <w:lvl w:ilvl="2">
      <w:start w:val="1"/>
      <w:numFmt w:val="decimal"/>
      <w:lvlText w:val="%1.%2.%3."/>
      <w:lvlJc w:val="left"/>
      <w:pPr>
        <w:ind w:left="1224" w:hanging="504"/>
      </w:pPr>
      <w:rPr>
        <w:rFonts w:hint="default"/>
        <w:b w:val="0"/>
        <w:i w:val="0"/>
        <w:smallCaps w:val="0"/>
        <w:strike w:val="0"/>
        <w:color w:val="2976BC"/>
        <w:u w:val="none"/>
        <w:vertAlign w:val="baseline"/>
      </w:rPr>
    </w:lvl>
    <w:lvl w:ilvl="3">
      <w:start w:val="1"/>
      <w:numFmt w:val="decimal"/>
      <w:lvlText w:val="%1.%2.%3.%4."/>
      <w:lvlJc w:val="left"/>
      <w:pPr>
        <w:ind w:left="1728" w:hanging="648"/>
      </w:pPr>
      <w:rPr>
        <w:rFonts w:hint="default"/>
        <w:color w:val="2976BC"/>
        <w:sz w:val="24"/>
        <w:szCs w:val="24"/>
      </w:rPr>
    </w:lvl>
    <w:lvl w:ilvl="4">
      <w:start w:val="1"/>
      <w:numFmt w:val="decimal"/>
      <w:lvlText w:val="%1.%2.%3.%4.%5."/>
      <w:lvlJc w:val="left"/>
      <w:pPr>
        <w:ind w:left="2232" w:hanging="792"/>
      </w:pPr>
      <w:rPr>
        <w:rFonts w:hint="default"/>
        <w:color w:val="2976BC"/>
        <w:sz w:val="22"/>
        <w:szCs w:val="22"/>
        <w:u w:val="none"/>
      </w:rPr>
    </w:lvl>
    <w:lvl w:ilvl="5">
      <w:start w:val="1"/>
      <w:numFmt w:val="decimal"/>
      <w:lvlText w:val="%1.%2.%3.%4.%5.%6."/>
      <w:lvlJc w:val="left"/>
      <w:pPr>
        <w:ind w:left="2736" w:hanging="936"/>
      </w:pPr>
      <w:rPr>
        <w:rFonts w:hint="default"/>
        <w:color w:val="2976BC"/>
        <w:sz w:val="22"/>
        <w:szCs w:val="22"/>
      </w:rPr>
    </w:lvl>
    <w:lvl w:ilvl="6">
      <w:start w:val="1"/>
      <w:numFmt w:val="decimal"/>
      <w:lvlText w:val="%1.%2.%3.%4.%5.%6.%7."/>
      <w:lvlJc w:val="left"/>
      <w:pPr>
        <w:ind w:left="3240" w:hanging="1080"/>
      </w:pPr>
      <w:rPr>
        <w:rFonts w:hint="default"/>
        <w:b w:val="0"/>
        <w:i w:val="0"/>
        <w:color w:val="2976BC"/>
        <w:sz w:val="22"/>
        <w:szCs w:val="22"/>
      </w:rPr>
    </w:lvl>
    <w:lvl w:ilvl="7">
      <w:start w:val="1"/>
      <w:numFmt w:val="decimal"/>
      <w:lvlText w:val="%1.%2.%3.%4.%5.%6.%7.%8."/>
      <w:lvlJc w:val="left"/>
      <w:pPr>
        <w:ind w:left="3744" w:hanging="1224"/>
      </w:pPr>
      <w:rPr>
        <w:rFonts w:hint="default"/>
        <w:color w:val="2976BC"/>
        <w:sz w:val="20"/>
        <w:szCs w:val="20"/>
      </w:rPr>
    </w:lvl>
    <w:lvl w:ilvl="8">
      <w:start w:val="1"/>
      <w:numFmt w:val="decimal"/>
      <w:lvlText w:val="%1.%2.%3.%4.%5.%6.%7.%8.%9."/>
      <w:lvlJc w:val="left"/>
      <w:pPr>
        <w:ind w:left="4320" w:hanging="1440"/>
      </w:pPr>
      <w:rPr>
        <w:rFonts w:hint="default"/>
        <w:color w:val="2976BC"/>
        <w:sz w:val="20"/>
        <w:szCs w:val="20"/>
      </w:rPr>
    </w:lvl>
  </w:abstractNum>
  <w:abstractNum w:abstractNumId="12" w15:restartNumberingAfterBreak="0">
    <w:nsid w:val="33D00262"/>
    <w:multiLevelType w:val="multilevel"/>
    <w:tmpl w:val="2A9895B6"/>
    <w:styleLink w:val="CurrentList23"/>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55F4AFE"/>
    <w:multiLevelType w:val="multilevel"/>
    <w:tmpl w:val="6EE48336"/>
    <w:styleLink w:val="CurrentList18"/>
    <w:lvl w:ilvl="0">
      <w:start w:val="2"/>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14" w15:restartNumberingAfterBreak="0">
    <w:nsid w:val="3A3E1598"/>
    <w:multiLevelType w:val="multilevel"/>
    <w:tmpl w:val="D256C288"/>
    <w:styleLink w:val="CurrentList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645955"/>
    <w:multiLevelType w:val="multilevel"/>
    <w:tmpl w:val="51C0C134"/>
    <w:styleLink w:val="CurrentList3"/>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0466CD1"/>
    <w:multiLevelType w:val="multilevel"/>
    <w:tmpl w:val="510E080A"/>
    <w:styleLink w:val="CurrentList2"/>
    <w:lvl w:ilvl="0">
      <w:start w:val="1"/>
      <w:numFmt w:val="decimal"/>
      <w:lvlText w:val="%1"/>
      <w:lvlJc w:val="left"/>
      <w:pPr>
        <w:ind w:left="851" w:hanging="851"/>
      </w:pPr>
      <w:rPr>
        <w:rFonts w:ascii="DM Sans" w:eastAsia="DM Sans" w:hAnsi="DM Sans" w:cs="DM Sans"/>
        <w:color w:val="2976BC"/>
        <w:sz w:val="28"/>
        <w:szCs w:val="28"/>
      </w:rPr>
    </w:lvl>
    <w:lvl w:ilvl="1">
      <w:start w:val="1"/>
      <w:numFmt w:val="decimal"/>
      <w:lvlText w:val="%1.%2"/>
      <w:lvlJc w:val="left"/>
      <w:pPr>
        <w:ind w:left="0" w:firstLine="0"/>
      </w:pPr>
      <w:rPr>
        <w:rFonts w:ascii="DM Sans" w:eastAsia="DM Sans" w:hAnsi="DM Sans" w:cs="DM Sans"/>
        <w:b w:val="0"/>
        <w:i w:val="0"/>
        <w:smallCaps w:val="0"/>
        <w:strike w:val="0"/>
        <w:color w:val="2976BC"/>
        <w:u w:val="none"/>
        <w:vertAlign w:val="baseline"/>
      </w:rPr>
    </w:lvl>
    <w:lvl w:ilvl="2">
      <w:start w:val="1"/>
      <w:numFmt w:val="decimal"/>
      <w:lvlText w:val="%1.%2.%3"/>
      <w:lvlJc w:val="left"/>
      <w:pPr>
        <w:ind w:left="0" w:firstLine="0"/>
      </w:pPr>
      <w:rPr>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color w:val="2976BC"/>
        <w:sz w:val="24"/>
        <w:szCs w:val="24"/>
      </w:rPr>
    </w:lvl>
    <w:lvl w:ilvl="4">
      <w:start w:val="1"/>
      <w:numFmt w:val="decimal"/>
      <w:lvlText w:val="%1.%2.%3.%4.%5"/>
      <w:lvlJc w:val="left"/>
      <w:pPr>
        <w:ind w:left="1021" w:hanging="1021"/>
      </w:pPr>
      <w:rPr>
        <w:rFonts w:ascii="DM Sans" w:eastAsia="DM Sans" w:hAnsi="DM Sans" w:cs="DM Sans"/>
        <w:color w:val="2976BC"/>
        <w:sz w:val="22"/>
        <w:szCs w:val="22"/>
        <w:u w:val="none"/>
      </w:rPr>
    </w:lvl>
    <w:lvl w:ilvl="5">
      <w:start w:val="1"/>
      <w:numFmt w:val="decimal"/>
      <w:lvlText w:val="%1.%2.%3.%4.%5.%6"/>
      <w:lvlJc w:val="left"/>
      <w:pPr>
        <w:ind w:left="1021" w:hanging="1021"/>
      </w:pPr>
      <w:rPr>
        <w:rFonts w:ascii="DM Sans" w:eastAsia="DM Sans" w:hAnsi="DM Sans" w:cs="DM Sans"/>
        <w:color w:val="2976BC"/>
        <w:sz w:val="22"/>
        <w:szCs w:val="22"/>
      </w:rPr>
    </w:lvl>
    <w:lvl w:ilvl="6">
      <w:start w:val="1"/>
      <w:numFmt w:val="decimal"/>
      <w:lvlText w:val="%1.%2.%3.%4.%5.%6.%7"/>
      <w:lvlJc w:val="left"/>
      <w:pPr>
        <w:ind w:left="1305" w:hanging="1021"/>
      </w:pPr>
      <w:rPr>
        <w:rFonts w:ascii="DM Sans" w:eastAsia="DM Sans" w:hAnsi="DM Sans" w:cs="DM Sans"/>
        <w:b w:val="0"/>
        <w:i w:val="0"/>
        <w:color w:val="2976BC"/>
        <w:sz w:val="22"/>
        <w:szCs w:val="22"/>
      </w:rPr>
    </w:lvl>
    <w:lvl w:ilvl="7">
      <w:start w:val="1"/>
      <w:numFmt w:val="decimal"/>
      <w:lvlText w:val="%1.%2.%3.%4.%5.%6.%7.%8"/>
      <w:lvlJc w:val="left"/>
      <w:pPr>
        <w:ind w:left="1247" w:hanging="680"/>
      </w:pPr>
      <w:rPr>
        <w:rFonts w:ascii="DM Sans" w:eastAsia="DM Sans" w:hAnsi="DM Sans" w:cs="DM Sans"/>
        <w:color w:val="2976BC"/>
        <w:sz w:val="20"/>
        <w:szCs w:val="20"/>
      </w:rPr>
    </w:lvl>
    <w:lvl w:ilvl="8">
      <w:start w:val="1"/>
      <w:numFmt w:val="decimal"/>
      <w:lvlText w:val="%1.%2.%3.%4.%5.%6.%7.%8.%9"/>
      <w:lvlJc w:val="left"/>
      <w:pPr>
        <w:ind w:left="1247" w:hanging="680"/>
      </w:pPr>
      <w:rPr>
        <w:rFonts w:ascii="DM Sans" w:eastAsia="DM Sans" w:hAnsi="DM Sans" w:cs="DM Sans"/>
        <w:color w:val="2976BC"/>
        <w:sz w:val="20"/>
        <w:szCs w:val="20"/>
      </w:rPr>
    </w:lvl>
  </w:abstractNum>
  <w:abstractNum w:abstractNumId="17" w15:restartNumberingAfterBreak="0">
    <w:nsid w:val="497371DE"/>
    <w:multiLevelType w:val="multilevel"/>
    <w:tmpl w:val="95B26AA2"/>
    <w:styleLink w:val="CurrentList12"/>
    <w:lvl w:ilvl="0">
      <w:start w:val="1"/>
      <w:numFmt w:val="decimal"/>
      <w:lvlText w:val="%1"/>
      <w:lvlJc w:val="left"/>
      <w:pPr>
        <w:ind w:left="360" w:hanging="360"/>
      </w:pPr>
      <w:rPr>
        <w:rFonts w:hint="default"/>
        <w:color w:val="2976BC"/>
        <w:sz w:val="28"/>
        <w:szCs w:val="28"/>
      </w:rPr>
    </w:lvl>
    <w:lvl w:ilvl="1">
      <w:start w:val="2"/>
      <w:numFmt w:val="decimal"/>
      <w:lvlText w:val="%1.%2"/>
      <w:lvlJc w:val="left"/>
      <w:pPr>
        <w:ind w:left="720" w:hanging="720"/>
      </w:pPr>
      <w:rPr>
        <w:rFonts w:hint="default"/>
        <w:b w:val="0"/>
        <w:i w:val="0"/>
        <w:smallCaps w:val="0"/>
        <w:strike w:val="0"/>
        <w:color w:val="2976BC"/>
        <w:u w:val="none"/>
        <w:vertAlign w:val="baseline"/>
      </w:rPr>
    </w:lvl>
    <w:lvl w:ilvl="2">
      <w:start w:val="1"/>
      <w:numFmt w:val="decimal"/>
      <w:lvlText w:val="%1.%2.%3"/>
      <w:lvlJc w:val="left"/>
      <w:pPr>
        <w:ind w:left="1080" w:hanging="1080"/>
      </w:pPr>
      <w:rPr>
        <w:rFonts w:hint="default"/>
        <w:b w:val="0"/>
        <w:i w:val="0"/>
        <w:smallCaps w:val="0"/>
        <w:strike w:val="0"/>
        <w:color w:val="2976BC"/>
        <w:u w:val="none"/>
        <w:vertAlign w:val="baseline"/>
      </w:rPr>
    </w:lvl>
    <w:lvl w:ilvl="3">
      <w:start w:val="1"/>
      <w:numFmt w:val="decimal"/>
      <w:lvlText w:val="%1.%2.%3.%4"/>
      <w:lvlJc w:val="left"/>
      <w:pPr>
        <w:ind w:left="1080" w:hanging="1080"/>
      </w:pPr>
      <w:rPr>
        <w:rFonts w:hint="default"/>
        <w:color w:val="2976BC"/>
        <w:sz w:val="24"/>
        <w:szCs w:val="24"/>
      </w:rPr>
    </w:lvl>
    <w:lvl w:ilvl="4">
      <w:start w:val="1"/>
      <w:numFmt w:val="decimal"/>
      <w:lvlText w:val="%1.%2.%3.%4.%5"/>
      <w:lvlJc w:val="left"/>
      <w:pPr>
        <w:ind w:left="1440" w:hanging="1440"/>
      </w:pPr>
      <w:rPr>
        <w:rFonts w:hint="default"/>
        <w:color w:val="2976BC"/>
        <w:sz w:val="22"/>
        <w:szCs w:val="22"/>
        <w:u w:val="none"/>
      </w:rPr>
    </w:lvl>
    <w:lvl w:ilvl="5">
      <w:start w:val="1"/>
      <w:numFmt w:val="decimal"/>
      <w:lvlText w:val="%1.%2.%3.%4.%5.%6"/>
      <w:lvlJc w:val="left"/>
      <w:pPr>
        <w:ind w:left="1800" w:hanging="1800"/>
      </w:pPr>
      <w:rPr>
        <w:rFonts w:hint="default"/>
        <w:color w:val="2976BC"/>
        <w:sz w:val="22"/>
        <w:szCs w:val="22"/>
      </w:rPr>
    </w:lvl>
    <w:lvl w:ilvl="6">
      <w:start w:val="1"/>
      <w:numFmt w:val="decimal"/>
      <w:lvlText w:val="%1.%2.%3.%4.%5.%6.%7"/>
      <w:lvlJc w:val="left"/>
      <w:pPr>
        <w:ind w:left="2160" w:hanging="2160"/>
      </w:pPr>
      <w:rPr>
        <w:rFonts w:hint="default"/>
        <w:b w:val="0"/>
        <w:i w:val="0"/>
        <w:color w:val="2976BC"/>
        <w:sz w:val="22"/>
        <w:szCs w:val="22"/>
      </w:rPr>
    </w:lvl>
    <w:lvl w:ilvl="7">
      <w:start w:val="1"/>
      <w:numFmt w:val="decimal"/>
      <w:lvlText w:val="%1.%2.%3.%4.%5.%6.%7.%8"/>
      <w:lvlJc w:val="left"/>
      <w:pPr>
        <w:ind w:left="2520" w:hanging="2520"/>
      </w:pPr>
      <w:rPr>
        <w:rFonts w:hint="default"/>
        <w:color w:val="2976BC"/>
        <w:sz w:val="20"/>
        <w:szCs w:val="20"/>
      </w:rPr>
    </w:lvl>
    <w:lvl w:ilvl="8">
      <w:start w:val="1"/>
      <w:numFmt w:val="decimal"/>
      <w:lvlText w:val="%1.%2.%3.%4.%5.%6.%7.%8.%9"/>
      <w:lvlJc w:val="left"/>
      <w:pPr>
        <w:ind w:left="2520" w:hanging="2520"/>
      </w:pPr>
      <w:rPr>
        <w:rFonts w:hint="default"/>
        <w:color w:val="2976BC"/>
        <w:sz w:val="20"/>
        <w:szCs w:val="20"/>
      </w:rPr>
    </w:lvl>
  </w:abstractNum>
  <w:abstractNum w:abstractNumId="18" w15:restartNumberingAfterBreak="0">
    <w:nsid w:val="4A112075"/>
    <w:multiLevelType w:val="multilevel"/>
    <w:tmpl w:val="A366268C"/>
    <w:lvl w:ilvl="0">
      <w:start w:val="1"/>
      <w:numFmt w:val="bullet"/>
      <w:lvlText w:val=""/>
      <w:lvlJc w:val="left"/>
      <w:pPr>
        <w:ind w:left="283" w:firstLine="1"/>
      </w:pPr>
      <w:rPr>
        <w:rFonts w:ascii="Symbol" w:hAnsi="Symbol" w:hint="default"/>
        <w:color w:val="BFBFB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1800" w:firstLine="0"/>
      </w:pPr>
      <w:rPr>
        <w:rFonts w:ascii="Symbol" w:hAnsi="Symbol" w:hint="default"/>
        <w:color w:val="CECFD0" w:themeColor="background1"/>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F8615F9"/>
    <w:multiLevelType w:val="multilevel"/>
    <w:tmpl w:val="ACCC8BC8"/>
    <w:styleLink w:val="CurrentList5"/>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53DE4403"/>
    <w:multiLevelType w:val="multilevel"/>
    <w:tmpl w:val="7EA852E4"/>
    <w:styleLink w:val="CurrentList11"/>
    <w:lvl w:ilvl="0">
      <w:start w:val="1"/>
      <w:numFmt w:val="decimal"/>
      <w:lvlText w:val="%1"/>
      <w:lvlJc w:val="left"/>
      <w:pPr>
        <w:ind w:left="360" w:hanging="360"/>
      </w:pPr>
      <w:rPr>
        <w:rFonts w:hint="default"/>
        <w:color w:val="2976BC"/>
        <w:sz w:val="28"/>
        <w:szCs w:val="28"/>
      </w:rPr>
    </w:lvl>
    <w:lvl w:ilvl="1">
      <w:start w:val="1"/>
      <w:numFmt w:val="decimal"/>
      <w:lvlText w:val="%1.%2"/>
      <w:lvlJc w:val="left"/>
      <w:pPr>
        <w:ind w:left="720" w:hanging="720"/>
      </w:pPr>
      <w:rPr>
        <w:rFonts w:hint="default"/>
        <w:b w:val="0"/>
        <w:i w:val="0"/>
        <w:smallCaps w:val="0"/>
        <w:strike w:val="0"/>
        <w:color w:val="2976BC"/>
        <w:u w:val="none"/>
        <w:vertAlign w:val="baseline"/>
      </w:rPr>
    </w:lvl>
    <w:lvl w:ilvl="2">
      <w:start w:val="1"/>
      <w:numFmt w:val="decimal"/>
      <w:lvlText w:val="%1.%2.%3"/>
      <w:lvlJc w:val="left"/>
      <w:pPr>
        <w:ind w:left="1080" w:hanging="1080"/>
      </w:pPr>
      <w:rPr>
        <w:rFonts w:hint="default"/>
        <w:b w:val="0"/>
        <w:i w:val="0"/>
        <w:smallCaps w:val="0"/>
        <w:strike w:val="0"/>
        <w:color w:val="2976BC"/>
        <w:u w:val="none"/>
        <w:vertAlign w:val="baseline"/>
      </w:rPr>
    </w:lvl>
    <w:lvl w:ilvl="3">
      <w:start w:val="1"/>
      <w:numFmt w:val="decimal"/>
      <w:lvlText w:val="%1.%2.%3.%4"/>
      <w:lvlJc w:val="left"/>
      <w:pPr>
        <w:ind w:left="1080" w:hanging="1080"/>
      </w:pPr>
      <w:rPr>
        <w:rFonts w:hint="default"/>
        <w:color w:val="2976BC"/>
        <w:sz w:val="24"/>
        <w:szCs w:val="24"/>
      </w:rPr>
    </w:lvl>
    <w:lvl w:ilvl="4">
      <w:start w:val="1"/>
      <w:numFmt w:val="decimal"/>
      <w:lvlText w:val="%1.%2.%3.%4.%5"/>
      <w:lvlJc w:val="left"/>
      <w:pPr>
        <w:ind w:left="1440" w:hanging="1440"/>
      </w:pPr>
      <w:rPr>
        <w:rFonts w:hint="default"/>
        <w:color w:val="2976BC"/>
        <w:sz w:val="22"/>
        <w:szCs w:val="22"/>
        <w:u w:val="none"/>
      </w:rPr>
    </w:lvl>
    <w:lvl w:ilvl="5">
      <w:start w:val="1"/>
      <w:numFmt w:val="decimal"/>
      <w:lvlText w:val="%1.%2.%3.%4.%5.%6"/>
      <w:lvlJc w:val="left"/>
      <w:pPr>
        <w:ind w:left="1800" w:hanging="1800"/>
      </w:pPr>
      <w:rPr>
        <w:rFonts w:hint="default"/>
        <w:color w:val="2976BC"/>
        <w:sz w:val="22"/>
        <w:szCs w:val="22"/>
      </w:rPr>
    </w:lvl>
    <w:lvl w:ilvl="6">
      <w:start w:val="1"/>
      <w:numFmt w:val="decimal"/>
      <w:lvlText w:val="%1.%2.%3.%4.%5.%6.%7"/>
      <w:lvlJc w:val="left"/>
      <w:pPr>
        <w:ind w:left="2160" w:hanging="2160"/>
      </w:pPr>
      <w:rPr>
        <w:rFonts w:hint="default"/>
        <w:b w:val="0"/>
        <w:i w:val="0"/>
        <w:color w:val="2976BC"/>
        <w:sz w:val="22"/>
        <w:szCs w:val="22"/>
      </w:rPr>
    </w:lvl>
    <w:lvl w:ilvl="7">
      <w:start w:val="1"/>
      <w:numFmt w:val="decimal"/>
      <w:lvlText w:val="%1.%2.%3.%4.%5.%6.%7.%8"/>
      <w:lvlJc w:val="left"/>
      <w:pPr>
        <w:ind w:left="2520" w:hanging="2520"/>
      </w:pPr>
      <w:rPr>
        <w:rFonts w:hint="default"/>
        <w:color w:val="2976BC"/>
        <w:sz w:val="20"/>
        <w:szCs w:val="20"/>
      </w:rPr>
    </w:lvl>
    <w:lvl w:ilvl="8">
      <w:start w:val="1"/>
      <w:numFmt w:val="decimal"/>
      <w:lvlText w:val="%1.%2.%3.%4.%5.%6.%7.%8.%9"/>
      <w:lvlJc w:val="left"/>
      <w:pPr>
        <w:ind w:left="2520" w:hanging="2520"/>
      </w:pPr>
      <w:rPr>
        <w:rFonts w:hint="default"/>
        <w:color w:val="2976BC"/>
        <w:sz w:val="20"/>
        <w:szCs w:val="20"/>
      </w:rPr>
    </w:lvl>
  </w:abstractNum>
  <w:abstractNum w:abstractNumId="21" w15:restartNumberingAfterBreak="0">
    <w:nsid w:val="57925739"/>
    <w:multiLevelType w:val="multilevel"/>
    <w:tmpl w:val="6088C22C"/>
    <w:styleLink w:val="CurrentList28"/>
    <w:lvl w:ilvl="0">
      <w:start w:val="1"/>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22" w15:restartNumberingAfterBreak="0">
    <w:nsid w:val="58643591"/>
    <w:multiLevelType w:val="multilevel"/>
    <w:tmpl w:val="6088C22C"/>
    <w:styleLink w:val="CurrentList27"/>
    <w:lvl w:ilvl="0">
      <w:start w:val="1"/>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23" w15:restartNumberingAfterBreak="0">
    <w:nsid w:val="59BD6CD9"/>
    <w:multiLevelType w:val="multilevel"/>
    <w:tmpl w:val="FF7A6E72"/>
    <w:styleLink w:val="CurrentList19"/>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5C4225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0666AA2"/>
    <w:multiLevelType w:val="multilevel"/>
    <w:tmpl w:val="31EA45B2"/>
    <w:styleLink w:val="CurrentList13"/>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0C35C60"/>
    <w:multiLevelType w:val="multilevel"/>
    <w:tmpl w:val="1EA4C6B2"/>
    <w:styleLink w:val="CurrentList26"/>
    <w:lvl w:ilvl="0">
      <w:start w:val="2"/>
      <w:numFmt w:val="decimal"/>
      <w:lvlText w:val="%1"/>
      <w:lvlJc w:val="left"/>
      <w:pPr>
        <w:ind w:left="360" w:hanging="360"/>
      </w:pPr>
      <w:rPr>
        <w:rFonts w:hint="default"/>
      </w:rPr>
    </w:lvl>
    <w:lvl w:ilvl="1">
      <w:start w:val="1"/>
      <w:numFmt w:val="decimal"/>
      <w:lvlText w:val="%1.%2"/>
      <w:lvlJc w:val="left"/>
      <w:pPr>
        <w:ind w:left="720" w:hanging="720"/>
      </w:p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10079C3"/>
    <w:multiLevelType w:val="multilevel"/>
    <w:tmpl w:val="D256C288"/>
    <w:styleLink w:val="CurrentList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B926F0"/>
    <w:multiLevelType w:val="multilevel"/>
    <w:tmpl w:val="70F4E4EE"/>
    <w:styleLink w:val="CurrentList31"/>
    <w:lvl w:ilvl="0">
      <w:start w:val="1"/>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29" w15:restartNumberingAfterBreak="0">
    <w:nsid w:val="67F90FAC"/>
    <w:multiLevelType w:val="multilevel"/>
    <w:tmpl w:val="64E298FC"/>
    <w:styleLink w:val="CurrentList21"/>
    <w:lvl w:ilvl="0">
      <w:start w:val="1"/>
      <w:numFmt w:val="none"/>
      <w:lvlText w:val="2.1.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331F38"/>
    <w:multiLevelType w:val="multilevel"/>
    <w:tmpl w:val="4878AE7C"/>
    <w:styleLink w:val="CurrentList14"/>
    <w:lvl w:ilvl="0">
      <w:start w:val="2"/>
      <w:numFmt w:val="decimal"/>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isLgl/>
      <w:lvlText w:val="%2%1..%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31" w15:restartNumberingAfterBreak="0">
    <w:nsid w:val="6D534E07"/>
    <w:multiLevelType w:val="multilevel"/>
    <w:tmpl w:val="16DC3D68"/>
    <w:styleLink w:val="CurrentList2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76445C78"/>
    <w:multiLevelType w:val="multilevel"/>
    <w:tmpl w:val="CF7EB178"/>
    <w:lvl w:ilvl="0">
      <w:start w:val="1"/>
      <w:numFmt w:val="decimal"/>
      <w:pStyle w:val="Heading1"/>
      <w:lvlText w:val="%1"/>
      <w:lvlJc w:val="left"/>
      <w:pPr>
        <w:ind w:left="851" w:hanging="851"/>
      </w:pPr>
      <w:rPr>
        <w:rFonts w:ascii="DM Sans" w:eastAsia="DM Sans" w:hAnsi="DM Sans" w:cs="DM Sans" w:hint="default"/>
        <w:color w:val="2976BC"/>
        <w:sz w:val="28"/>
        <w:szCs w:val="28"/>
      </w:rPr>
    </w:lvl>
    <w:lvl w:ilvl="1">
      <w:start w:val="1"/>
      <w:numFmt w:val="decimal"/>
      <w:pStyle w:val="Heading2"/>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33" w15:restartNumberingAfterBreak="0">
    <w:nsid w:val="7A543528"/>
    <w:multiLevelType w:val="multilevel"/>
    <w:tmpl w:val="CC58084A"/>
    <w:styleLink w:val="CurrentList2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7ABA7EB5"/>
    <w:multiLevelType w:val="multilevel"/>
    <w:tmpl w:val="4CF6D1B8"/>
    <w:lvl w:ilvl="0">
      <w:start w:val="2"/>
      <w:numFmt w:val="decimal"/>
      <w:pStyle w:val="bullet1"/>
      <w:lvlText w:val="%1"/>
      <w:lvlJc w:val="left"/>
      <w:pPr>
        <w:ind w:left="851" w:hanging="851"/>
      </w:pPr>
      <w:rPr>
        <w:rFonts w:ascii="DM Sans" w:eastAsia="DM Sans" w:hAnsi="DM Sans" w:cs="DM Sans" w:hint="default"/>
        <w:color w:val="2976BC"/>
        <w:sz w:val="28"/>
        <w:szCs w:val="28"/>
      </w:rPr>
    </w:lvl>
    <w:lvl w:ilvl="1">
      <w:start w:val="1"/>
      <w:numFmt w:val="decimal"/>
      <w:lvlText w:val="%1.%2"/>
      <w:lvlJc w:val="left"/>
      <w:pPr>
        <w:ind w:left="0" w:firstLine="0"/>
      </w:pPr>
      <w:rPr>
        <w:rFonts w:ascii="DM Sans" w:eastAsia="DM Sans" w:hAnsi="DM Sans" w:cs="DM Sans" w:hint="default"/>
        <w:b w:val="0"/>
        <w:i w:val="0"/>
        <w:smallCaps w:val="0"/>
        <w:strike w:val="0"/>
        <w:color w:val="2976BC"/>
        <w:u w:val="none"/>
        <w:vertAlign w:val="baseline"/>
      </w:rPr>
    </w:lvl>
    <w:lvl w:ilvl="2">
      <w:start w:val="1"/>
      <w:numFmt w:val="decimal"/>
      <w:lvlText w:val="%1.%2.%3"/>
      <w:lvlJc w:val="left"/>
      <w:pPr>
        <w:ind w:left="0" w:firstLine="0"/>
      </w:pPr>
      <w:rPr>
        <w:rFonts w:hint="default"/>
        <w:b w:val="0"/>
        <w:i w:val="0"/>
        <w:smallCaps w:val="0"/>
        <w:strike w:val="0"/>
        <w:color w:val="2976BC"/>
        <w:u w:val="none"/>
        <w:vertAlign w:val="baseline"/>
      </w:rPr>
    </w:lvl>
    <w:lvl w:ilvl="3">
      <w:start w:val="1"/>
      <w:numFmt w:val="decimal"/>
      <w:lvlText w:val="%1.%2.%3.%4"/>
      <w:lvlJc w:val="left"/>
      <w:pPr>
        <w:ind w:left="851" w:hanging="851"/>
      </w:pPr>
      <w:rPr>
        <w:rFonts w:ascii="DM Sans" w:eastAsia="DM Sans" w:hAnsi="DM Sans" w:cs="DM Sans" w:hint="default"/>
        <w:color w:val="2976BC"/>
        <w:sz w:val="24"/>
        <w:szCs w:val="24"/>
      </w:rPr>
    </w:lvl>
    <w:lvl w:ilvl="4">
      <w:start w:val="1"/>
      <w:numFmt w:val="decimal"/>
      <w:lvlText w:val="%1.%2.%3.%4.%5"/>
      <w:lvlJc w:val="left"/>
      <w:pPr>
        <w:ind w:left="1021" w:hanging="1021"/>
      </w:pPr>
      <w:rPr>
        <w:rFonts w:ascii="DM Sans" w:eastAsia="DM Sans" w:hAnsi="DM Sans" w:cs="DM Sans" w:hint="default"/>
        <w:color w:val="2976BC"/>
        <w:sz w:val="22"/>
        <w:szCs w:val="22"/>
        <w:u w:val="none"/>
      </w:rPr>
    </w:lvl>
    <w:lvl w:ilvl="5">
      <w:start w:val="1"/>
      <w:numFmt w:val="decimal"/>
      <w:lvlText w:val="%1.%2.%3.%4.%5.%6"/>
      <w:lvlJc w:val="left"/>
      <w:pPr>
        <w:ind w:left="1021" w:hanging="1021"/>
      </w:pPr>
      <w:rPr>
        <w:rFonts w:ascii="DM Sans" w:eastAsia="DM Sans" w:hAnsi="DM Sans" w:cs="DM Sans" w:hint="default"/>
        <w:color w:val="2976BC"/>
        <w:sz w:val="22"/>
        <w:szCs w:val="22"/>
      </w:rPr>
    </w:lvl>
    <w:lvl w:ilvl="6">
      <w:start w:val="1"/>
      <w:numFmt w:val="decimal"/>
      <w:lvlText w:val="%1.%2.%3.%4.%5.%6.%7"/>
      <w:lvlJc w:val="left"/>
      <w:pPr>
        <w:ind w:left="1305" w:hanging="1021"/>
      </w:pPr>
      <w:rPr>
        <w:rFonts w:ascii="DM Sans" w:eastAsia="DM Sans" w:hAnsi="DM Sans" w:cs="DM Sans" w:hint="default"/>
        <w:b w:val="0"/>
        <w:i w:val="0"/>
        <w:color w:val="2976BC"/>
        <w:sz w:val="22"/>
        <w:szCs w:val="22"/>
      </w:rPr>
    </w:lvl>
    <w:lvl w:ilvl="7">
      <w:start w:val="1"/>
      <w:numFmt w:val="decimal"/>
      <w:lvlText w:val="%1.%2.%3.%4.%5.%6.%7.%8"/>
      <w:lvlJc w:val="left"/>
      <w:pPr>
        <w:ind w:left="1247" w:hanging="680"/>
      </w:pPr>
      <w:rPr>
        <w:rFonts w:ascii="DM Sans" w:eastAsia="DM Sans" w:hAnsi="DM Sans" w:cs="DM Sans" w:hint="default"/>
        <w:color w:val="2976BC"/>
        <w:sz w:val="20"/>
        <w:szCs w:val="20"/>
      </w:rPr>
    </w:lvl>
    <w:lvl w:ilvl="8">
      <w:start w:val="1"/>
      <w:numFmt w:val="decimal"/>
      <w:lvlText w:val="%1.%2.%3.%4.%5.%6.%7.%8.%9"/>
      <w:lvlJc w:val="left"/>
      <w:pPr>
        <w:ind w:left="1247" w:hanging="680"/>
      </w:pPr>
      <w:rPr>
        <w:rFonts w:ascii="DM Sans" w:eastAsia="DM Sans" w:hAnsi="DM Sans" w:cs="DM Sans" w:hint="default"/>
        <w:color w:val="2976BC"/>
        <w:sz w:val="20"/>
        <w:szCs w:val="20"/>
      </w:rPr>
    </w:lvl>
  </w:abstractNum>
  <w:abstractNum w:abstractNumId="35" w15:restartNumberingAfterBreak="0">
    <w:nsid w:val="7DB31953"/>
    <w:multiLevelType w:val="multilevel"/>
    <w:tmpl w:val="5642A242"/>
    <w:lvl w:ilvl="0">
      <w:start w:val="1"/>
      <w:numFmt w:val="decimal"/>
      <w:pStyle w:val="bullet2"/>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F1C24CC"/>
    <w:multiLevelType w:val="multilevel"/>
    <w:tmpl w:val="56FEDFDE"/>
    <w:styleLink w:val="CurrentList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num w:numId="1" w16cid:durableId="228734524">
    <w:abstractNumId w:val="34"/>
  </w:num>
  <w:num w:numId="2" w16cid:durableId="1153832680">
    <w:abstractNumId w:val="35"/>
  </w:num>
  <w:num w:numId="3" w16cid:durableId="1795557006">
    <w:abstractNumId w:val="18"/>
  </w:num>
  <w:num w:numId="4" w16cid:durableId="2131236988">
    <w:abstractNumId w:val="7"/>
  </w:num>
  <w:num w:numId="5" w16cid:durableId="1195387352">
    <w:abstractNumId w:val="16"/>
  </w:num>
  <w:num w:numId="6" w16cid:durableId="983778030">
    <w:abstractNumId w:val="25"/>
  </w:num>
  <w:num w:numId="7" w16cid:durableId="652223642">
    <w:abstractNumId w:val="15"/>
  </w:num>
  <w:num w:numId="8" w16cid:durableId="264383848">
    <w:abstractNumId w:val="36"/>
  </w:num>
  <w:num w:numId="9" w16cid:durableId="1431311096">
    <w:abstractNumId w:val="19"/>
  </w:num>
  <w:num w:numId="10" w16cid:durableId="608128070">
    <w:abstractNumId w:val="27"/>
  </w:num>
  <w:num w:numId="11" w16cid:durableId="325746416">
    <w:abstractNumId w:val="14"/>
  </w:num>
  <w:num w:numId="12" w16cid:durableId="720131381">
    <w:abstractNumId w:val="9"/>
  </w:num>
  <w:num w:numId="13" w16cid:durableId="1575699004">
    <w:abstractNumId w:val="11"/>
  </w:num>
  <w:num w:numId="14" w16cid:durableId="1673485593">
    <w:abstractNumId w:val="1"/>
  </w:num>
  <w:num w:numId="15" w16cid:durableId="166100973">
    <w:abstractNumId w:val="24"/>
  </w:num>
  <w:num w:numId="16" w16cid:durableId="1991058757">
    <w:abstractNumId w:val="20"/>
  </w:num>
  <w:num w:numId="17" w16cid:durableId="104884018">
    <w:abstractNumId w:val="17"/>
  </w:num>
  <w:num w:numId="18" w16cid:durableId="1635215183">
    <w:abstractNumId w:val="30"/>
  </w:num>
  <w:num w:numId="19" w16cid:durableId="292294895">
    <w:abstractNumId w:val="2"/>
  </w:num>
  <w:num w:numId="20" w16cid:durableId="439380142">
    <w:abstractNumId w:val="10"/>
  </w:num>
  <w:num w:numId="21" w16cid:durableId="1498232785">
    <w:abstractNumId w:val="8"/>
  </w:num>
  <w:num w:numId="22" w16cid:durableId="1485663297">
    <w:abstractNumId w:val="13"/>
  </w:num>
  <w:num w:numId="23" w16cid:durableId="1214076222">
    <w:abstractNumId w:val="23"/>
  </w:num>
  <w:num w:numId="24" w16cid:durableId="212620715">
    <w:abstractNumId w:val="33"/>
  </w:num>
  <w:num w:numId="25" w16cid:durableId="2104065862">
    <w:abstractNumId w:val="29"/>
  </w:num>
  <w:num w:numId="26" w16cid:durableId="1990475718">
    <w:abstractNumId w:val="31"/>
  </w:num>
  <w:num w:numId="27" w16cid:durableId="1594701296">
    <w:abstractNumId w:val="12"/>
  </w:num>
  <w:num w:numId="28" w16cid:durableId="590503084">
    <w:abstractNumId w:val="6"/>
  </w:num>
  <w:num w:numId="29" w16cid:durableId="1946844721">
    <w:abstractNumId w:val="4"/>
  </w:num>
  <w:num w:numId="30" w16cid:durableId="1824618102">
    <w:abstractNumId w:val="26"/>
  </w:num>
  <w:num w:numId="31" w16cid:durableId="282616939">
    <w:abstractNumId w:val="32"/>
  </w:num>
  <w:num w:numId="32" w16cid:durableId="1892645113">
    <w:abstractNumId w:val="22"/>
  </w:num>
  <w:num w:numId="33" w16cid:durableId="500659278">
    <w:abstractNumId w:val="21"/>
  </w:num>
  <w:num w:numId="34" w16cid:durableId="207881445">
    <w:abstractNumId w:val="0"/>
  </w:num>
  <w:num w:numId="35" w16cid:durableId="150023573">
    <w:abstractNumId w:val="5"/>
  </w:num>
  <w:num w:numId="36" w16cid:durableId="1485775786">
    <w:abstractNumId w:val="3"/>
  </w:num>
  <w:num w:numId="37" w16cid:durableId="1032607033">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F2F"/>
    <w:rsid w:val="000238C7"/>
    <w:rsid w:val="000952A8"/>
    <w:rsid w:val="000C523D"/>
    <w:rsid w:val="001927DE"/>
    <w:rsid w:val="001B706C"/>
    <w:rsid w:val="001C2FDC"/>
    <w:rsid w:val="001C4F9D"/>
    <w:rsid w:val="001C7283"/>
    <w:rsid w:val="00225B3E"/>
    <w:rsid w:val="0022605F"/>
    <w:rsid w:val="002500AF"/>
    <w:rsid w:val="002B665F"/>
    <w:rsid w:val="002B7432"/>
    <w:rsid w:val="002C5093"/>
    <w:rsid w:val="002D338F"/>
    <w:rsid w:val="003153A3"/>
    <w:rsid w:val="00320400"/>
    <w:rsid w:val="003254B8"/>
    <w:rsid w:val="0033289C"/>
    <w:rsid w:val="00361D76"/>
    <w:rsid w:val="00385E43"/>
    <w:rsid w:val="003B7EC9"/>
    <w:rsid w:val="003E1555"/>
    <w:rsid w:val="003E34AF"/>
    <w:rsid w:val="00411024"/>
    <w:rsid w:val="00436C51"/>
    <w:rsid w:val="004635F9"/>
    <w:rsid w:val="00494B60"/>
    <w:rsid w:val="004B7EE5"/>
    <w:rsid w:val="005118BC"/>
    <w:rsid w:val="00513BFD"/>
    <w:rsid w:val="00564433"/>
    <w:rsid w:val="00567101"/>
    <w:rsid w:val="00575B22"/>
    <w:rsid w:val="00587967"/>
    <w:rsid w:val="00624866"/>
    <w:rsid w:val="006338EB"/>
    <w:rsid w:val="006D6B91"/>
    <w:rsid w:val="00710833"/>
    <w:rsid w:val="0074162A"/>
    <w:rsid w:val="00743226"/>
    <w:rsid w:val="00771F50"/>
    <w:rsid w:val="00787A1A"/>
    <w:rsid w:val="007A6915"/>
    <w:rsid w:val="007B3E06"/>
    <w:rsid w:val="007C5F91"/>
    <w:rsid w:val="008738F8"/>
    <w:rsid w:val="00893100"/>
    <w:rsid w:val="008A6AE1"/>
    <w:rsid w:val="008D43A2"/>
    <w:rsid w:val="008F6EAB"/>
    <w:rsid w:val="00922B30"/>
    <w:rsid w:val="0092752F"/>
    <w:rsid w:val="00932FDE"/>
    <w:rsid w:val="00981FB3"/>
    <w:rsid w:val="009D5394"/>
    <w:rsid w:val="009F0D7A"/>
    <w:rsid w:val="00A05AAB"/>
    <w:rsid w:val="00A537B4"/>
    <w:rsid w:val="00A73E19"/>
    <w:rsid w:val="00AC591C"/>
    <w:rsid w:val="00AC6336"/>
    <w:rsid w:val="00AF2F71"/>
    <w:rsid w:val="00B06BCD"/>
    <w:rsid w:val="00B50347"/>
    <w:rsid w:val="00B73629"/>
    <w:rsid w:val="00B93610"/>
    <w:rsid w:val="00BA70DA"/>
    <w:rsid w:val="00BB5803"/>
    <w:rsid w:val="00BE58D4"/>
    <w:rsid w:val="00BF1071"/>
    <w:rsid w:val="00BF1177"/>
    <w:rsid w:val="00C15041"/>
    <w:rsid w:val="00C602F8"/>
    <w:rsid w:val="00C759E7"/>
    <w:rsid w:val="00C91FE4"/>
    <w:rsid w:val="00CB1F2F"/>
    <w:rsid w:val="00CC1814"/>
    <w:rsid w:val="00D05344"/>
    <w:rsid w:val="00D470C8"/>
    <w:rsid w:val="00D72A4D"/>
    <w:rsid w:val="00D76662"/>
    <w:rsid w:val="00DA2FF6"/>
    <w:rsid w:val="00DC1373"/>
    <w:rsid w:val="00DD284B"/>
    <w:rsid w:val="00DD4F9F"/>
    <w:rsid w:val="00E07A91"/>
    <w:rsid w:val="00E12719"/>
    <w:rsid w:val="00E76C25"/>
    <w:rsid w:val="00EA0C12"/>
    <w:rsid w:val="00EC43DD"/>
    <w:rsid w:val="00F470C1"/>
    <w:rsid w:val="00F75A3C"/>
    <w:rsid w:val="00F92947"/>
    <w:rsid w:val="00F96CF2"/>
    <w:rsid w:val="00FB7EF3"/>
    <w:rsid w:val="00FC2BD6"/>
    <w:rsid w:val="00FF1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2E782"/>
  <w15:docId w15:val="{99A45C9D-FB97-114C-B1E0-B5F9A6DDCB9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4D4F52"/>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28C"/>
    <w:pPr>
      <w:spacing w:after="100"/>
    </w:pPr>
    <w:rPr>
      <w:rFonts w:asciiTheme="minorHAnsi" w:hAnsiTheme="minorHAnsi" w:ascii="Arial" w:hAnsi="Arial"/>
      <w:color w:val="102A43"/>
      <w:sz w:val="19"/>
    </w:rPr>
  </w:style>
  <w:style w:type="paragraph" w:styleId="Heading1">
    <w:name w:val="heading 1"/>
    <w:link w:val="Heading1Char"/>
    <w:autoRedefine/>
    <w:uiPriority w:val="9"/>
    <w:qFormat/>
    <w:rsid w:val="00B06BCD"/>
    <w:pPr>
      <w:keepNext/>
      <w:pBdr>
        <w:top w:val="dotted" w:sz="4" w:space="4" w:color="FFFFFF" w:themeColor="accent6"/>
        <w:bottom w:val="dotted" w:sz="4" w:space="3" w:color="FFFFFF" w:themeColor="accent6"/>
      </w:pBdr>
      <w:spacing w:before="200" w:after="80" w:line="276" w:lineRule="auto"/>
      <w:contextualSpacing/>
      <w:outlineLvl w:val="0"/>
    </w:pPr>
    <w:rPr>
      <w:rFonts w:asciiTheme="majorHAnsi" w:eastAsiaTheme="majorEastAsia" w:hAnsiTheme="majorHAnsi" w:ascii="Arial" w:hAnsi="Arial"/>
      <w:b/>
      <w:caps/>
      <w:color w:val="102A43"/>
      <w:sz w:val="32"/>
      <w:lang w:val="en-GB" w:eastAsia="de-DE"/>
    </w:rPr>
  </w:style>
  <w:style w:type="paragraph" w:styleId="Heading2">
    <w:name w:val="heading 2"/>
    <w:basedOn w:val="BodyText"/>
    <w:link w:val="Heading2Char"/>
    <w:uiPriority w:val="9"/>
    <w:unhideWhenUsed/>
    <w:qFormat/>
    <w:rsid w:val="000952A8"/>
    <w:pPr>
      <w:keepNext/>
      <w:spacing w:before="140" w:after="80"/>
      <w:outlineLvl w:val="1"/>
    </w:pPr>
    <w:rPr>
      <w:rFonts w:asciiTheme="majorHAnsi" w:eastAsiaTheme="majorEastAsia" w:hAnsiTheme="majorHAnsi" w:ascii="Arial" w:hAnsi="Arial"/>
      <w:b/>
      <w:iCs/>
      <w:caps/>
      <w:color w:val="2B6CB0"/>
      <w:sz w:val="24"/>
      <w:lang w:val="en-GB" w:eastAsia="de-DE"/>
    </w:rPr>
  </w:style>
  <w:style w:type="paragraph" w:styleId="Heading3">
    <w:name w:val="heading 3"/>
    <w:basedOn w:val="Heading2"/>
    <w:link w:val="Heading3Char"/>
    <w:autoRedefine/>
    <w:uiPriority w:val="9"/>
    <w:unhideWhenUsed/>
    <w:qFormat/>
    <w:rsid w:val="000952A8"/>
    <w:pPr>
      <w:keepNext/>
      <w:spacing w:before="140" w:after="80"/>
      <w:outlineLvl w:val="2"/>
    </w:pPr>
    <w:rPr>
      <w:rFonts w:ascii="Arial" w:hAnsi="Arial"/>
      <w:b/>
      <w:caps w:val="0"/>
      <w:color w:val="2C7A7B"/>
      <w:sz w:val="21"/>
      <w:szCs w:val="72"/>
    </w:rPr>
  </w:style>
  <w:style w:type="paragraph" w:styleId="Heading4">
    <w:name w:val="heading 4"/>
    <w:basedOn w:val="Heading3"/>
    <w:link w:val="Heading4Char"/>
    <w:uiPriority w:val="9"/>
    <w:unhideWhenUsed/>
    <w:qFormat/>
    <w:rsid w:val="006863E4"/>
    <w:pPr>
      <w:numPr>
        <w:ilvl w:val="3"/>
      </w:numPr>
      <w:tabs>
        <w:tab w:val="right" w:pos="6740"/>
      </w:tabs>
      <w:outlineLvl w:val="3"/>
    </w:pPr>
  </w:style>
  <w:style w:type="paragraph" w:styleId="Heading5">
    <w:name w:val="heading 5"/>
    <w:basedOn w:val="Normal"/>
    <w:link w:val="Heading5Char"/>
    <w:uiPriority w:val="9"/>
    <w:semiHidden/>
    <w:unhideWhenUsed/>
    <w:qFormat/>
    <w:rsid w:val="003153A3"/>
    <w:pPr>
      <w:keepNext/>
      <w:keepLines/>
      <w:pBdr>
        <w:top w:val="dotted" w:sz="4" w:space="1" w:color="CECFD0" w:themeColor="accent2"/>
        <w:bottom w:val="dotted" w:sz="4" w:space="1" w:color="CECFD0" w:themeColor="accent2"/>
      </w:pBdr>
      <w:spacing w:before="160" w:after="60"/>
      <w:jc w:val="both"/>
      <w:outlineLvl w:val="4"/>
    </w:pPr>
    <w:rPr>
      <w:rFonts w:asciiTheme="majorHAnsi" w:hAnsiTheme="majorHAnsi"/>
      <w:caps/>
      <w:color w:val="CECFD0" w:themeColor="accent2"/>
      <w:lang w:eastAsia="de-DE"/>
    </w:rPr>
  </w:style>
  <w:style w:type="paragraph" w:styleId="Heading6">
    <w:name w:val="heading 6"/>
    <w:basedOn w:val="Normal"/>
    <w:link w:val="Heading6Char"/>
    <w:uiPriority w:val="9"/>
    <w:semiHidden/>
    <w:unhideWhenUsed/>
    <w:qFormat/>
    <w:rsid w:val="003153A3"/>
    <w:pPr>
      <w:pBdr>
        <w:top w:val="dotted" w:sz="4" w:space="1" w:color="CECFD0" w:themeColor="accent2"/>
        <w:bottom w:val="dotted" w:sz="4" w:space="1" w:color="CECFD0" w:themeColor="accent2"/>
      </w:pBdr>
      <w:spacing w:before="60" w:after="60"/>
      <w:jc w:val="both"/>
      <w:outlineLvl w:val="5"/>
    </w:pPr>
    <w:rPr>
      <w:caps/>
      <w:color w:val="CECFD0" w:themeColor="accent2"/>
      <w:sz w:val="20"/>
      <w:lang w:eastAsia="de-DE"/>
    </w:rPr>
  </w:style>
  <w:style w:type="paragraph" w:styleId="Heading7">
    <w:name w:val="heading 7"/>
    <w:basedOn w:val="Normal"/>
    <w:link w:val="Heading7Char"/>
    <w:qFormat/>
    <w:rsid w:val="003153A3"/>
    <w:pPr>
      <w:pBdr>
        <w:top w:val="dotted" w:sz="4" w:space="1" w:color="CECFD0" w:themeColor="accent2"/>
        <w:bottom w:val="dotted" w:sz="4" w:space="1" w:color="CECFD0" w:themeColor="accent2"/>
      </w:pBdr>
      <w:tabs>
        <w:tab w:val="right" w:pos="7220"/>
      </w:tabs>
      <w:spacing w:before="60" w:after="240"/>
      <w:ind w:right="-302"/>
      <w:outlineLvl w:val="6"/>
    </w:pPr>
    <w:rPr>
      <w:caps/>
      <w:color w:val="CECFD0" w:themeColor="accent2"/>
      <w:sz w:val="20"/>
      <w:lang w:eastAsia="de-DE"/>
    </w:rPr>
  </w:style>
  <w:style w:type="paragraph" w:styleId="Heading8">
    <w:name w:val="heading 8"/>
    <w:basedOn w:val="Normal"/>
    <w:link w:val="Heading8Char"/>
    <w:qFormat/>
    <w:rsid w:val="003153A3"/>
    <w:pPr>
      <w:pBdr>
        <w:top w:val="dotted" w:sz="4" w:space="1" w:color="CECFD0" w:themeColor="accent2"/>
        <w:bottom w:val="dotted" w:sz="4" w:space="1" w:color="CECFD0" w:themeColor="accent2"/>
      </w:pBdr>
      <w:spacing w:before="60" w:after="60"/>
      <w:jc w:val="both"/>
      <w:outlineLvl w:val="7"/>
    </w:pPr>
    <w:rPr>
      <w:caps/>
      <w:color w:val="CECFD0" w:themeColor="accent2"/>
      <w:sz w:val="20"/>
      <w:lang w:eastAsia="de-DE"/>
    </w:rPr>
  </w:style>
  <w:style w:type="paragraph" w:styleId="Heading9">
    <w:name w:val="heading 9"/>
    <w:basedOn w:val="Normal"/>
    <w:link w:val="Heading9Char"/>
    <w:qFormat/>
    <w:rsid w:val="003153A3"/>
    <w:pPr>
      <w:pBdr>
        <w:top w:val="dotted" w:sz="4" w:space="1" w:color="CECFD0" w:themeColor="accent2"/>
        <w:bottom w:val="dotted" w:sz="4" w:space="1" w:color="CECFD0" w:themeColor="accent2"/>
      </w:pBdr>
      <w:spacing w:before="60" w:after="60"/>
      <w:jc w:val="both"/>
      <w:outlineLvl w:val="8"/>
    </w:pPr>
    <w:rPr>
      <w:color w:val="CECFD0" w:themeColor="accent2"/>
      <w:sz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465A10"/>
    <w:pPr>
      <w:pageBreakBefore/>
      <w:widowControl w:val="0"/>
      <w:pBdr>
        <w:top w:val="dotted" w:sz="4" w:space="4" w:color="CECFD0" w:themeColor="accent2"/>
        <w:bottom w:val="dotted" w:sz="4" w:space="3" w:color="BFBFBF" w:themeColor="accent6" w:themeShade="BF"/>
      </w:pBdr>
      <w:spacing w:before="360" w:after="400"/>
      <w:contextualSpacing/>
      <w:jc w:val="center"/>
    </w:pPr>
    <w:rPr>
      <w:rFonts w:asciiTheme="majorHAnsi" w:eastAsiaTheme="majorEastAsia" w:hAnsiTheme="majorHAnsi" w:cstheme="majorBidi"/>
      <w:bCs/>
      <w:iCs/>
      <w:caps/>
      <w:color w:val="2976BC" w:themeColor="text2"/>
      <w:sz w:val="28"/>
      <w:szCs w:val="56"/>
      <w:lang w:eastAsia="de-DE"/>
    </w:rPr>
  </w:style>
  <w:style w:type="paragraph" w:styleId="Header">
    <w:name w:val="header"/>
    <w:basedOn w:val="Normal"/>
    <w:link w:val="HeaderChar"/>
    <w:uiPriority w:val="99"/>
    <w:unhideWhenUsed/>
    <w:rsid w:val="00192686"/>
    <w:pPr>
      <w:tabs>
        <w:tab w:val="center" w:pos="4680"/>
        <w:tab w:val="right" w:pos="9360"/>
      </w:tabs>
    </w:pPr>
  </w:style>
  <w:style w:type="character" w:customStyle="1" w:styleId="HeaderChar">
    <w:name w:val="Header Char"/>
    <w:basedOn w:val="DefaultParagraphFont"/>
    <w:link w:val="Header"/>
    <w:uiPriority w:val="99"/>
    <w:rsid w:val="00192686"/>
  </w:style>
  <w:style w:type="paragraph" w:styleId="Footer">
    <w:name w:val="footer"/>
    <w:basedOn w:val="Normal"/>
    <w:link w:val="FooterChar"/>
    <w:uiPriority w:val="99"/>
    <w:unhideWhenUsed/>
    <w:rsid w:val="00192686"/>
    <w:pPr>
      <w:tabs>
        <w:tab w:val="center" w:pos="4680"/>
        <w:tab w:val="right" w:pos="9360"/>
      </w:tabs>
    </w:pPr>
  </w:style>
  <w:style w:type="character" w:customStyle="1" w:styleId="FooterChar">
    <w:name w:val="Footer Char"/>
    <w:basedOn w:val="DefaultParagraphFont"/>
    <w:link w:val="Footer"/>
    <w:uiPriority w:val="99"/>
    <w:rsid w:val="00192686"/>
  </w:style>
  <w:style w:type="character" w:customStyle="1" w:styleId="Heading1Char">
    <w:name w:val="Heading 1 Char"/>
    <w:basedOn w:val="DefaultParagraphFont"/>
    <w:link w:val="Heading1"/>
    <w:uiPriority w:val="9"/>
    <w:rsid w:val="00B06BCD"/>
    <w:rPr>
      <w:rFonts w:asciiTheme="majorHAnsi" w:eastAsiaTheme="majorEastAsia" w:hAnsiTheme="majorHAnsi"/>
      <w:b/>
      <w:caps/>
      <w:color w:val="2976BC" w:themeColor="text2"/>
      <w:sz w:val="28"/>
      <w:lang w:val="en-GB" w:eastAsia="de-DE"/>
    </w:rPr>
  </w:style>
  <w:style w:type="character" w:customStyle="1" w:styleId="Heading2Char">
    <w:name w:val="Heading 2 Char"/>
    <w:basedOn w:val="DefaultParagraphFont"/>
    <w:link w:val="Heading2"/>
    <w:uiPriority w:val="9"/>
    <w:rsid w:val="000952A8"/>
    <w:rPr>
      <w:rFonts w:asciiTheme="majorHAnsi" w:eastAsiaTheme="majorEastAsia" w:hAnsiTheme="majorHAnsi"/>
      <w:iCs/>
      <w:caps/>
      <w:color w:val="2976BC" w:themeColor="text2"/>
      <w:sz w:val="28"/>
      <w:lang w:val="en-GB" w:eastAsia="de-DE"/>
    </w:rPr>
  </w:style>
  <w:style w:type="character" w:customStyle="1" w:styleId="Heading3Char">
    <w:name w:val="Heading 3 Char"/>
    <w:basedOn w:val="DefaultParagraphFont"/>
    <w:link w:val="Heading3"/>
    <w:uiPriority w:val="9"/>
    <w:rsid w:val="000952A8"/>
    <w:rPr>
      <w:rFonts w:asciiTheme="majorHAnsi" w:eastAsiaTheme="majorEastAsia" w:hAnsiTheme="majorHAnsi"/>
      <w:iCs/>
      <w:color w:val="2976BC" w:themeColor="text2"/>
      <w:sz w:val="24"/>
      <w:szCs w:val="72"/>
      <w:lang w:val="en-GB" w:eastAsia="de-DE"/>
    </w:rPr>
  </w:style>
  <w:style w:type="character" w:customStyle="1" w:styleId="Heading4Char">
    <w:name w:val="Heading 4 Char"/>
    <w:basedOn w:val="DefaultParagraphFont"/>
    <w:link w:val="Heading4"/>
    <w:uiPriority w:val="9"/>
    <w:rsid w:val="006863E4"/>
    <w:rPr>
      <w:rFonts w:asciiTheme="majorHAnsi" w:eastAsiaTheme="majorEastAsia" w:hAnsiTheme="majorHAnsi"/>
      <w:iCs/>
      <w:color w:val="2976BC" w:themeColor="text2"/>
      <w:sz w:val="24"/>
      <w:szCs w:val="72"/>
      <w:lang w:val="en-GB" w:eastAsia="de-DE"/>
    </w:rPr>
  </w:style>
  <w:style w:type="character" w:customStyle="1" w:styleId="Heading5Char">
    <w:name w:val="Heading 5 Char"/>
    <w:basedOn w:val="DefaultParagraphFont"/>
    <w:link w:val="Heading5"/>
    <w:rsid w:val="006863E4"/>
    <w:rPr>
      <w:rFonts w:asciiTheme="majorHAnsi" w:hAnsiTheme="majorHAnsi"/>
      <w:caps/>
      <w:color w:val="CECFD0" w:themeColor="accent2"/>
      <w:lang w:eastAsia="de-DE"/>
    </w:rPr>
  </w:style>
  <w:style w:type="character" w:customStyle="1" w:styleId="Heading6Char">
    <w:name w:val="Heading 6 Char"/>
    <w:basedOn w:val="DefaultParagraphFont"/>
    <w:link w:val="Heading6"/>
    <w:rsid w:val="00DC1787"/>
    <w:rPr>
      <w:rFonts w:asciiTheme="minorHAnsi" w:hAnsiTheme="minorHAnsi"/>
      <w:caps/>
      <w:color w:val="CECFD0" w:themeColor="accent2"/>
      <w:sz w:val="20"/>
      <w:lang w:eastAsia="de-DE"/>
    </w:rPr>
  </w:style>
  <w:style w:type="character" w:customStyle="1" w:styleId="Heading7Char">
    <w:name w:val="Heading 7 Char"/>
    <w:basedOn w:val="DefaultParagraphFont"/>
    <w:link w:val="Heading7"/>
    <w:rsid w:val="006863E4"/>
    <w:rPr>
      <w:rFonts w:asciiTheme="minorHAnsi" w:hAnsiTheme="minorHAnsi"/>
      <w:caps/>
      <w:color w:val="CECFD0" w:themeColor="accent2"/>
      <w:sz w:val="20"/>
      <w:lang w:eastAsia="de-DE"/>
    </w:rPr>
  </w:style>
  <w:style w:type="character" w:customStyle="1" w:styleId="Heading8Char">
    <w:name w:val="Heading 8 Char"/>
    <w:basedOn w:val="DefaultParagraphFont"/>
    <w:link w:val="Heading8"/>
    <w:rsid w:val="006863E4"/>
    <w:rPr>
      <w:caps/>
      <w:color w:val="CECFD0" w:themeColor="accent2"/>
      <w:sz w:val="20"/>
      <w:lang w:eastAsia="de-DE"/>
    </w:rPr>
  </w:style>
  <w:style w:type="character" w:customStyle="1" w:styleId="Heading9Char">
    <w:name w:val="Heading 9 Char"/>
    <w:basedOn w:val="DefaultParagraphFont"/>
    <w:link w:val="Heading9"/>
    <w:rsid w:val="006863E4"/>
    <w:rPr>
      <w:rFonts w:asciiTheme="minorHAnsi" w:hAnsiTheme="minorHAnsi"/>
      <w:color w:val="CECFD0" w:themeColor="accent2"/>
      <w:sz w:val="20"/>
      <w:lang w:eastAsia="de-DE"/>
    </w:rPr>
  </w:style>
  <w:style w:type="character" w:styleId="Strong">
    <w:name w:val="Strong"/>
    <w:qFormat/>
    <w:rsid w:val="002A4A0D"/>
    <w:rPr>
      <w:rFonts w:asciiTheme="minorHAnsi" w:hAnsiTheme="minorHAnsi" w:cs="Times New Roman"/>
      <w:bCs/>
      <w:color w:val="4D4F52" w:themeColor="text1" w:themeShade="BF"/>
    </w:rPr>
  </w:style>
  <w:style w:type="paragraph" w:customStyle="1" w:styleId="TITLE2">
    <w:name w:val="TITLE 2"/>
    <w:basedOn w:val="TITLE1"/>
    <w:qFormat/>
    <w:rsid w:val="00487095"/>
    <w:rPr>
      <w:color w:val="CECFD0" w:themeColor="accent1"/>
      <w:szCs w:val="28"/>
    </w:rPr>
  </w:style>
  <w:style w:type="character" w:customStyle="1" w:styleId="FootnoteCharacters">
    <w:name w:val="Footnote Characters"/>
    <w:unhideWhenUsed/>
    <w:qFormat/>
    <w:rsid w:val="00487095"/>
    <w:rPr>
      <w:rFonts w:asciiTheme="minorHAnsi" w:hAnsiTheme="minorHAnsi"/>
      <w:color w:val="4D4F52" w:themeColor="text1" w:themeShade="BF"/>
      <w:lang w:val="nl-NL"/>
    </w:rPr>
  </w:style>
  <w:style w:type="character" w:customStyle="1" w:styleId="FootnoteAnchor">
    <w:name w:val="Footnote Anchor"/>
    <w:rsid w:val="00DC1787"/>
    <w:rPr>
      <w:rFonts w:asciiTheme="majorHAnsi" w:hAnsiTheme="majorHAnsi"/>
      <w:vertAlign w:val="superscript"/>
    </w:rPr>
  </w:style>
  <w:style w:type="character" w:customStyle="1" w:styleId="BodyTextChar">
    <w:name w:val="Body Text Char"/>
    <w:basedOn w:val="DefaultParagraphFont"/>
    <w:link w:val="BodyText"/>
    <w:qFormat/>
    <w:rsid w:val="00C8628C"/>
    <w:rPr>
      <w:rFonts w:asciiTheme="minorHAnsi" w:hAnsiTheme="minorHAnsi"/>
      <w:color w:val="4D4F52" w:themeColor="text1" w:themeShade="BF"/>
    </w:rPr>
  </w:style>
  <w:style w:type="paragraph" w:customStyle="1" w:styleId="Titleofthedocument">
    <w:name w:val="Title of the document"/>
    <w:basedOn w:val="Normal"/>
    <w:qFormat/>
    <w:rsid w:val="004F77BF"/>
    <w:pPr>
      <w:jc w:val="center"/>
    </w:pPr>
    <w:rPr>
      <w:rFonts w:asciiTheme="majorHAnsi" w:hAnsiTheme="majorHAnsi"/>
      <w:caps/>
      <w:color w:val="CECFD0" w:themeColor="accent2"/>
      <w:sz w:val="36"/>
    </w:rPr>
  </w:style>
  <w:style w:type="character" w:customStyle="1" w:styleId="SubtitleNoBold">
    <w:name w:val="Subtitle | No Bold"/>
    <w:basedOn w:val="DefaultParagraphFont"/>
    <w:uiPriority w:val="1"/>
    <w:qFormat/>
    <w:rsid w:val="00C8628C"/>
    <w:rPr>
      <w:rFonts w:asciiTheme="minorHAnsi" w:hAnsiTheme="minorHAnsi"/>
      <w:bCs/>
      <w:caps/>
      <w:color w:val="CECFD0" w:themeColor="accent3"/>
      <w:sz w:val="22"/>
      <w:szCs w:val="28"/>
    </w:rPr>
  </w:style>
  <w:style w:type="paragraph" w:customStyle="1" w:styleId="PROJECTTitle">
    <w:name w:val="PROJECT Title"/>
    <w:basedOn w:val="Normal"/>
    <w:qFormat/>
    <w:rsid w:val="00465A10"/>
    <w:pPr>
      <w:pBdr>
        <w:top w:val="dotted" w:sz="4" w:space="8" w:color="BBC7C4"/>
        <w:bottom w:val="dotted" w:sz="4" w:space="8" w:color="BBC7C4"/>
      </w:pBdr>
      <w:jc w:val="center"/>
    </w:pPr>
    <w:rPr>
      <w:rFonts w:asciiTheme="majorHAnsi" w:eastAsia="SimSun" w:hAnsiTheme="majorHAnsi"/>
      <w:caps/>
      <w:color w:val="31B672" w:themeColor="background2"/>
      <w:sz w:val="48"/>
      <w:lang w:eastAsia="zh-CN"/>
    </w:rPr>
  </w:style>
  <w:style w:type="paragraph" w:styleId="BodyText">
    <w:name w:val="Body Text"/>
    <w:basedOn w:val="Normal"/>
    <w:link w:val="BodyTextChar"/>
    <w:unhideWhenUsed/>
    <w:qFormat/>
    <w:rsid w:val="00C8628C"/>
    <w:pPr>
      <w:spacing w:before="120" w:after="180"/>
      <w:jc w:val="both"/>
    </w:pPr>
  </w:style>
  <w:style w:type="character" w:customStyle="1" w:styleId="BodyTextChar1">
    <w:name w:val="Body Text Char1"/>
    <w:basedOn w:val="DefaultParagraphFont"/>
    <w:uiPriority w:val="99"/>
    <w:semiHidden/>
    <w:rsid w:val="00C2600D"/>
    <w:rPr>
      <w:rFonts w:ascii="Montserrat" w:eastAsia="Times New Roman" w:hAnsi="Montserrat" w:cs="Times New Roman"/>
      <w:color w:val="2976BC" w:themeColor="text2"/>
      <w:lang w:val="en-GB" w:eastAsia="en-GB"/>
    </w:rPr>
  </w:style>
  <w:style w:type="paragraph" w:styleId="Caption">
    <w:name w:val="caption"/>
    <w:basedOn w:val="Normal"/>
    <w:qFormat/>
    <w:rsid w:val="00D815BD"/>
    <w:pPr>
      <w:spacing w:before="120" w:after="240"/>
      <w:jc w:val="center"/>
    </w:pPr>
    <w:rPr>
      <w:rFonts w:cs="Arial"/>
      <w:bCs/>
      <w:iCs/>
      <w:caps/>
      <w:sz w:val="20"/>
      <w:lang w:eastAsia="de-DE"/>
    </w:rPr>
  </w:style>
  <w:style w:type="paragraph" w:customStyle="1" w:styleId="TITLE1">
    <w:name w:val="TITLE 1"/>
    <w:basedOn w:val="Normal"/>
    <w:qFormat/>
    <w:rsid w:val="005243F9"/>
    <w:pPr>
      <w:spacing w:before="360" w:after="240"/>
    </w:pPr>
    <w:rPr>
      <w:rFonts w:asciiTheme="majorHAnsi" w:eastAsia="SimSun" w:hAnsiTheme="majorHAnsi"/>
      <w:caps/>
      <w:sz w:val="24"/>
      <w:szCs w:val="24"/>
      <w:lang w:val="nl-NL" w:eastAsia="zh-CN"/>
    </w:rPr>
  </w:style>
  <w:style w:type="character" w:customStyle="1" w:styleId="TitleChar1">
    <w:name w:val="Title Char1"/>
    <w:basedOn w:val="DefaultParagraphFont"/>
    <w:uiPriority w:val="10"/>
    <w:rsid w:val="00C2600D"/>
    <w:rPr>
      <w:rFonts w:asciiTheme="majorHAnsi" w:eastAsiaTheme="majorEastAsia" w:hAnsiTheme="majorHAnsi" w:cstheme="majorBidi"/>
      <w:spacing w:val="-10"/>
      <w:kern w:val="28"/>
      <w:sz w:val="56"/>
      <w:szCs w:val="56"/>
      <w:lang w:val="en-GB" w:eastAsia="en-GB"/>
    </w:rPr>
  </w:style>
  <w:style w:type="paragraph" w:customStyle="1" w:styleId="Bodytext-small">
    <w:name w:val="Body text - small"/>
    <w:basedOn w:val="Normal"/>
    <w:qFormat/>
    <w:rsid w:val="00487095"/>
    <w:pPr>
      <w:widowControl w:val="0"/>
      <w:spacing w:before="120" w:after="120"/>
      <w:jc w:val="both"/>
    </w:pPr>
    <w:rPr>
      <w:rFonts w:cs="Arial"/>
      <w:bCs/>
      <w:iCs/>
      <w:sz w:val="20"/>
      <w:lang w:eastAsia="de-DE"/>
    </w:rPr>
  </w:style>
  <w:style w:type="paragraph" w:customStyle="1" w:styleId="TITLE3">
    <w:name w:val="TITLE 3"/>
    <w:basedOn w:val="TITLE1"/>
    <w:qFormat/>
    <w:rsid w:val="00465A10"/>
    <w:rPr>
      <w:color w:val="31B672" w:themeColor="background2"/>
    </w:rPr>
  </w:style>
  <w:style w:type="paragraph" w:customStyle="1" w:styleId="bullet2">
    <w:name w:val="bullet 2"/>
    <w:basedOn w:val="bullet1"/>
    <w:qFormat/>
    <w:rsid w:val="0093125A"/>
    <w:pPr>
      <w:numPr>
        <w:numId w:val="2"/>
      </w:numPr>
      <w:spacing w:after="60"/>
      <w:ind w:left="754" w:hanging="357"/>
    </w:pPr>
  </w:style>
  <w:style w:type="paragraph" w:customStyle="1" w:styleId="bullet1">
    <w:name w:val="bullet 1"/>
    <w:basedOn w:val="Normal"/>
    <w:qFormat/>
    <w:rsid w:val="007A6915"/>
    <w:pPr>
      <w:numPr>
        <w:numId w:val="1"/>
      </w:numPr>
      <w:spacing w:after="120"/>
      <w:jc w:val="both"/>
    </w:pPr>
    <w:rPr>
      <w:rFonts w:cs="Arial"/>
      <w:bCs/>
      <w:iCs/>
      <w:szCs w:val="28"/>
      <w:lang w:eastAsia="de-DE"/>
    </w:rPr>
  </w:style>
  <w:style w:type="paragraph" w:styleId="TOC1">
    <w:name w:val="toc 1"/>
    <w:basedOn w:val="Normal"/>
    <w:autoRedefine/>
    <w:uiPriority w:val="39"/>
    <w:qFormat/>
    <w:rsid w:val="00B06BCD"/>
    <w:pPr>
      <w:tabs>
        <w:tab w:val="left" w:pos="851"/>
        <w:tab w:val="right" w:leader="dot" w:pos="9355"/>
      </w:tabs>
      <w:spacing w:before="120" w:after="120"/>
      <w:ind w:left="720" w:hanging="720"/>
      <w:jc w:val="both"/>
    </w:pPr>
    <w:rPr>
      <w:bCs/>
      <w:caps/>
      <w:lang w:eastAsia="de-DE"/>
    </w:rPr>
  </w:style>
  <w:style w:type="paragraph" w:styleId="TOC3">
    <w:name w:val="toc 3"/>
    <w:basedOn w:val="Normal"/>
    <w:uiPriority w:val="39"/>
    <w:qFormat/>
    <w:rsid w:val="00A537B4"/>
    <w:pPr>
      <w:spacing w:after="120"/>
    </w:pPr>
    <w:rPr>
      <w:color w:val="989A9D" w:themeColor="background1" w:themeShade="BF"/>
      <w:lang w:val="fr-FR" w:eastAsia="de-DE"/>
    </w:rPr>
  </w:style>
  <w:style w:type="paragraph" w:customStyle="1" w:styleId="bullet3">
    <w:name w:val="bullet 3"/>
    <w:basedOn w:val="bullet1"/>
    <w:qFormat/>
    <w:rsid w:val="00487095"/>
    <w:pPr>
      <w:numPr>
        <w:numId w:val="0"/>
      </w:numPr>
    </w:pPr>
  </w:style>
  <w:style w:type="paragraph" w:customStyle="1" w:styleId="Reference">
    <w:name w:val="Reference"/>
    <w:basedOn w:val="Normal"/>
    <w:qFormat/>
    <w:rsid w:val="00487095"/>
    <w:pPr>
      <w:widowControl w:val="0"/>
      <w:spacing w:before="120" w:after="120"/>
      <w:jc w:val="both"/>
    </w:pPr>
    <w:rPr>
      <w:lang w:eastAsia="de-DE"/>
    </w:rPr>
  </w:style>
  <w:style w:type="paragraph" w:customStyle="1" w:styleId="ListofTables">
    <w:name w:val="List of Tables"/>
    <w:basedOn w:val="TableofFigures"/>
    <w:qFormat/>
    <w:rsid w:val="00A11F73"/>
    <w:rPr>
      <w:caps w:val="0"/>
      <w:sz w:val="22"/>
    </w:rPr>
  </w:style>
  <w:style w:type="paragraph" w:styleId="TableofFigures">
    <w:name w:val="table of figures"/>
    <w:basedOn w:val="TOC1"/>
    <w:uiPriority w:val="99"/>
    <w:qFormat/>
    <w:rsid w:val="003254B8"/>
    <w:pPr>
      <w:ind w:left="440" w:hanging="440"/>
    </w:pPr>
    <w:rPr>
      <w:rFonts w:cs="Arial"/>
      <w:sz w:val="20"/>
      <w:szCs w:val="20"/>
    </w:rPr>
  </w:style>
  <w:style w:type="paragraph" w:customStyle="1" w:styleId="GrantAgreement">
    <w:name w:val="Grant Agreement"/>
    <w:basedOn w:val="Bodytext-small"/>
    <w:qFormat/>
    <w:rsid w:val="00BA352F"/>
    <w:pPr>
      <w:ind w:left="2160"/>
      <w:jc w:val="left"/>
    </w:pPr>
  </w:style>
  <w:style w:type="paragraph" w:customStyle="1" w:styleId="Revision-redcolor">
    <w:name w:val="Revision - red color"/>
    <w:basedOn w:val="Bodytext-small"/>
    <w:qFormat/>
    <w:rsid w:val="00962C5D"/>
    <w:pPr>
      <w:jc w:val="center"/>
    </w:pPr>
    <w:rPr>
      <w:color w:val="EF3A4C"/>
    </w:rPr>
  </w:style>
  <w:style w:type="paragraph" w:customStyle="1" w:styleId="DocumentTitle">
    <w:name w:val="Document Title"/>
    <w:basedOn w:val="Heading1"/>
    <w:rsid w:val="002477D4"/>
    <w:pPr>
      <w:numPr>
        <w:numId w:val="0"/>
      </w:numPr>
      <w:pBdr>
        <w:top w:val="none" w:sz="0" w:space="0" w:color="auto"/>
        <w:bottom w:val="none" w:sz="0" w:space="0" w:color="auto"/>
      </w:pBdr>
    </w:pPr>
    <w:rPr>
      <w:rFonts w:ascii="Open Sans ExtraBold" w:hAnsi="Open Sans ExtraBold" w:cs="Open Sans"/>
      <w:sz w:val="36"/>
    </w:rPr>
  </w:style>
  <w:style w:type="paragraph" w:styleId="FootnoteText">
    <w:name w:val="footnote text"/>
    <w:basedOn w:val="Normal"/>
    <w:link w:val="FootnoteTextChar"/>
    <w:uiPriority w:val="99"/>
    <w:unhideWhenUsed/>
    <w:rsid w:val="003F0444"/>
    <w:rPr>
      <w:sz w:val="16"/>
    </w:rPr>
  </w:style>
  <w:style w:type="table" w:customStyle="1" w:styleId="Tablestyle">
    <w:name w:val="Table style"/>
    <w:basedOn w:val="TableGrid"/>
    <w:uiPriority w:val="99"/>
    <w:rsid w:val="00D815BD"/>
    <w:pPr>
      <w:spacing w:before="40" w:after="40"/>
    </w:pPr>
    <w:rPr>
      <w:rFonts w:eastAsia="Times New Roman"/>
      <w:caps/>
      <w:color w:val="auto"/>
      <w:sz w:val="20"/>
      <w:szCs w:val="20"/>
      <w:lang w:val="fr-FR" w:eastAsia="en-US"/>
    </w:rPr>
    <w:tblPr>
      <w:tblStyleRowBandSize w:val="1"/>
    </w:tblPr>
    <w:tcPr>
      <w:shd w:val="clear" w:color="auto" w:fill="auto"/>
      <w:vAlign w:val="center"/>
    </w:tcPr>
    <w:tblStylePr w:type="firstRow">
      <w:pPr>
        <w:wordWrap/>
        <w:spacing w:beforeLines="0" w:before="160" w:afterLines="0" w:after="160"/>
        <w:jc w:val="center"/>
      </w:pPr>
      <w:rPr>
        <w:b w:val="0"/>
        <w:bCs/>
        <w:i w:val="0"/>
        <w:color w:val="CECFD0" w:themeColor="background1"/>
        <w:sz w:val="24"/>
      </w:rPr>
      <w:tblPr/>
      <w:tcPr>
        <w:tcBorders>
          <w:top w:val="nil"/>
          <w:left w:val="nil"/>
          <w:bottom w:val="nil"/>
          <w:right w:val="nil"/>
          <w:insideH w:val="nil"/>
          <w:insideV w:val="nil"/>
          <w:tl2br w:val="nil"/>
          <w:tr2bl w:val="nil"/>
        </w:tcBorders>
        <w:shd w:val="clear" w:color="auto" w:fill="CECFD0" w:themeFill="accent3"/>
      </w:tcPr>
    </w:tblStylePr>
    <w:tblStylePr w:type="lastRow">
      <w:rPr>
        <w:rFonts w:ascii="Open Sans" w:hAnsi="Open Sans"/>
        <w:b/>
        <w:bCs/>
        <w:color w:val="2976BC" w:themeColor="text2"/>
      </w:rPr>
      <w:tblPr/>
      <w:tcPr>
        <w:tcBorders>
          <w:top w:val="nil"/>
          <w:left w:val="nil"/>
          <w:bottom w:val="nil"/>
          <w:right w:val="nil"/>
          <w:insideH w:val="nil"/>
          <w:insideV w:val="nil"/>
          <w:tl2br w:val="nil"/>
          <w:tr2bl w:val="nil"/>
        </w:tcBorders>
        <w:shd w:val="clear" w:color="auto" w:fill="2976BC" w:themeFill="text2"/>
      </w:tcPr>
    </w:tblStylePr>
    <w:tblStylePr w:type="firstCol">
      <w:rPr>
        <w:b/>
        <w:bCs/>
      </w:rPr>
      <w:tblPr/>
      <w:tcPr>
        <w:tcBorders>
          <w:top w:val="nil"/>
          <w:left w:val="nil"/>
          <w:bottom w:val="nil"/>
          <w:right w:val="nil"/>
          <w:insideH w:val="single" w:sz="4" w:space="0" w:color="CECFD0" w:themeColor="accent3"/>
          <w:insideV w:val="nil"/>
          <w:tl2br w:val="nil"/>
          <w:tr2bl w:val="nil"/>
        </w:tcBorders>
        <w:shd w:val="clear" w:color="auto" w:fill="auto"/>
      </w:tcPr>
    </w:tblStylePr>
    <w:tblStylePr w:type="lastCol">
      <w:rPr>
        <w:b/>
        <w:bCs/>
      </w:rPr>
    </w:tblStylePr>
    <w:tblStylePr w:type="band1Vert">
      <w:tblPr/>
      <w:tcPr>
        <w:shd w:val="clear" w:color="auto" w:fill="F5F5F5" w:themeFill="accent1" w:themeFillTint="33"/>
      </w:tcPr>
    </w:tblStylePr>
    <w:tblStylePr w:type="band1Horz">
      <w:rPr>
        <w:rFonts w:ascii="Open Sans" w:hAnsi="Open Sans"/>
      </w:rPr>
      <w:tblPr/>
      <w:tcPr>
        <w:tcBorders>
          <w:top w:val="nil"/>
          <w:left w:val="nil"/>
          <w:bottom w:val="nil"/>
          <w:right w:val="nil"/>
          <w:insideH w:val="nil"/>
          <w:insideV w:val="nil"/>
          <w:tl2br w:val="nil"/>
          <w:tr2bl w:val="nil"/>
        </w:tcBorders>
        <w:shd w:val="clear" w:color="auto" w:fill="F5F5F5" w:themeFill="accent3" w:themeFillTint="33"/>
      </w:tcPr>
    </w:tblStylePr>
    <w:tblStylePr w:type="band2Horz">
      <w:tblPr/>
      <w:tcPr>
        <w:tcBorders>
          <w:top w:val="nil"/>
          <w:left w:val="nil"/>
          <w:bottom w:val="nil"/>
          <w:right w:val="nil"/>
          <w:insideH w:val="nil"/>
          <w:insideV w:val="nil"/>
          <w:tl2br w:val="nil"/>
          <w:tr2bl w:val="nil"/>
        </w:tcBorders>
        <w:shd w:val="clear" w:color="auto" w:fill="auto"/>
      </w:tcPr>
    </w:tblStylePr>
  </w:style>
  <w:style w:type="table" w:customStyle="1" w:styleId="AgendaTablestyle">
    <w:name w:val="Agenda Table style"/>
    <w:basedOn w:val="TableNormal"/>
    <w:uiPriority w:val="99"/>
    <w:rsid w:val="00D815BD"/>
    <w:pPr>
      <w:jc w:val="center"/>
    </w:pPr>
    <w:rPr>
      <w:rFonts w:eastAsia="Times New Roman"/>
      <w:lang w:val="fr-FR"/>
    </w:rPr>
    <w:tblPr>
      <w:tblStyleRowBandSize w:val="1"/>
      <w:tblStyleColBandSize w:val="1"/>
    </w:tblPr>
    <w:tcPr>
      <w:shd w:val="clear" w:color="auto" w:fill="auto"/>
      <w:vAlign w:val="center"/>
    </w:tcPr>
    <w:tblStylePr w:type="firstRow">
      <w:pPr>
        <w:jc w:val="center"/>
      </w:pPr>
      <w:rPr>
        <w:rFonts w:ascii="Open Sans SemiBold" w:hAnsi="Open Sans SemiBold"/>
        <w:b w:val="0"/>
        <w:i w:val="0"/>
        <w:color w:val="CECFD0" w:themeColor="background1"/>
        <w:sz w:val="22"/>
      </w:rPr>
      <w:tblPr/>
      <w:tcPr>
        <w:shd w:val="clear" w:color="auto" w:fill="2976BC" w:themeFill="text2"/>
      </w:tcPr>
    </w:tblStylePr>
    <w:tblStylePr w:type="lastRow">
      <w:rPr>
        <w:rFonts w:ascii="Open Sans" w:hAnsi="Open Sans"/>
        <w:b/>
        <w:color w:val="FFFFFF" w:themeColor="accent6"/>
      </w:rPr>
      <w:tblPr/>
      <w:tcPr>
        <w:shd w:val="clear" w:color="auto" w:fill="31B672" w:themeFill="background2"/>
      </w:tcPr>
    </w:tblStylePr>
    <w:tblStylePr w:type="firstCol">
      <w:rPr>
        <w:rFonts w:ascii="Open Sans" w:hAnsi="Open Sans"/>
        <w:b/>
      </w:rPr>
    </w:tblStylePr>
    <w:tblStylePr w:type="lastCol">
      <w:rPr>
        <w:rFonts w:ascii="Open Sans" w:hAnsi="Open Sans"/>
        <w:b/>
      </w:rPr>
    </w:tblStylePr>
    <w:tblStylePr w:type="band1Vert">
      <w:rPr>
        <w:rFonts w:ascii="Open Sans" w:hAnsi="Open Sans"/>
      </w:rPr>
    </w:tblStylePr>
    <w:tblStylePr w:type="band2Vert">
      <w:rPr>
        <w:rFonts w:ascii="Open Sans" w:hAnsi="Open Sans"/>
      </w:rPr>
    </w:tblStylePr>
    <w:tblStylePr w:type="band1Horz">
      <w:rPr>
        <w:rFonts w:ascii="Open Sans" w:hAnsi="Open Sans"/>
        <w:b w:val="0"/>
        <w:i w:val="0"/>
        <w:sz w:val="24"/>
      </w:rPr>
      <w:tblPr/>
      <w:tcPr>
        <w:tcBorders>
          <w:insideH w:val="nil"/>
        </w:tcBorders>
        <w:shd w:val="clear" w:color="auto" w:fill="F5F5F5" w:themeFill="accent3" w:themeFillTint="33"/>
      </w:tcPr>
    </w:tblStylePr>
    <w:tblStylePr w:type="band2Horz">
      <w:rPr>
        <w:rFonts w:ascii="Open Sans" w:hAnsi="Open Sans"/>
      </w:rPr>
    </w:tblStylePr>
  </w:style>
  <w:style w:type="table" w:styleId="GridTable4-Accent1">
    <w:name w:val="Grid Table 4 Accent 1"/>
    <w:basedOn w:val="TableNormal"/>
    <w:uiPriority w:val="49"/>
    <w:rsid w:val="00C2600D"/>
    <w:tblPr>
      <w:tblStyleRowBandSize w:val="1"/>
      <w:tblStyleColBandSize w:val="1"/>
      <w:tblBorders>
        <w:top w:val="single" w:sz="4" w:space="0" w:color="E1E2E2" w:themeColor="accent1" w:themeTint="99"/>
        <w:left w:val="single" w:sz="4" w:space="0" w:color="E1E2E2" w:themeColor="accent1" w:themeTint="99"/>
        <w:bottom w:val="single" w:sz="4" w:space="0" w:color="E1E2E2" w:themeColor="accent1" w:themeTint="99"/>
        <w:right w:val="single" w:sz="4" w:space="0" w:color="E1E2E2" w:themeColor="accent1" w:themeTint="99"/>
        <w:insideH w:val="single" w:sz="4" w:space="0" w:color="E1E2E2" w:themeColor="accent1" w:themeTint="99"/>
        <w:insideV w:val="single" w:sz="4" w:space="0" w:color="E1E2E2" w:themeColor="accent1" w:themeTint="99"/>
      </w:tblBorders>
    </w:tblPr>
    <w:tblStylePr w:type="firstRow">
      <w:rPr>
        <w:b/>
        <w:bCs/>
        <w:color w:val="CECFD0" w:themeColor="background1"/>
      </w:rPr>
      <w:tblPr/>
      <w:tcPr>
        <w:tcBorders>
          <w:top w:val="single" w:sz="4" w:space="0" w:color="CECFD0" w:themeColor="accent1"/>
          <w:left w:val="single" w:sz="4" w:space="0" w:color="CECFD0" w:themeColor="accent1"/>
          <w:bottom w:val="single" w:sz="4" w:space="0" w:color="CECFD0" w:themeColor="accent1"/>
          <w:right w:val="single" w:sz="4" w:space="0" w:color="CECFD0" w:themeColor="accent1"/>
          <w:insideH w:val="nil"/>
          <w:insideV w:val="nil"/>
        </w:tcBorders>
        <w:shd w:val="clear" w:color="auto" w:fill="CECFD0" w:themeFill="accent1"/>
      </w:tcPr>
    </w:tblStylePr>
    <w:tblStylePr w:type="lastRow">
      <w:rPr>
        <w:b/>
        <w:bCs/>
      </w:rPr>
      <w:tblPr/>
      <w:tcPr>
        <w:tcBorders>
          <w:top w:val="double" w:sz="4" w:space="0" w:color="CECFD0" w:themeColor="accent1"/>
        </w:tcBorders>
      </w:tcPr>
    </w:tblStylePr>
    <w:tblStylePr w:type="firstCol">
      <w:rPr>
        <w:b/>
        <w:bCs/>
      </w:rPr>
    </w:tblStylePr>
    <w:tblStylePr w:type="lastCol">
      <w:rPr>
        <w:b/>
        <w:bCs/>
      </w:rPr>
    </w:tblStylePr>
    <w:tblStylePr w:type="band1Vert">
      <w:tblPr/>
      <w:tcPr>
        <w:shd w:val="clear" w:color="auto" w:fill="F5F5F5" w:themeFill="accent1" w:themeFillTint="33"/>
      </w:tcPr>
    </w:tblStylePr>
    <w:tblStylePr w:type="band1Horz">
      <w:tblPr/>
      <w:tcPr>
        <w:shd w:val="clear" w:color="auto" w:fill="F5F5F5" w:themeFill="accent1" w:themeFillTint="33"/>
      </w:tcPr>
    </w:tblStylePr>
  </w:style>
  <w:style w:type="character" w:styleId="PageNumber">
    <w:name w:val="page number"/>
    <w:basedOn w:val="DefaultParagraphFont"/>
    <w:uiPriority w:val="99"/>
    <w:semiHidden/>
    <w:unhideWhenUsed/>
    <w:rsid w:val="00162338"/>
    <w:rPr>
      <w:rFonts w:ascii="Montserrat" w:hAnsi="Montserrat"/>
      <w:b w:val="0"/>
      <w:i w:val="0"/>
      <w:color w:val="BBC7C4"/>
      <w:sz w:val="16"/>
    </w:rPr>
  </w:style>
  <w:style w:type="paragraph" w:styleId="Subtitle">
    <w:name w:val="Subtitle"/>
    <w:basedOn w:val="Normal"/>
    <w:next w:val="Normal"/>
    <w:link w:val="SubtitleChar"/>
    <w:uiPriority w:val="11"/>
    <w:qFormat/>
    <w:pPr>
      <w:spacing w:after="360"/>
      <w:jc w:val="center"/>
    </w:pPr>
    <w:rPr>
      <w:smallCaps/>
      <w:color w:val="8C8E93"/>
    </w:rPr>
  </w:style>
  <w:style w:type="character" w:customStyle="1" w:styleId="SubtitleChar">
    <w:name w:val="Subtitle Char"/>
    <w:basedOn w:val="DefaultParagraphFont"/>
    <w:link w:val="Subtitle"/>
    <w:uiPriority w:val="11"/>
    <w:rsid w:val="005E42C1"/>
    <w:rPr>
      <w:rFonts w:ascii="Montserrat" w:eastAsiaTheme="minorEastAsia" w:hAnsi="Montserrat" w:cs="Times New Roman (Body CS)"/>
      <w:caps/>
      <w:color w:val="8C8E93" w:themeColor="text1" w:themeTint="BF"/>
      <w:spacing w:val="15"/>
      <w:sz w:val="36"/>
      <w:szCs w:val="22"/>
      <w:lang w:val="en-GB" w:eastAsia="en-GB"/>
    </w:rPr>
  </w:style>
  <w:style w:type="character" w:customStyle="1" w:styleId="FootnoteTextChar">
    <w:name w:val="Footnote Text Char"/>
    <w:basedOn w:val="DefaultParagraphFont"/>
    <w:link w:val="FootnoteText"/>
    <w:uiPriority w:val="99"/>
    <w:rsid w:val="003F0444"/>
    <w:rPr>
      <w:color w:val="7D7F84" w:themeColor="text1" w:themeTint="D9"/>
      <w:sz w:val="16"/>
    </w:rPr>
  </w:style>
  <w:style w:type="character" w:styleId="FootnoteReference">
    <w:name w:val="footnote reference"/>
    <w:basedOn w:val="DefaultParagraphFont"/>
    <w:uiPriority w:val="99"/>
    <w:semiHidden/>
    <w:unhideWhenUsed/>
    <w:rsid w:val="005875BE"/>
    <w:rPr>
      <w:vertAlign w:val="superscript"/>
    </w:rPr>
  </w:style>
  <w:style w:type="character" w:customStyle="1" w:styleId="TitleChar">
    <w:name w:val="Title Char"/>
    <w:basedOn w:val="DefaultParagraphFont"/>
    <w:link w:val="Title"/>
    <w:qFormat/>
    <w:rsid w:val="00465A10"/>
    <w:rPr>
      <w:rFonts w:asciiTheme="majorHAnsi" w:eastAsiaTheme="majorEastAsia" w:hAnsiTheme="majorHAnsi" w:cstheme="majorBidi"/>
      <w:bCs/>
      <w:iCs/>
      <w:caps/>
      <w:color w:val="2976BC" w:themeColor="text2"/>
      <w:sz w:val="28"/>
      <w:szCs w:val="56"/>
      <w:lang w:eastAsia="de-DE"/>
    </w:rPr>
  </w:style>
  <w:style w:type="character" w:customStyle="1" w:styleId="TitleChar2">
    <w:name w:val="Title Char2"/>
    <w:basedOn w:val="DefaultParagraphFont"/>
    <w:rsid w:val="0053462E"/>
    <w:rPr>
      <w:rFonts w:asciiTheme="majorHAnsi" w:eastAsiaTheme="majorEastAsia" w:hAnsiTheme="majorHAnsi" w:cstheme="majorBidi"/>
      <w:spacing w:val="-10"/>
      <w:kern w:val="28"/>
      <w:sz w:val="56"/>
      <w:szCs w:val="56"/>
      <w:lang w:val="en-GB" w:eastAsia="en-GB"/>
    </w:rPr>
  </w:style>
  <w:style w:type="table" w:styleId="TableGrid">
    <w:name w:val="Table Grid"/>
    <w:basedOn w:val="TableNormal"/>
    <w:uiPriority w:val="39"/>
    <w:rsid w:val="00CA3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848FC"/>
    <w:tblPr>
      <w:tblStyleRowBandSize w:val="1"/>
      <w:tblStyleColBandSize w:val="1"/>
      <w:tblBorders>
        <w:top w:val="single" w:sz="4" w:space="0" w:color="EBEBEC" w:themeColor="accent1" w:themeTint="66"/>
        <w:left w:val="single" w:sz="4" w:space="0" w:color="EBEBEC" w:themeColor="accent1" w:themeTint="66"/>
        <w:bottom w:val="single" w:sz="4" w:space="0" w:color="EBEBEC" w:themeColor="accent1" w:themeTint="66"/>
        <w:right w:val="single" w:sz="4" w:space="0" w:color="EBEBEC" w:themeColor="accent1" w:themeTint="66"/>
        <w:insideH w:val="single" w:sz="4" w:space="0" w:color="EBEBEC" w:themeColor="accent1" w:themeTint="66"/>
        <w:insideV w:val="single" w:sz="4" w:space="0" w:color="EBEBEC" w:themeColor="accent1" w:themeTint="66"/>
      </w:tblBorders>
    </w:tblPr>
    <w:tblStylePr w:type="firstRow">
      <w:rPr>
        <w:b/>
        <w:bCs/>
      </w:rPr>
      <w:tblPr/>
      <w:tcPr>
        <w:tcBorders>
          <w:bottom w:val="single" w:sz="12" w:space="0" w:color="E1E2E2" w:themeColor="accent1" w:themeTint="99"/>
        </w:tcBorders>
      </w:tcPr>
    </w:tblStylePr>
    <w:tblStylePr w:type="lastRow">
      <w:rPr>
        <w:b/>
        <w:bCs/>
      </w:rPr>
      <w:tblPr/>
      <w:tcPr>
        <w:tcBorders>
          <w:top w:val="double" w:sz="2" w:space="0" w:color="E1E2E2"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22C26"/>
    <w:tblPr>
      <w:tblStyleRowBandSize w:val="1"/>
      <w:tblStyleColBandSize w:val="1"/>
      <w:tblBorders>
        <w:top w:val="single" w:sz="4" w:space="0" w:color="B2B3B6" w:themeColor="text1" w:themeTint="80"/>
        <w:bottom w:val="single" w:sz="4" w:space="0" w:color="B2B3B6" w:themeColor="text1" w:themeTint="80"/>
      </w:tblBorders>
    </w:tblPr>
    <w:tblStylePr w:type="firstRow">
      <w:rPr>
        <w:b/>
        <w:bCs/>
      </w:rPr>
      <w:tblPr/>
      <w:tcPr>
        <w:shd w:val="clear" w:color="auto" w:fill="FFFFFF" w:themeFill="accent6" w:themeFillTint="33"/>
      </w:tcPr>
    </w:tblStylePr>
    <w:tblStylePr w:type="lastRow">
      <w:rPr>
        <w:b/>
        <w:bCs/>
      </w:rPr>
      <w:tblPr/>
      <w:tcPr>
        <w:tcBorders>
          <w:top w:val="single" w:sz="4" w:space="0" w:color="B2B3B6" w:themeColor="text1" w:themeTint="80"/>
        </w:tcBorders>
      </w:tcPr>
    </w:tblStylePr>
    <w:tblStylePr w:type="firstCol">
      <w:rPr>
        <w:b/>
        <w:bCs/>
      </w:rPr>
    </w:tblStylePr>
    <w:tblStylePr w:type="lastCol">
      <w:rPr>
        <w:b/>
        <w:bCs/>
      </w:rPr>
    </w:tblStylePr>
    <w:tblStylePr w:type="band1Vert">
      <w:tblPr/>
      <w:tcPr>
        <w:tcBorders>
          <w:left w:val="single" w:sz="4" w:space="0" w:color="B2B3B6" w:themeColor="text1" w:themeTint="80"/>
          <w:right w:val="single" w:sz="4" w:space="0" w:color="B2B3B6" w:themeColor="text1" w:themeTint="80"/>
        </w:tcBorders>
      </w:tcPr>
    </w:tblStylePr>
    <w:tblStylePr w:type="band2Vert">
      <w:tblPr/>
      <w:tcPr>
        <w:tcBorders>
          <w:left w:val="single" w:sz="4" w:space="0" w:color="B2B3B6" w:themeColor="text1" w:themeTint="80"/>
          <w:right w:val="single" w:sz="4" w:space="0" w:color="B2B3B6" w:themeColor="text1" w:themeTint="80"/>
        </w:tcBorders>
      </w:tcPr>
    </w:tblStylePr>
    <w:tblStylePr w:type="band1Horz">
      <w:tblPr/>
      <w:tcPr>
        <w:tcBorders>
          <w:top w:val="single" w:sz="4" w:space="0" w:color="B2B3B6" w:themeColor="text1" w:themeTint="80"/>
          <w:bottom w:val="single" w:sz="4" w:space="0" w:color="B2B3B6" w:themeColor="text1" w:themeTint="80"/>
        </w:tcBorders>
      </w:tcPr>
    </w:tblStylePr>
  </w:style>
  <w:style w:type="paragraph" w:customStyle="1" w:styleId="Tableheaderfooter-white">
    <w:name w:val="Table header/footer - white"/>
    <w:basedOn w:val="BodyText"/>
    <w:qFormat/>
    <w:rsid w:val="007A6560"/>
    <w:pPr>
      <w:jc w:val="center"/>
    </w:pPr>
    <w:rPr>
      <w:bCs/>
      <w:color w:val="FFFFFF"/>
    </w:rPr>
  </w:style>
  <w:style w:type="paragraph" w:customStyle="1" w:styleId="Tableheaderfooter-grey">
    <w:name w:val="Table header/footer - grey"/>
    <w:basedOn w:val="Normal"/>
    <w:qFormat/>
    <w:rsid w:val="00C8628C"/>
    <w:pPr>
      <w:spacing w:before="160" w:after="160"/>
      <w:jc w:val="center"/>
    </w:pPr>
  </w:style>
  <w:style w:type="paragraph" w:customStyle="1" w:styleId="Table-content">
    <w:name w:val="Table - content"/>
    <w:basedOn w:val="BodyText"/>
    <w:qFormat/>
    <w:rsid w:val="004B0501"/>
    <w:pPr>
      <w:jc w:val="center"/>
    </w:pPr>
  </w:style>
  <w:style w:type="paragraph" w:styleId="NoSpacing">
    <w:name w:val="No Spacing"/>
    <w:aliases w:val="Body text"/>
    <w:link w:val="NoSpacingChar"/>
    <w:uiPriority w:val="1"/>
    <w:qFormat/>
    <w:rsid w:val="006863E4"/>
    <w:rPr>
      <w:rFonts w:asciiTheme="minorHAnsi" w:eastAsiaTheme="minorEastAsia" w:hAnsiTheme="minorHAnsi"/>
      <w:lang w:eastAsia="zh-CN"/>
    </w:rPr>
  </w:style>
  <w:style w:type="character" w:customStyle="1" w:styleId="NoSpacingChar">
    <w:name w:val="No Spacing Char"/>
    <w:aliases w:val="Body text Char"/>
    <w:basedOn w:val="DefaultParagraphFont"/>
    <w:link w:val="NoSpacing"/>
    <w:uiPriority w:val="1"/>
    <w:rsid w:val="006863E4"/>
    <w:rPr>
      <w:rFonts w:asciiTheme="minorHAnsi" w:eastAsiaTheme="minorEastAsia" w:hAnsiTheme="minorHAnsi"/>
      <w:szCs w:val="22"/>
      <w:lang w:eastAsia="zh-CN"/>
    </w:rPr>
  </w:style>
  <w:style w:type="paragraph" w:customStyle="1" w:styleId="Documentcoverdate">
    <w:name w:val="Document cover date"/>
    <w:basedOn w:val="Normal"/>
    <w:qFormat/>
    <w:rsid w:val="00E16299"/>
    <w:pPr>
      <w:spacing w:before="240" w:after="240"/>
    </w:pPr>
    <w:rPr>
      <w:rFonts w:asciiTheme="majorHAnsi" w:hAnsiTheme="majorHAnsi"/>
      <w:color w:val="CECFD0" w:themeColor="background1"/>
      <w:sz w:val="24"/>
    </w:rPr>
  </w:style>
  <w:style w:type="paragraph" w:styleId="IntenseQuote">
    <w:name w:val="Intense Quote"/>
    <w:basedOn w:val="Normal"/>
    <w:next w:val="Normal"/>
    <w:link w:val="IntenseQuoteChar"/>
    <w:uiPriority w:val="30"/>
    <w:qFormat/>
    <w:rsid w:val="00962C5D"/>
    <w:pPr>
      <w:pBdr>
        <w:top w:val="single" w:sz="4" w:space="10" w:color="CECFD0" w:themeColor="accent1"/>
        <w:bottom w:val="single" w:sz="4" w:space="10" w:color="CECFD0" w:themeColor="accent1"/>
      </w:pBdr>
      <w:spacing w:before="360" w:after="360"/>
      <w:ind w:left="862" w:right="862"/>
      <w:jc w:val="center"/>
    </w:pPr>
    <w:rPr>
      <w:i/>
      <w:iCs/>
      <w:color w:val="EF3A4C"/>
    </w:rPr>
  </w:style>
  <w:style w:type="character" w:customStyle="1" w:styleId="IntenseQuoteChar">
    <w:name w:val="Intense Quote Char"/>
    <w:basedOn w:val="DefaultParagraphFont"/>
    <w:link w:val="IntenseQuote"/>
    <w:uiPriority w:val="30"/>
    <w:rsid w:val="00962C5D"/>
    <w:rPr>
      <w:rFonts w:ascii="Montserrat" w:eastAsia="Times New Roman" w:hAnsi="Montserrat" w:cs="Times New Roman"/>
      <w:i/>
      <w:iCs/>
      <w:color w:val="EF3A4C"/>
      <w:sz w:val="18"/>
      <w:lang w:val="en-GB" w:eastAsia="en-GB"/>
    </w:rPr>
  </w:style>
  <w:style w:type="character" w:styleId="IntenseEmphasis">
    <w:name w:val="Intense Emphasis"/>
    <w:basedOn w:val="DefaultParagraphFont"/>
    <w:uiPriority w:val="21"/>
    <w:qFormat/>
    <w:rsid w:val="00962C5D"/>
    <w:rPr>
      <w:i/>
      <w:iCs/>
      <w:color w:val="EF3A4C"/>
    </w:rPr>
  </w:style>
  <w:style w:type="character" w:styleId="IntenseReference">
    <w:name w:val="Intense Reference"/>
    <w:basedOn w:val="DefaultParagraphFont"/>
    <w:uiPriority w:val="32"/>
    <w:qFormat/>
    <w:rsid w:val="00962C5D"/>
    <w:rPr>
      <w:b/>
      <w:bCs/>
      <w:smallCaps/>
      <w:color w:val="EF3A4C"/>
      <w:spacing w:val="5"/>
    </w:rPr>
  </w:style>
  <w:style w:type="table" w:customStyle="1" w:styleId="introtable">
    <w:name w:val="intro table"/>
    <w:basedOn w:val="TableNormal"/>
    <w:uiPriority w:val="99"/>
    <w:rsid w:val="005243F9"/>
    <w:tblPr>
      <w:tblBorders>
        <w:bottom w:val="single" w:sz="6" w:space="0" w:color="2976BC" w:themeColor="text2"/>
        <w:insideH w:val="single" w:sz="6" w:space="0" w:color="2976BC" w:themeColor="text2"/>
      </w:tblBorders>
    </w:tblPr>
  </w:style>
  <w:style w:type="paragraph" w:styleId="TOCHeading">
    <w:name w:val="TOC Heading"/>
    <w:basedOn w:val="Heading1"/>
    <w:next w:val="Normal"/>
    <w:uiPriority w:val="39"/>
    <w:unhideWhenUsed/>
    <w:qFormat/>
    <w:rsid w:val="001C00A9"/>
    <w:pPr>
      <w:keepNext/>
      <w:keepLines/>
      <w:numPr>
        <w:numId w:val="0"/>
      </w:numPr>
      <w:pBdr>
        <w:top w:val="none" w:sz="0" w:space="0" w:color="auto"/>
        <w:bottom w:val="none" w:sz="0" w:space="0" w:color="auto"/>
      </w:pBdr>
      <w:spacing w:before="240" w:after="0" w:line="259" w:lineRule="auto"/>
      <w:contextualSpacing w:val="0"/>
      <w:outlineLvl w:val="9"/>
    </w:pPr>
    <w:rPr>
      <w:rFonts w:cstheme="majorBidi"/>
      <w:caps w:val="0"/>
      <w:color w:val="989A9D" w:themeColor="accent1" w:themeShade="BF"/>
      <w:sz w:val="32"/>
      <w:szCs w:val="32"/>
      <w:lang w:val="en-US" w:eastAsia="en-US"/>
    </w:rPr>
  </w:style>
  <w:style w:type="character" w:styleId="Hyperlink">
    <w:name w:val="Hyperlink"/>
    <w:basedOn w:val="DefaultParagraphFont"/>
    <w:uiPriority w:val="99"/>
    <w:unhideWhenUsed/>
    <w:rsid w:val="001C00A9"/>
    <w:rPr>
      <w:color w:val="31B672" w:themeColor="hyperlink"/>
      <w:u w:val="single"/>
    </w:rPr>
  </w:style>
  <w:style w:type="table" w:customStyle="1" w:styleId="Style1">
    <w:name w:val="Style1"/>
    <w:basedOn w:val="TableNormal"/>
    <w:uiPriority w:val="99"/>
    <w:rsid w:val="00DE5FDC"/>
    <w:tblPr>
      <w:tblStyleRowBandSize w:val="1"/>
    </w:tblPr>
    <w:tblStylePr w:type="firstRow">
      <w:rPr>
        <w:rFonts w:ascii="Open Sans SemiBold" w:hAnsi="Open Sans SemiBold"/>
        <w:color w:val="auto"/>
      </w:rPr>
      <w:tblPr/>
      <w:tcPr>
        <w:shd w:val="clear" w:color="auto" w:fill="31B672" w:themeFill="background2"/>
      </w:tcPr>
    </w:tblStylePr>
    <w:tblStylePr w:type="lastRow">
      <w:tblPr/>
      <w:tcPr>
        <w:tcBorders>
          <w:insideV w:val="nil"/>
        </w:tcBorders>
        <w:shd w:val="clear" w:color="auto" w:fill="CECFD0" w:themeFill="accent2"/>
      </w:tcPr>
    </w:tblStylePr>
    <w:tblStylePr w:type="band2Horz">
      <w:tblPr/>
      <w:tcPr>
        <w:shd w:val="clear" w:color="auto" w:fill="F5F5F5" w:themeFill="accent3" w:themeFillTint="33"/>
      </w:tcPr>
    </w:tblStylePr>
  </w:style>
  <w:style w:type="paragraph" w:customStyle="1" w:styleId="Deliverabletitle">
    <w:name w:val="Deliverable title"/>
    <w:basedOn w:val="Normal"/>
    <w:qFormat/>
    <w:rsid w:val="00E16299"/>
    <w:rPr>
      <w:rFonts w:asciiTheme="majorHAnsi" w:hAnsiTheme="majorHAnsi" w:cs="Open Sans ExtraBold"/>
      <w:b/>
      <w:caps/>
      <w:color w:val="CECFD0" w:themeColor="background1"/>
      <w:sz w:val="36"/>
    </w:rPr>
  </w:style>
  <w:style w:type="table" w:customStyle="1" w:styleId="a">
    <w:basedOn w:val="TableNormal"/>
    <w:pPr>
      <w:spacing w:before="40" w:after="40"/>
      <w:jc w:val="center"/>
    </w:pPr>
    <w:rPr>
      <w:smallCaps/>
      <w:color w:val="000000"/>
      <w:sz w:val="20"/>
      <w:szCs w:val="20"/>
    </w:rPr>
    <w:tblPr>
      <w:tblStyleRowBandSize w:val="1"/>
      <w:tblStyleColBandSize w:val="1"/>
      <w:tblCellMar>
        <w:left w:w="115" w:type="dxa"/>
        <w:right w:w="115" w:type="dxa"/>
      </w:tblCellMar>
    </w:tblPr>
    <w:tcPr>
      <w:shd w:val="clear" w:color="auto" w:fill="auto"/>
      <w:vAlign w:val="center"/>
    </w:tcPr>
  </w:style>
  <w:style w:type="table" w:customStyle="1" w:styleId="a0">
    <w:basedOn w:val="TableNormal"/>
    <w:pPr>
      <w:spacing w:before="40" w:after="40"/>
      <w:jc w:val="center"/>
    </w:pPr>
    <w:rPr>
      <w:smallCaps/>
      <w:color w:val="000000"/>
      <w:sz w:val="20"/>
      <w:szCs w:val="20"/>
    </w:rPr>
    <w:tblPr>
      <w:tblStyleRowBandSize w:val="1"/>
      <w:tblStyleColBandSize w:val="1"/>
      <w:tblCellMar>
        <w:left w:w="115" w:type="dxa"/>
        <w:right w:w="115" w:type="dxa"/>
      </w:tblCellMar>
    </w:tblPr>
    <w:tcPr>
      <w:shd w:val="clear" w:color="auto" w:fill="auto"/>
      <w:vAlign w:val="center"/>
    </w:tcPr>
  </w:style>
  <w:style w:type="table" w:customStyle="1" w:styleId="a1">
    <w:basedOn w:val="TableNormal"/>
    <w:pPr>
      <w:spacing w:before="40" w:after="40"/>
      <w:jc w:val="center"/>
    </w:pPr>
    <w:rPr>
      <w:smallCaps/>
      <w:color w:val="000000"/>
      <w:sz w:val="20"/>
      <w:szCs w:val="20"/>
    </w:rPr>
    <w:tblPr>
      <w:tblStyleRowBandSize w:val="1"/>
      <w:tblStyleColBandSize w:val="1"/>
      <w:tblCellMar>
        <w:left w:w="115" w:type="dxa"/>
        <w:right w:w="115" w:type="dxa"/>
      </w:tblCellMar>
    </w:tblPr>
    <w:tcPr>
      <w:shd w:val="clear" w:color="auto" w:fill="auto"/>
      <w:vAlign w:val="center"/>
    </w:tcPr>
    <w:tblStylePr w:type="firstRow">
      <w:rPr>
        <w:b/>
      </w:rPr>
      <w:tblPr/>
      <w:tcPr>
        <w:shd w:val="clear" w:color="auto" w:fill="FFFFFF"/>
      </w:tcPr>
    </w:tblStylePr>
    <w:tblStylePr w:type="lastRow">
      <w:rPr>
        <w:b/>
      </w:rPr>
      <w:tblPr/>
      <w:tcPr>
        <w:tcBorders>
          <w:top w:val="single" w:sz="4" w:space="0" w:color="B2B3B6"/>
        </w:tcBorders>
      </w:tcPr>
    </w:tblStylePr>
    <w:tblStylePr w:type="firstCol">
      <w:rPr>
        <w:b/>
      </w:rPr>
    </w:tblStylePr>
    <w:tblStylePr w:type="lastCol">
      <w:rPr>
        <w:b/>
      </w:rPr>
    </w:tblStylePr>
    <w:tblStylePr w:type="band1Vert">
      <w:tblPr/>
      <w:tcPr>
        <w:tcBorders>
          <w:left w:val="single" w:sz="4" w:space="0" w:color="B2B3B6"/>
          <w:right w:val="single" w:sz="4" w:space="0" w:color="B2B3B6"/>
        </w:tcBorders>
      </w:tcPr>
    </w:tblStylePr>
    <w:tblStylePr w:type="band2Vert">
      <w:tblPr/>
      <w:tcPr>
        <w:tcBorders>
          <w:left w:val="single" w:sz="4" w:space="0" w:color="B2B3B6"/>
          <w:right w:val="single" w:sz="4" w:space="0" w:color="B2B3B6"/>
        </w:tcBorders>
      </w:tcPr>
    </w:tblStylePr>
    <w:tblStylePr w:type="band1Horz">
      <w:tblPr/>
      <w:tcPr>
        <w:tcBorders>
          <w:top w:val="single" w:sz="4" w:space="0" w:color="B2B3B6"/>
          <w:bottom w:val="single" w:sz="4" w:space="0" w:color="B2B3B6"/>
        </w:tcBorders>
      </w:tcPr>
    </w:tblStylePr>
  </w:style>
  <w:style w:type="table" w:customStyle="1" w:styleId="a2">
    <w:basedOn w:val="TableNormal"/>
    <w:pPr>
      <w:spacing w:before="40" w:after="40"/>
      <w:jc w:val="center"/>
    </w:pPr>
    <w:rPr>
      <w:smallCaps/>
      <w:color w:val="000000"/>
      <w:sz w:val="20"/>
      <w:szCs w:val="20"/>
    </w:rPr>
    <w:tblPr>
      <w:tblStyleRowBandSize w:val="1"/>
      <w:tblStyleColBandSize w:val="1"/>
      <w:tblCellMar>
        <w:left w:w="115" w:type="dxa"/>
        <w:right w:w="115" w:type="dxa"/>
      </w:tblCellMar>
    </w:tblPr>
    <w:tcPr>
      <w:shd w:val="clear" w:color="auto" w:fill="auto"/>
      <w:vAlign w:val="center"/>
    </w:tcPr>
    <w:tblStylePr w:type="firstRow">
      <w:pPr>
        <w:spacing w:before="0" w:after="0"/>
        <w:jc w:val="center"/>
      </w:pPr>
      <w:rPr>
        <w:b w:val="0"/>
        <w:i w:val="0"/>
        <w:color w:val="CECFD0"/>
        <w:sz w:val="24"/>
        <w:szCs w:val="24"/>
      </w:rPr>
      <w:tblPr/>
      <w:tcPr>
        <w:tcBorders>
          <w:top w:val="nil"/>
          <w:left w:val="nil"/>
          <w:bottom w:val="nil"/>
          <w:right w:val="nil"/>
          <w:insideH w:val="nil"/>
          <w:insideV w:val="nil"/>
        </w:tcBorders>
        <w:shd w:val="clear" w:color="auto" w:fill="CECFD0"/>
      </w:tcPr>
    </w:tblStylePr>
    <w:tblStylePr w:type="lastRow">
      <w:rPr>
        <w:rFonts w:ascii="Open Sans" w:eastAsia="Open Sans" w:hAnsi="Open Sans" w:cs="Open Sans"/>
        <w:b/>
        <w:color w:val="2976BC"/>
      </w:rPr>
      <w:tblPr/>
      <w:tcPr>
        <w:tcBorders>
          <w:top w:val="nil"/>
          <w:left w:val="nil"/>
          <w:bottom w:val="nil"/>
          <w:right w:val="nil"/>
          <w:insideH w:val="nil"/>
          <w:insideV w:val="nil"/>
        </w:tcBorders>
        <w:shd w:val="clear" w:color="auto" w:fill="2976BC"/>
      </w:tcPr>
    </w:tblStylePr>
    <w:tblStylePr w:type="firstCol">
      <w:rPr>
        <w:b/>
      </w:rPr>
      <w:tblPr/>
      <w:tcPr>
        <w:tcBorders>
          <w:top w:val="nil"/>
          <w:left w:val="nil"/>
          <w:bottom w:val="nil"/>
          <w:right w:val="nil"/>
          <w:insideH w:val="single" w:sz="4" w:space="0" w:color="CECFD0"/>
          <w:insideV w:val="nil"/>
        </w:tcBorders>
        <w:shd w:val="clear" w:color="auto" w:fill="auto"/>
      </w:tcPr>
    </w:tblStylePr>
    <w:tblStylePr w:type="lastCol">
      <w:rPr>
        <w:b/>
      </w:rPr>
    </w:tblStylePr>
    <w:tblStylePr w:type="band1Vert">
      <w:tblPr/>
      <w:tcPr>
        <w:shd w:val="clear" w:color="auto" w:fill="F5F5F5"/>
      </w:tcPr>
    </w:tblStylePr>
    <w:tblStylePr w:type="band1Horz">
      <w:rPr>
        <w:rFonts w:ascii="Open Sans" w:eastAsia="Open Sans" w:hAnsi="Open Sans" w:cs="Open Sans"/>
      </w:rPr>
      <w:tblPr/>
      <w:tcPr>
        <w:tcBorders>
          <w:top w:val="nil"/>
          <w:left w:val="nil"/>
          <w:bottom w:val="nil"/>
          <w:right w:val="nil"/>
          <w:insideH w:val="nil"/>
          <w:insideV w:val="nil"/>
        </w:tcBorders>
        <w:shd w:val="clear" w:color="auto" w:fill="F5F5F5"/>
      </w:tcPr>
    </w:tblStylePr>
    <w:tblStylePr w:type="band2Horz">
      <w:tblPr/>
      <w:tcPr>
        <w:tcBorders>
          <w:top w:val="nil"/>
          <w:left w:val="nil"/>
          <w:bottom w:val="nil"/>
          <w:right w:val="nil"/>
          <w:insideH w:val="nil"/>
          <w:insideV w:val="nil"/>
        </w:tcBorders>
        <w:shd w:val="clear" w:color="auto" w:fill="auto"/>
      </w:tcPr>
    </w:tblStylePr>
  </w:style>
  <w:style w:type="table" w:customStyle="1" w:styleId="a3">
    <w:basedOn w:val="TableNormal"/>
    <w:pPr>
      <w:spacing w:before="40" w:after="40"/>
      <w:jc w:val="center"/>
    </w:pPr>
    <w:rPr>
      <w:smallCaps/>
      <w:color w:val="000000"/>
      <w:sz w:val="20"/>
      <w:szCs w:val="20"/>
    </w:rPr>
    <w:tblPr>
      <w:tblStyleRowBandSize w:val="1"/>
      <w:tblStyleColBandSize w:val="1"/>
      <w:tblCellMar>
        <w:left w:w="115" w:type="dxa"/>
        <w:right w:w="115" w:type="dxa"/>
      </w:tblCellMar>
    </w:tblPr>
    <w:tcPr>
      <w:shd w:val="clear" w:color="auto" w:fill="auto"/>
      <w:vAlign w:val="center"/>
    </w:tcPr>
    <w:tblStylePr w:type="firstRow">
      <w:pPr>
        <w:jc w:val="center"/>
      </w:pPr>
      <w:rPr>
        <w:rFonts w:ascii="Open Sans SemiBold" w:eastAsia="Open Sans SemiBold" w:hAnsi="Open Sans SemiBold" w:cs="Open Sans SemiBold"/>
        <w:b w:val="0"/>
        <w:i w:val="0"/>
        <w:color w:val="CECFD0"/>
        <w:sz w:val="22"/>
        <w:szCs w:val="22"/>
      </w:rPr>
      <w:tblPr/>
      <w:tcPr>
        <w:shd w:val="clear" w:color="auto" w:fill="2976BC"/>
      </w:tcPr>
    </w:tblStylePr>
    <w:tblStylePr w:type="lastRow">
      <w:rPr>
        <w:rFonts w:ascii="Open Sans" w:eastAsia="Open Sans" w:hAnsi="Open Sans" w:cs="Open Sans"/>
        <w:b/>
        <w:color w:val="FFFFFF"/>
      </w:rPr>
      <w:tblPr/>
      <w:tcPr>
        <w:shd w:val="clear" w:color="auto" w:fill="31B672"/>
      </w:tcPr>
    </w:tblStylePr>
    <w:tblStylePr w:type="firstCol">
      <w:rPr>
        <w:rFonts w:ascii="Open Sans" w:eastAsia="Open Sans" w:hAnsi="Open Sans" w:cs="Open Sans"/>
        <w:b/>
      </w:rPr>
    </w:tblStylePr>
    <w:tblStylePr w:type="lastCol">
      <w:rPr>
        <w:rFonts w:ascii="Open Sans" w:eastAsia="Open Sans" w:hAnsi="Open Sans" w:cs="Open Sans"/>
        <w:b/>
      </w:rPr>
    </w:tblStylePr>
    <w:tblStylePr w:type="band1Vert">
      <w:rPr>
        <w:rFonts w:ascii="Open Sans" w:eastAsia="Open Sans" w:hAnsi="Open Sans" w:cs="Open Sans"/>
      </w:rPr>
    </w:tblStylePr>
    <w:tblStylePr w:type="band2Vert">
      <w:rPr>
        <w:rFonts w:ascii="Open Sans" w:eastAsia="Open Sans" w:hAnsi="Open Sans" w:cs="Open Sans"/>
      </w:rPr>
    </w:tblStylePr>
    <w:tblStylePr w:type="band1Horz">
      <w:rPr>
        <w:rFonts w:ascii="Open Sans" w:eastAsia="Open Sans" w:hAnsi="Open Sans" w:cs="Open Sans"/>
        <w:b w:val="0"/>
        <w:i w:val="0"/>
        <w:sz w:val="24"/>
        <w:szCs w:val="24"/>
      </w:rPr>
      <w:tblPr/>
      <w:tcPr>
        <w:tcBorders>
          <w:insideH w:val="nil"/>
        </w:tcBorders>
        <w:shd w:val="clear" w:color="auto" w:fill="F5F5F5"/>
      </w:tcPr>
    </w:tblStylePr>
    <w:tblStylePr w:type="band2Horz">
      <w:rPr>
        <w:rFonts w:ascii="Open Sans" w:eastAsia="Open Sans" w:hAnsi="Open Sans" w:cs="Open Sans"/>
      </w:rPr>
    </w:tblStylePr>
  </w:style>
  <w:style w:type="table" w:customStyle="1" w:styleId="CleanHypro">
    <w:name w:val="CleanHypro"/>
    <w:basedOn w:val="TableGrid1"/>
    <w:uiPriority w:val="99"/>
    <w:rsid w:val="00C759E7"/>
    <w:rPr>
      <w:sz w:val="20"/>
      <w:szCs w:val="20"/>
      <w:lang w:val="en-GR" w:eastAsia="en-US"/>
    </w:rPr>
    <w:tblPr>
      <w:tblStyleRowBandSize w:val="1"/>
    </w:tblPr>
    <w:tblStylePr w:type="firstRow">
      <w:rPr>
        <w:rFonts w:asciiTheme="minorHAnsi" w:hAnsiTheme="minorHAnsi"/>
      </w:rPr>
      <w:tblPr/>
      <w:tcPr>
        <w:tcBorders>
          <w:top w:val="single" w:sz="4" w:space="0" w:color="2976BC" w:themeColor="text2"/>
          <w:left w:val="nil"/>
          <w:bottom w:val="single" w:sz="4" w:space="0" w:color="2976BC" w:themeColor="text2"/>
          <w:right w:val="nil"/>
          <w:insideH w:val="nil"/>
          <w:insideV w:val="nil"/>
          <w:tl2br w:val="nil"/>
          <w:tr2bl w:val="nil"/>
        </w:tcBorders>
        <w:shd w:val="clear" w:color="auto" w:fill="auto"/>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auto"/>
      </w:tcPr>
    </w:tblStylePr>
  </w:style>
  <w:style w:type="table" w:styleId="TableGrid1">
    <w:name w:val="Table Grid 1"/>
    <w:basedOn w:val="TableNormal"/>
    <w:uiPriority w:val="99"/>
    <w:semiHidden/>
    <w:unhideWhenUsed/>
    <w:rsid w:val="00C759E7"/>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CurrentList1">
    <w:name w:val="Current List1"/>
    <w:uiPriority w:val="99"/>
    <w:rsid w:val="00BF1177"/>
    <w:pPr>
      <w:numPr>
        <w:numId w:val="4"/>
      </w:numPr>
    </w:pPr>
  </w:style>
  <w:style w:type="numbering" w:customStyle="1" w:styleId="CurrentList2">
    <w:name w:val="Current List2"/>
    <w:uiPriority w:val="99"/>
    <w:rsid w:val="00BF1177"/>
    <w:pPr>
      <w:numPr>
        <w:numId w:val="5"/>
      </w:numPr>
    </w:pPr>
  </w:style>
  <w:style w:type="paragraph" w:customStyle="1" w:styleId="Style2">
    <w:name w:val="Style2"/>
    <w:basedOn w:val="Heading2"/>
    <w:autoRedefine/>
    <w:qFormat/>
    <w:rsid w:val="005118BC"/>
    <w:pPr>
      <w:numPr>
        <w:ilvl w:val="0"/>
        <w:numId w:val="0"/>
      </w:numPr>
    </w:pPr>
  </w:style>
  <w:style w:type="paragraph" w:styleId="TOC6">
    <w:name w:val="toc 6"/>
    <w:basedOn w:val="Normal"/>
    <w:next w:val="Normal"/>
    <w:autoRedefine/>
    <w:uiPriority w:val="39"/>
    <w:semiHidden/>
    <w:unhideWhenUsed/>
    <w:rsid w:val="00CC1814"/>
    <w:pPr>
      <w:spacing w:after="100"/>
      <w:ind w:left="1100"/>
    </w:pPr>
  </w:style>
  <w:style w:type="paragraph" w:styleId="ListParagraph">
    <w:name w:val="List Paragraph"/>
    <w:basedOn w:val="Normal"/>
    <w:uiPriority w:val="34"/>
    <w:qFormat/>
    <w:rsid w:val="00361D76"/>
    <w:pPr>
      <w:ind w:left="720"/>
      <w:contextualSpacing/>
    </w:pPr>
  </w:style>
  <w:style w:type="table" w:styleId="GridTable5Dark-Accent1">
    <w:name w:val="Grid Table 5 Dark Accent 1"/>
    <w:basedOn w:val="TableNormal"/>
    <w:uiPriority w:val="50"/>
    <w:rsid w:val="00411024"/>
    <w:tblPr>
      <w:tblStyleRowBandSize w:val="1"/>
      <w:tblStyleColBandSize w:val="1"/>
      <w:tblBorders>
        <w:top w:val="single" w:sz="4" w:space="0" w:color="CECFD0" w:themeColor="background1"/>
        <w:left w:val="single" w:sz="4" w:space="0" w:color="CECFD0" w:themeColor="background1"/>
        <w:bottom w:val="single" w:sz="4" w:space="0" w:color="CECFD0" w:themeColor="background1"/>
        <w:right w:val="single" w:sz="4" w:space="0" w:color="CECFD0" w:themeColor="background1"/>
        <w:insideH w:val="single" w:sz="4" w:space="0" w:color="CECFD0" w:themeColor="background1"/>
        <w:insideV w:val="single" w:sz="4" w:space="0" w:color="CECFD0" w:themeColor="background1"/>
      </w:tblBorders>
    </w:tblPr>
    <w:tcPr>
      <w:shd w:val="clear" w:color="auto" w:fill="F5F5F5" w:themeFill="accent1" w:themeFillTint="33"/>
    </w:tcPr>
    <w:tblStylePr w:type="firstRow">
      <w:rPr>
        <w:b/>
        <w:bCs/>
        <w:color w:val="CECFD0" w:themeColor="background1"/>
      </w:rPr>
      <w:tblPr/>
      <w:tcPr>
        <w:tcBorders>
          <w:top w:val="single" w:sz="4" w:space="0" w:color="CECFD0" w:themeColor="background1"/>
          <w:left w:val="single" w:sz="4" w:space="0" w:color="CECFD0" w:themeColor="background1"/>
          <w:right w:val="single" w:sz="4" w:space="0" w:color="CECFD0" w:themeColor="background1"/>
          <w:insideH w:val="nil"/>
          <w:insideV w:val="nil"/>
        </w:tcBorders>
        <w:shd w:val="clear" w:color="auto" w:fill="CECFD0" w:themeFill="accent1"/>
      </w:tcPr>
    </w:tblStylePr>
    <w:tblStylePr w:type="lastRow">
      <w:rPr>
        <w:b/>
        <w:bCs/>
        <w:color w:val="CECFD0" w:themeColor="background1"/>
      </w:rPr>
      <w:tblPr/>
      <w:tcPr>
        <w:tcBorders>
          <w:left w:val="single" w:sz="4" w:space="0" w:color="CECFD0" w:themeColor="background1"/>
          <w:bottom w:val="single" w:sz="4" w:space="0" w:color="CECFD0" w:themeColor="background1"/>
          <w:right w:val="single" w:sz="4" w:space="0" w:color="CECFD0" w:themeColor="background1"/>
          <w:insideH w:val="nil"/>
          <w:insideV w:val="nil"/>
        </w:tcBorders>
        <w:shd w:val="clear" w:color="auto" w:fill="CECFD0" w:themeFill="accent1"/>
      </w:tcPr>
    </w:tblStylePr>
    <w:tblStylePr w:type="firstCol">
      <w:rPr>
        <w:b/>
        <w:bCs/>
        <w:color w:val="CECFD0" w:themeColor="background1"/>
      </w:rPr>
      <w:tblPr/>
      <w:tcPr>
        <w:tcBorders>
          <w:top w:val="single" w:sz="4" w:space="0" w:color="CECFD0" w:themeColor="background1"/>
          <w:left w:val="single" w:sz="4" w:space="0" w:color="CECFD0" w:themeColor="background1"/>
          <w:bottom w:val="single" w:sz="4" w:space="0" w:color="CECFD0" w:themeColor="background1"/>
          <w:insideV w:val="nil"/>
        </w:tcBorders>
        <w:shd w:val="clear" w:color="auto" w:fill="CECFD0" w:themeFill="accent1"/>
      </w:tcPr>
    </w:tblStylePr>
    <w:tblStylePr w:type="lastCol">
      <w:rPr>
        <w:b/>
        <w:bCs/>
        <w:color w:val="CECFD0" w:themeColor="background1"/>
      </w:rPr>
      <w:tblPr/>
      <w:tcPr>
        <w:tcBorders>
          <w:top w:val="single" w:sz="4" w:space="0" w:color="CECFD0" w:themeColor="background1"/>
          <w:bottom w:val="single" w:sz="4" w:space="0" w:color="CECFD0" w:themeColor="background1"/>
          <w:right w:val="single" w:sz="4" w:space="0" w:color="CECFD0" w:themeColor="background1"/>
          <w:insideV w:val="nil"/>
        </w:tcBorders>
        <w:shd w:val="clear" w:color="auto" w:fill="CECFD0" w:themeFill="accent1"/>
      </w:tcPr>
    </w:tblStylePr>
    <w:tblStylePr w:type="band1Vert">
      <w:tblPr/>
      <w:tcPr>
        <w:shd w:val="clear" w:color="auto" w:fill="EBEBEC" w:themeFill="accent1" w:themeFillTint="66"/>
      </w:tcPr>
    </w:tblStylePr>
    <w:tblStylePr w:type="band1Horz">
      <w:tblPr/>
      <w:tcPr>
        <w:shd w:val="clear" w:color="auto" w:fill="EBEBEC" w:themeFill="accent1" w:themeFillTint="66"/>
      </w:tcPr>
    </w:tblStylePr>
  </w:style>
  <w:style w:type="paragraph" w:customStyle="1" w:styleId="TableParagraph">
    <w:name w:val="Table Paragraph"/>
    <w:basedOn w:val="Normal"/>
    <w:uiPriority w:val="1"/>
    <w:rsid w:val="003B7EC9"/>
    <w:pPr>
      <w:widowControl w:val="0"/>
      <w:autoSpaceDE w:val="0"/>
      <w:autoSpaceDN w:val="0"/>
      <w:jc w:val="both"/>
    </w:pPr>
    <w:rPr>
      <w:rFonts w:ascii="Calibri" w:eastAsia="Calibri" w:hAnsi="Calibri" w:cs="Calibri"/>
      <w:color w:val="auto"/>
      <w:szCs w:val="24"/>
      <w:lang w:val="en-GB"/>
    </w:rPr>
  </w:style>
  <w:style w:type="table" w:customStyle="1" w:styleId="TEMPLATEtable">
    <w:name w:val="TEMPLATE table"/>
    <w:basedOn w:val="TableNormal"/>
    <w:uiPriority w:val="99"/>
    <w:rsid w:val="003B7EC9"/>
    <w:rPr>
      <w:rFonts w:asciiTheme="minorHAnsi" w:eastAsiaTheme="minorHAnsi" w:hAnsiTheme="minorHAnsi" w:cstheme="minorBidi"/>
      <w:color w:val="auto"/>
      <w:lang w:val="en-GB"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vAlign w:val="center"/>
    </w:tcPr>
    <w:tblStylePr w:type="firstRow">
      <w:rPr>
        <w:b/>
      </w:rPr>
      <w:tblPr/>
      <w:tcPr>
        <w:shd w:val="clear" w:color="auto" w:fill="686A6E" w:themeFill="text1"/>
      </w:tcPr>
    </w:tblStylePr>
    <w:tblStylePr w:type="firstCol">
      <w:rPr>
        <w:b/>
      </w:rPr>
    </w:tblStylePr>
  </w:style>
  <w:style w:type="numbering" w:customStyle="1" w:styleId="CurrentList3">
    <w:name w:val="Current List3"/>
    <w:uiPriority w:val="99"/>
    <w:rsid w:val="003153A3"/>
    <w:pPr>
      <w:numPr>
        <w:numId w:val="7"/>
      </w:numPr>
    </w:pPr>
  </w:style>
  <w:style w:type="numbering" w:customStyle="1" w:styleId="CurrentList4">
    <w:name w:val="Current List4"/>
    <w:uiPriority w:val="99"/>
    <w:rsid w:val="007A6915"/>
    <w:pPr>
      <w:numPr>
        <w:numId w:val="8"/>
      </w:numPr>
    </w:pPr>
  </w:style>
  <w:style w:type="numbering" w:customStyle="1" w:styleId="CurrentList5">
    <w:name w:val="Current List5"/>
    <w:uiPriority w:val="99"/>
    <w:rsid w:val="007A6915"/>
    <w:pPr>
      <w:numPr>
        <w:numId w:val="9"/>
      </w:numPr>
    </w:pPr>
  </w:style>
  <w:style w:type="numbering" w:customStyle="1" w:styleId="CurrentList6">
    <w:name w:val="Current List6"/>
    <w:uiPriority w:val="99"/>
    <w:rsid w:val="007A6915"/>
    <w:pPr>
      <w:numPr>
        <w:numId w:val="10"/>
      </w:numPr>
    </w:pPr>
  </w:style>
  <w:style w:type="numbering" w:customStyle="1" w:styleId="CurrentList7">
    <w:name w:val="Current List7"/>
    <w:uiPriority w:val="99"/>
    <w:rsid w:val="007A6915"/>
    <w:pPr>
      <w:numPr>
        <w:numId w:val="11"/>
      </w:numPr>
    </w:pPr>
  </w:style>
  <w:style w:type="numbering" w:customStyle="1" w:styleId="CurrentList8">
    <w:name w:val="Current List8"/>
    <w:uiPriority w:val="99"/>
    <w:rsid w:val="007A6915"/>
    <w:pPr>
      <w:numPr>
        <w:numId w:val="12"/>
      </w:numPr>
    </w:pPr>
  </w:style>
  <w:style w:type="numbering" w:customStyle="1" w:styleId="CurrentList9">
    <w:name w:val="Current List9"/>
    <w:uiPriority w:val="99"/>
    <w:rsid w:val="007A6915"/>
    <w:pPr>
      <w:numPr>
        <w:numId w:val="13"/>
      </w:numPr>
    </w:pPr>
  </w:style>
  <w:style w:type="numbering" w:customStyle="1" w:styleId="CurrentList10">
    <w:name w:val="Current List10"/>
    <w:uiPriority w:val="99"/>
    <w:rsid w:val="007A6915"/>
    <w:pPr>
      <w:numPr>
        <w:numId w:val="14"/>
      </w:numPr>
    </w:pPr>
  </w:style>
  <w:style w:type="numbering" w:styleId="111111">
    <w:name w:val="Outline List 2"/>
    <w:basedOn w:val="NoList"/>
    <w:uiPriority w:val="99"/>
    <w:semiHidden/>
    <w:unhideWhenUsed/>
    <w:rsid w:val="007A6915"/>
    <w:pPr>
      <w:numPr>
        <w:numId w:val="15"/>
      </w:numPr>
    </w:pPr>
  </w:style>
  <w:style w:type="numbering" w:customStyle="1" w:styleId="CurrentList11">
    <w:name w:val="Current List11"/>
    <w:uiPriority w:val="99"/>
    <w:rsid w:val="007A6915"/>
    <w:pPr>
      <w:numPr>
        <w:numId w:val="16"/>
      </w:numPr>
    </w:pPr>
  </w:style>
  <w:style w:type="numbering" w:customStyle="1" w:styleId="CurrentList12">
    <w:name w:val="Current List12"/>
    <w:uiPriority w:val="99"/>
    <w:rsid w:val="007A6915"/>
    <w:pPr>
      <w:numPr>
        <w:numId w:val="17"/>
      </w:numPr>
    </w:pPr>
  </w:style>
  <w:style w:type="numbering" w:customStyle="1" w:styleId="CurrentList13">
    <w:name w:val="Current List13"/>
    <w:uiPriority w:val="99"/>
    <w:rsid w:val="00893100"/>
    <w:pPr>
      <w:numPr>
        <w:numId w:val="6"/>
      </w:numPr>
    </w:pPr>
  </w:style>
  <w:style w:type="numbering" w:customStyle="1" w:styleId="CurrentList14">
    <w:name w:val="Current List14"/>
    <w:uiPriority w:val="99"/>
    <w:rsid w:val="00893100"/>
    <w:pPr>
      <w:numPr>
        <w:numId w:val="18"/>
      </w:numPr>
    </w:pPr>
  </w:style>
  <w:style w:type="numbering" w:customStyle="1" w:styleId="CurrentList15">
    <w:name w:val="Current List15"/>
    <w:uiPriority w:val="99"/>
    <w:rsid w:val="00893100"/>
    <w:pPr>
      <w:numPr>
        <w:numId w:val="19"/>
      </w:numPr>
    </w:pPr>
  </w:style>
  <w:style w:type="numbering" w:customStyle="1" w:styleId="CurrentList16">
    <w:name w:val="Current List16"/>
    <w:uiPriority w:val="99"/>
    <w:rsid w:val="00893100"/>
    <w:pPr>
      <w:numPr>
        <w:numId w:val="20"/>
      </w:numPr>
    </w:pPr>
  </w:style>
  <w:style w:type="numbering" w:customStyle="1" w:styleId="CurrentList17">
    <w:name w:val="Current List17"/>
    <w:uiPriority w:val="99"/>
    <w:rsid w:val="00893100"/>
    <w:pPr>
      <w:numPr>
        <w:numId w:val="21"/>
      </w:numPr>
    </w:pPr>
  </w:style>
  <w:style w:type="numbering" w:customStyle="1" w:styleId="CurrentList18">
    <w:name w:val="Current List18"/>
    <w:uiPriority w:val="99"/>
    <w:rsid w:val="0092752F"/>
    <w:pPr>
      <w:numPr>
        <w:numId w:val="22"/>
      </w:numPr>
    </w:pPr>
  </w:style>
  <w:style w:type="numbering" w:customStyle="1" w:styleId="CurrentList19">
    <w:name w:val="Current List19"/>
    <w:uiPriority w:val="99"/>
    <w:rsid w:val="0092752F"/>
    <w:pPr>
      <w:numPr>
        <w:numId w:val="23"/>
      </w:numPr>
    </w:pPr>
  </w:style>
  <w:style w:type="numbering" w:customStyle="1" w:styleId="CurrentList20">
    <w:name w:val="Current List20"/>
    <w:uiPriority w:val="99"/>
    <w:rsid w:val="0092752F"/>
    <w:pPr>
      <w:numPr>
        <w:numId w:val="24"/>
      </w:numPr>
    </w:pPr>
  </w:style>
  <w:style w:type="numbering" w:customStyle="1" w:styleId="CurrentList21">
    <w:name w:val="Current List21"/>
    <w:uiPriority w:val="99"/>
    <w:rsid w:val="0092752F"/>
    <w:pPr>
      <w:numPr>
        <w:numId w:val="25"/>
      </w:numPr>
    </w:pPr>
  </w:style>
  <w:style w:type="numbering" w:customStyle="1" w:styleId="CurrentList22">
    <w:name w:val="Current List22"/>
    <w:uiPriority w:val="99"/>
    <w:rsid w:val="0092752F"/>
    <w:pPr>
      <w:numPr>
        <w:numId w:val="26"/>
      </w:numPr>
    </w:pPr>
  </w:style>
  <w:style w:type="numbering" w:customStyle="1" w:styleId="CurrentList23">
    <w:name w:val="Current List23"/>
    <w:uiPriority w:val="99"/>
    <w:rsid w:val="0092752F"/>
    <w:pPr>
      <w:numPr>
        <w:numId w:val="27"/>
      </w:numPr>
    </w:pPr>
  </w:style>
  <w:style w:type="numbering" w:customStyle="1" w:styleId="CurrentList24">
    <w:name w:val="Current List24"/>
    <w:uiPriority w:val="99"/>
    <w:rsid w:val="00F75A3C"/>
    <w:pPr>
      <w:numPr>
        <w:numId w:val="28"/>
      </w:numPr>
    </w:pPr>
  </w:style>
  <w:style w:type="numbering" w:customStyle="1" w:styleId="CurrentList25">
    <w:name w:val="Current List25"/>
    <w:uiPriority w:val="99"/>
    <w:rsid w:val="00743226"/>
    <w:pPr>
      <w:numPr>
        <w:numId w:val="29"/>
      </w:numPr>
    </w:pPr>
  </w:style>
  <w:style w:type="numbering" w:customStyle="1" w:styleId="CurrentList26">
    <w:name w:val="Current List26"/>
    <w:uiPriority w:val="99"/>
    <w:rsid w:val="00710833"/>
    <w:pPr>
      <w:numPr>
        <w:numId w:val="30"/>
      </w:numPr>
    </w:pPr>
  </w:style>
  <w:style w:type="numbering" w:customStyle="1" w:styleId="CurrentList27">
    <w:name w:val="Current List27"/>
    <w:uiPriority w:val="99"/>
    <w:rsid w:val="00710833"/>
    <w:pPr>
      <w:numPr>
        <w:numId w:val="32"/>
      </w:numPr>
    </w:pPr>
  </w:style>
  <w:style w:type="numbering" w:customStyle="1" w:styleId="CurrentList28">
    <w:name w:val="Current List28"/>
    <w:uiPriority w:val="99"/>
    <w:rsid w:val="00710833"/>
    <w:pPr>
      <w:numPr>
        <w:numId w:val="33"/>
      </w:numPr>
    </w:pPr>
  </w:style>
  <w:style w:type="numbering" w:customStyle="1" w:styleId="CurrentList29">
    <w:name w:val="Current List29"/>
    <w:uiPriority w:val="99"/>
    <w:rsid w:val="00710833"/>
    <w:pPr>
      <w:numPr>
        <w:numId w:val="35"/>
      </w:numPr>
    </w:pPr>
  </w:style>
  <w:style w:type="numbering" w:customStyle="1" w:styleId="CurrentList30">
    <w:name w:val="Current List30"/>
    <w:uiPriority w:val="99"/>
    <w:rsid w:val="00710833"/>
    <w:pPr>
      <w:numPr>
        <w:numId w:val="36"/>
      </w:numPr>
    </w:pPr>
  </w:style>
  <w:style w:type="numbering" w:customStyle="1" w:styleId="CurrentList31">
    <w:name w:val="Current List31"/>
    <w:uiPriority w:val="99"/>
    <w:rsid w:val="00710833"/>
    <w:pPr>
      <w:numPr>
        <w:numId w:val="37"/>
      </w:numPr>
    </w:pPr>
  </w:style>
  <w:style w:type="paragraph" w:styleId="TOC2">
    <w:name w:val="toc 2"/>
    <w:basedOn w:val="Normal"/>
    <w:next w:val="Normal"/>
    <w:autoRedefine/>
    <w:uiPriority w:val="39"/>
    <w:unhideWhenUsed/>
    <w:rsid w:val="00B06BCD"/>
    <w:pPr>
      <w:spacing w:after="100"/>
      <w:ind w:left="720" w:hanging="720"/>
    </w:pPr>
  </w:style>
  <w:style w:type="paragraph" w:styleId="BalloonText">
    <w:name w:val="Balloon Text"/>
    <w:basedOn w:val="Normal"/>
    <w:link w:val="BalloonTextChar"/>
    <w:uiPriority w:val="99"/>
    <w:semiHidden/>
    <w:unhideWhenUsed/>
    <w:rsid w:val="00A05A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AAB"/>
    <w:rPr>
      <w:rFonts w:ascii="Segoe UI" w:hAnsi="Segoe UI" w:cs="Segoe UI"/>
      <w:color w:val="4D4F52" w:themeColor="text1" w:themeShade="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1.png"/><Relationship Id="rId23"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CLEANHYPRO">
      <a:dk1>
        <a:srgbClr val="686A6E"/>
      </a:dk1>
      <a:lt1>
        <a:srgbClr val="CECFD0"/>
      </a:lt1>
      <a:dk2>
        <a:srgbClr val="2976BC"/>
      </a:dk2>
      <a:lt2>
        <a:srgbClr val="31B672"/>
      </a:lt2>
      <a:accent1>
        <a:srgbClr val="CECFD0"/>
      </a:accent1>
      <a:accent2>
        <a:srgbClr val="CECFD0"/>
      </a:accent2>
      <a:accent3>
        <a:srgbClr val="CECFD0"/>
      </a:accent3>
      <a:accent4>
        <a:srgbClr val="CECFD0"/>
      </a:accent4>
      <a:accent5>
        <a:srgbClr val="CECFD0"/>
      </a:accent5>
      <a:accent6>
        <a:srgbClr val="FFFFFF"/>
      </a:accent6>
      <a:hlink>
        <a:srgbClr val="31B672"/>
      </a:hlink>
      <a:folHlink>
        <a:srgbClr val="2976BC"/>
      </a:folHlink>
    </a:clrScheme>
    <a:fontScheme name="CLEANHYPRO">
      <a:majorFont>
        <a:latin typeface="DM Sans"/>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ns0:metadata xmlns:ns0="urn:hedge-expertai:document-meta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ns0:datastoreItem xmlns:ns0="http://schemas.openxmlformats.org/officeDocument/2006/customXml" ns0:itemID="{00000000-0000-0000-0000-000000000000}">
  <ns0:schemaRefs>
    <ns0:schemaRef ns0:uri="urn:hedge-expertai:document-metadata"/>
  </ns0:schemaRefs>
</ns0:datastoreItem>
</file>

<file path=customXml/itemProps2.xml><?xml version="1.0" encoding="utf-8"?>
<ds:datastoreItem xmlns:ds="http://schemas.openxmlformats.org/officeDocument/2006/customXml" ds:itemID="{3F1D2607-418C-4950-BFC1-B764AB74FB7D}">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Application>Microsoft Office Word</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SharedDoc>false</ns0:SharedDoc>
  <ns0:HyperlinksChanged>false</ns0:HyperlinksChanged>
  <ns0:AppVersion>16.0000</ns0:AppVersion>
</ns0:Properties>
</file>

<file path=docProps/core.xml><?xml version="1.0" encoding="utf-8"?>
<ns0:coreProperties xmlns:dc="http://purl.org/dc/elements/1.1/" xmlns:ns0="http://schemas.openxmlformats.org/package/2006/metadata/core-properties">
  <dc:title>D2.1 — System Architecture Specification</dc:title>
  <dc:subject>HEDGE-ExpertAI target architecture for HEDGE-IoT App Store Topic 15</dc:subject>
  <ns0:keywords>HEDGE-IoT; HEDGE-ExpertAI; D2.1; system architecture; App Store; Topic 15</ns0:keywords>
  <dc:description>Prepared in the official HEDGE-IoT OC1 deliverable template for consortium review.</dc:description>
</ns0:coreProperties>
</file>