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Docker Deployment Report</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Document Docker Compose deployment, configuration, startup, verification, health checks, and operational troubleshooting.</w:t>
            </w:r>
          </w:p>
        </w:tc>
      </w:tr>
      <w:tr>
        <w:tc>
          <w:tcPr>
            <w:tcW w:type="dxa" w:w="5328"/>
            <w:vAlign w:val="top"/>
            <w:shd w:fill="E2E8F0"/>
          </w:tcPr>
          <w:p>
            <w:r/>
            <w:r>
              <w:rPr>
                <w:b/>
                <w:sz w:val="17"/>
              </w:rPr>
              <w:t>Intended audience</w:t>
            </w:r>
          </w:p>
        </w:tc>
        <w:tc>
          <w:tcPr>
            <w:tcW w:type="dxa" w:w="5328"/>
            <w:vAlign w:val="top"/>
          </w:tcPr>
          <w:p>
            <w:r/>
            <w:r>
              <w:rPr>
                <w:b w:val="0"/>
                <w:sz w:val="17"/>
              </w:rPr>
              <w:t>Operators, deployment engineers, technical reviewers, and external partner infrastructure teams.</w:t>
            </w:r>
          </w:p>
        </w:tc>
      </w:tr>
    </w:tbl>
    <w:p/>
    <w:p>
      <w:pPr>
        <w:jc w:val="center"/>
      </w:pPr>
      <w:r>
        <w:rPr>
          <w:b/>
        </w:rPr>
        <w:t xml:space="preserve">Source basis: </w:t>
      </w:r>
      <w:r>
        <w:t>Deployment claims are based on compose files, Dockerfiles, setup and verification scripts, and compose validation.</w:t>
      </w:r>
    </w:p>
    <w:p>
      <w:r>
        <w:br w:type="page"/>
      </w:r>
    </w:p>
    <w:p>
      <w:pPr>
        <w:pStyle w:val="Heading1"/>
      </w:pPr>
      <w:r>
        <w:t>Table of Contents</w:t>
      </w:r>
    </w:p>
    <w:p>
      <w:r>
        <w:t>1. Deployment Overview</w:t>
      </w:r>
    </w:p>
    <w:p>
      <w:r>
        <w:t>2. Deployment Prerequisites</w:t>
      </w:r>
    </w:p>
    <w:p>
      <w:r>
        <w:t>3. Compose Service Topology</w:t>
      </w:r>
    </w:p>
    <w:p>
      <w:r>
        <w:t>4. Docker Compose Services</w:t>
      </w:r>
    </w:p>
    <w:p>
      <w:r>
        <w:t>5. Networks, Volumes, And Ports</w:t>
      </w:r>
    </w:p>
    <w:p>
      <w:r>
        <w:t>6. Environment Variables And Configuration</w:t>
      </w:r>
    </w:p>
    <w:p>
      <w:r>
        <w:t>7. Environment Variable Groups</w:t>
      </w:r>
    </w:p>
    <w:p>
      <w:r>
        <w:t>8. Step-By-Step Deployment</w:t>
      </w:r>
    </w:p>
    <w:p>
      <w:r>
        <w:t>9. Startup, Shutdown, And Clean Reinstall Procedures</w:t>
      </w:r>
    </w:p>
    <w:p>
      <w:r>
        <w:t>10. Verification Scripts And Health Checks</w:t>
      </w:r>
    </w:p>
    <w:p>
      <w:r>
        <w:t>11. Healthcheck Details</w:t>
      </w:r>
    </w:p>
    <w:p>
      <w:r>
        <w:t>12. Backup And Recovery</w:t>
      </w:r>
    </w:p>
    <w:p>
      <w:r>
        <w:t>13. Upgrade And Redeployment</w:t>
      </w:r>
    </w:p>
    <w:p>
      <w:r>
        <w:t>14. Troubleshooting Commands</w:t>
      </w:r>
    </w:p>
    <w:p>
      <w:r>
        <w:t>15. Production Hardening Checklist</w:t>
      </w:r>
    </w:p>
    <w:p>
      <w:r>
        <w:t>16. Troubleshooting Scenarios</w:t>
      </w:r>
    </w:p>
    <w:p>
      <w:r>
        <w:t>17. Limitations And Assumptions</w:t>
      </w:r>
    </w:p>
    <w:p>
      <w:r>
        <w:t>18. Source References</w:t>
      </w:r>
    </w:p>
    <w:p>
      <w:r>
        <w:br w:type="page"/>
      </w:r>
    </w:p>
    <w:p>
      <w:pPr>
        <w:pStyle w:val="Heading1"/>
      </w:pPr>
      <w:r>
        <w:t>Deployment Overview</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deployment-startup-flow.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Deployment preparation, setup, validation, build, start, and verification flow.</w:t>
      </w:r>
    </w:p>
    <w:p>
      <w:r>
        <w:t>The deployment target described by the repository is a Linux host running Docker Engine and Docker Compose v2. The GitHub production base stack is defined by docker-compose.yml. The separate OVOS-EnMS repository provides its own Compose file and should be deployed/validated separately when the assistant runtime is in scope.</w:t>
      </w:r>
    </w:p>
    <w:p>
      <w:r>
        <w:t>The setup helper is the intended guided path. It creates .env from .env.example when needed, generates first-run secrets for placeholders, validates Docker Compose, builds images, and starts the stack. It also adjusts OVOS_BRIDGE_HOST when an optional OVOS compose file is present.</w:t>
      </w:r>
    </w:p>
    <w:p>
      <w:pPr>
        <w:pStyle w:val="Heading1"/>
      </w:pPr>
      <w:r>
        <w:t>Deployment Prerequisites</w:t>
      </w:r>
    </w:p>
    <w:p>
      <w:r>
        <w:t>The repository does not install host Docker itself. Operators should prepare the host and confirm prerequisite tooling before running setup or Compose commands.</w:t>
      </w:r>
    </w:p>
    <w:p>
      <w:r>
        <w:t>The prerequisite table defines the host and tooling conditions needed before installation or startup.</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Prerequisite</w:t>
            </w:r>
          </w:p>
        </w:tc>
        <w:tc>
          <w:tcPr>
            <w:tcW w:type="dxa" w:w="5328"/>
            <w:vAlign w:val="top"/>
            <w:shd w:fill="D9EAF7"/>
          </w:tcPr>
          <w:p>
            <w:r/>
            <w:r>
              <w:rPr>
                <w:b/>
                <w:sz w:val="17"/>
              </w:rPr>
              <w:t>Source basis / action</w:t>
            </w:r>
          </w:p>
        </w:tc>
      </w:tr>
      <w:tr>
        <w:trPr>
          <w:cantSplit/>
        </w:trPr>
        <w:tc>
          <w:tcPr>
            <w:tcW w:type="dxa" w:w="5328"/>
            <w:vAlign w:val="top"/>
          </w:tcPr>
          <w:p>
            <w:r/>
            <w:r>
              <w:rPr>
                <w:b w:val="0"/>
                <w:sz w:val="17"/>
              </w:rPr>
              <w:t>Linux host or compatible container host</w:t>
            </w:r>
          </w:p>
        </w:tc>
        <w:tc>
          <w:tcPr>
            <w:tcW w:type="dxa" w:w="5328"/>
            <w:vAlign w:val="top"/>
          </w:tcPr>
          <w:p>
            <w:r/>
            <w:r>
              <w:rPr>
                <w:b w:val="0"/>
                <w:sz w:val="17"/>
              </w:rPr>
              <w:t>Deployment scripts assume a shell environment with Docker available.</w:t>
            </w:r>
          </w:p>
        </w:tc>
      </w:tr>
      <w:tr>
        <w:trPr>
          <w:cantSplit/>
        </w:trPr>
        <w:tc>
          <w:tcPr>
            <w:tcW w:type="dxa" w:w="5328"/>
            <w:vAlign w:val="top"/>
          </w:tcPr>
          <w:p>
            <w:r/>
            <w:r>
              <w:rPr>
                <w:b w:val="0"/>
                <w:sz w:val="17"/>
              </w:rPr>
              <w:t>Docker Engine and Docker Compose v2</w:t>
            </w:r>
          </w:p>
        </w:tc>
        <w:tc>
          <w:tcPr>
            <w:tcW w:type="dxa" w:w="5328"/>
            <w:vAlign w:val="top"/>
          </w:tcPr>
          <w:p>
            <w:r/>
            <w:r>
              <w:rPr>
                <w:b w:val="0"/>
                <w:sz w:val="17"/>
              </w:rPr>
              <w:t>setup.sh requires docker and verifies docker compose version.</w:t>
            </w:r>
          </w:p>
        </w:tc>
      </w:tr>
      <w:tr>
        <w:trPr>
          <w:cantSplit/>
        </w:trPr>
        <w:tc>
          <w:tcPr>
            <w:tcW w:type="dxa" w:w="5328"/>
            <w:vAlign w:val="top"/>
          </w:tcPr>
          <w:p>
            <w:r/>
            <w:r>
              <w:rPr>
                <w:b w:val="0"/>
                <w:sz w:val="17"/>
              </w:rPr>
              <w:t>Outbound image/build access</w:t>
            </w:r>
          </w:p>
        </w:tc>
        <w:tc>
          <w:tcPr>
            <w:tcW w:type="dxa" w:w="5328"/>
            <w:vAlign w:val="top"/>
          </w:tcPr>
          <w:p>
            <w:r/>
            <w:r>
              <w:rPr>
                <w:b w:val="0"/>
                <w:sz w:val="17"/>
              </w:rPr>
              <w:t>Compose builds local images and pulls base images such as nginx, TimescaleDB, Redis, and Grafana.</w:t>
            </w:r>
          </w:p>
        </w:tc>
      </w:tr>
      <w:tr>
        <w:trPr>
          <w:cantSplit/>
        </w:trPr>
        <w:tc>
          <w:tcPr>
            <w:tcW w:type="dxa" w:w="5328"/>
            <w:vAlign w:val="top"/>
          </w:tcPr>
          <w:p>
            <w:r/>
            <w:r>
              <w:rPr>
                <w:b w:val="0"/>
                <w:sz w:val="17"/>
              </w:rPr>
              <w:t>curl and grep for verification</w:t>
            </w:r>
          </w:p>
        </w:tc>
        <w:tc>
          <w:tcPr>
            <w:tcW w:type="dxa" w:w="5328"/>
            <w:vAlign w:val="top"/>
          </w:tcPr>
          <w:p>
            <w:r/>
            <w:r>
              <w:rPr>
                <w:b w:val="0"/>
                <w:sz w:val="17"/>
              </w:rPr>
              <w:t>verify.sh requires curl and grep.</w:t>
            </w:r>
          </w:p>
        </w:tc>
      </w:tr>
      <w:tr>
        <w:trPr>
          <w:cantSplit/>
        </w:trPr>
        <w:tc>
          <w:tcPr>
            <w:tcW w:type="dxa" w:w="5328"/>
            <w:vAlign w:val="top"/>
          </w:tcPr>
          <w:p>
            <w:r/>
            <w:r>
              <w:rPr>
                <w:b w:val="0"/>
                <w:sz w:val="17"/>
              </w:rPr>
              <w:t>Optional openssl or /dev/urandom</w:t>
            </w:r>
          </w:p>
        </w:tc>
        <w:tc>
          <w:tcPr>
            <w:tcW w:type="dxa" w:w="5328"/>
            <w:vAlign w:val="top"/>
          </w:tcPr>
          <w:p>
            <w:r/>
            <w:r>
              <w:rPr>
                <w:b w:val="0"/>
                <w:sz w:val="17"/>
              </w:rPr>
              <w:t>setup.sh uses openssl rand when available for generated secrets, otherwise /dev/urandom.</w:t>
            </w:r>
          </w:p>
        </w:tc>
      </w:tr>
      <w:tr>
        <w:trPr>
          <w:cantSplit/>
        </w:trPr>
        <w:tc>
          <w:tcPr>
            <w:tcW w:type="dxa" w:w="5328"/>
            <w:vAlign w:val="top"/>
          </w:tcPr>
          <w:p>
            <w:pPr>
              <w:keepNext/>
            </w:pPr>
            <w:r/>
            <w:r>
              <w:rPr>
                <w:b w:val="0"/>
                <w:sz w:val="17"/>
              </w:rPr>
              <w:t>Optional python3-bcrypt or Docker</w:t>
            </w:r>
          </w:p>
        </w:tc>
        <w:tc>
          <w:tcPr>
            <w:tcW w:type="dxa" w:w="5328"/>
            <w:vAlign w:val="top"/>
          </w:tcPr>
          <w:p>
            <w:pPr>
              <w:keepNext/>
            </w:pPr>
            <w:r/>
            <w:r>
              <w:rPr>
                <w:b w:val="0"/>
                <w:sz w:val="17"/>
              </w:rPr>
              <w:t>setup.sh needs one path to generate the Node-RED bcrypt password hash.</w:t>
            </w:r>
          </w:p>
        </w:tc>
      </w:tr>
      <w:tr>
        <w:trPr>
          <w:cantSplit/>
        </w:trPr>
        <w:tc>
          <w:tcPr>
            <w:tcW w:type="dxa" w:w="5328"/>
            <w:vAlign w:val="top"/>
          </w:tcPr>
          <w:p>
            <w:r/>
            <w:r>
              <w:rPr>
                <w:b w:val="0"/>
                <w:sz w:val="17"/>
              </w:rPr>
              <w:t>Ports available</w:t>
            </w:r>
          </w:p>
        </w:tc>
        <w:tc>
          <w:tcPr>
            <w:tcW w:type="dxa" w:w="5328"/>
            <w:vAlign w:val="top"/>
          </w:tcPr>
          <w:p>
            <w:r/>
            <w:r>
              <w:rPr>
                <w:b w:val="0"/>
                <w:sz w:val="17"/>
              </w:rPr>
              <w:t>Default external ports include 8080, 8443, 5433, 1883, 9001, 3001, 1881, 8001, 8003, 5500, 5005, 5006, 5055, 6380, 5000, and 8181.</w:t>
            </w:r>
          </w:p>
        </w:tc>
      </w:tr>
    </w:tbl>
    <w:p/>
    <w:p>
      <w:r>
        <w:t>Meeting these prerequisites reduces avoidable installation failures and gives operators the minimum environment needed for a clean first run.</w:t>
      </w:r>
    </w:p>
    <w:p>
      <w:pPr>
        <w:pStyle w:val="Heading1"/>
      </w:pPr>
      <w:r>
        <w:t>Compose Service Topology</w:t>
      </w:r>
    </w:p>
    <w:p>
      <w:r>
        <w:drawing>
          <wp:inline xmlns:a="http://schemas.openxmlformats.org/drawingml/2006/main" xmlns:pic="http://schemas.openxmlformats.org/drawingml/2006/picture">
            <wp:extent cx="6583680" cy="3950208"/>
            <wp:docPr id="2" name="Picture 2"/>
            <wp:cNvGraphicFramePr>
              <a:graphicFrameLocks noChangeAspect="1"/>
            </wp:cNvGraphicFramePr>
            <a:graphic>
              <a:graphicData uri="http://schemas.openxmlformats.org/drawingml/2006/picture">
                <pic:pic>
                  <pic:nvPicPr>
                    <pic:cNvPr id="0" name="docker-service-topology.png"/>
                    <pic:cNvPicPr/>
                  </pic:nvPicPr>
                  <pic:blipFill>
                    <a:blip r:embed="rId10"/>
                    <a:stretch>
                      <a:fillRect/>
                    </a:stretch>
                  </pic:blipFill>
                  <pic:spPr>
                    <a:xfrm>
                      <a:off x="0" y="0"/>
                      <a:ext cx="6583680" cy="3950208"/>
                    </a:xfrm>
                    <a:prstGeom prst="rect"/>
                  </pic:spPr>
                </pic:pic>
              </a:graphicData>
            </a:graphic>
          </wp:inline>
        </w:drawing>
      </w:r>
    </w:p>
    <w:p>
      <w:pPr>
        <w:jc w:val="center"/>
      </w:pPr>
      <w:r>
        <w:rPr>
          <w:i/>
          <w:sz w:val="17"/>
        </w:rPr>
        <w:t>Figure 2. Docker Compose service topology and optional OVOS attachment.</w:t>
      </w:r>
    </w:p>
    <w:p>
      <w:r>
        <w:t>The base deployment uses one Docker bridge network for HumanEnerDIA services. Nginx is the browser/API gateway; analytics, auth-service, chatbot/Rasa, simulator, Node-RED, Grafana, PostgreSQL/TimescaleDB, MQTT, and Redis communicate on the internal network. OVOS-EnMS remains a separate assistant runtime in the tracked production source and connects through the HumanEnerDIA-compatible API.</w:t>
      </w:r>
    </w:p>
    <w:p>
      <w:pPr>
        <w:pStyle w:val="Heading1"/>
      </w:pPr>
      <w:r>
        <w:t>Docker Compose Services</w:t>
      </w:r>
    </w:p>
    <w:p>
      <w:r>
        <w:t>The service table is the operator's runtime inventory for base HumanEnerDIA deployment.</w:t>
      </w:r>
    </w:p>
    <w:tbl>
      <w:tblPr>
        <w:tblStyle w:val="TableGrid"/>
        <w:tblW w:type="auto" w:w="0"/>
        <w:jc w:val="center"/>
        <w:tblLook w:firstColumn="1" w:firstRow="1" w:lastColumn="0" w:lastRow="0" w:noHBand="0" w:noVBand="1" w:val="04A0"/>
      </w:tblPr>
      <w:tblGrid>
        <w:gridCol w:w="2131"/>
        <w:gridCol w:w="2131"/>
        <w:gridCol w:w="2131"/>
        <w:gridCol w:w="2131"/>
        <w:gridCol w:w="2131"/>
      </w:tblGrid>
      <w:tr>
        <w:trPr>
          <w:tblHeader w:val="true"/>
          <w:cantSplit/>
        </w:trPr>
        <w:tc>
          <w:tcPr>
            <w:tcW w:type="dxa" w:w="2131"/>
            <w:vAlign w:val="top"/>
            <w:shd w:fill="D9EAF7"/>
          </w:tcPr>
          <w:p>
            <w:r/>
            <w:r>
              <w:rPr>
                <w:b/>
                <w:sz w:val="17"/>
              </w:rPr>
              <w:t>Service</w:t>
            </w:r>
          </w:p>
        </w:tc>
        <w:tc>
          <w:tcPr>
            <w:tcW w:type="dxa" w:w="2131"/>
            <w:vAlign w:val="top"/>
            <w:shd w:fill="D9EAF7"/>
          </w:tcPr>
          <w:p>
            <w:r/>
            <w:r>
              <w:rPr>
                <w:b/>
                <w:sz w:val="17"/>
              </w:rPr>
              <w:t>Image or build context</w:t>
            </w:r>
          </w:p>
        </w:tc>
        <w:tc>
          <w:tcPr>
            <w:tcW w:type="dxa" w:w="2131"/>
            <w:vAlign w:val="top"/>
            <w:shd w:fill="D9EAF7"/>
          </w:tcPr>
          <w:p>
            <w:r/>
            <w:r>
              <w:rPr>
                <w:b/>
                <w:sz w:val="17"/>
              </w:rPr>
              <w:t>External port/path</w:t>
            </w:r>
          </w:p>
        </w:tc>
        <w:tc>
          <w:tcPr>
            <w:tcW w:type="dxa" w:w="2131"/>
            <w:vAlign w:val="top"/>
            <w:shd w:fill="D9EAF7"/>
          </w:tcPr>
          <w:p>
            <w:r/>
            <w:r>
              <w:rPr>
                <w:b/>
                <w:sz w:val="17"/>
              </w:rPr>
              <w:t>Responsibility</w:t>
            </w:r>
          </w:p>
        </w:tc>
        <w:tc>
          <w:tcPr>
            <w:tcW w:type="dxa" w:w="2131"/>
            <w:vAlign w:val="top"/>
            <w:shd w:fill="D9EAF7"/>
          </w:tcPr>
          <w:p>
            <w:r/>
            <w:r>
              <w:rPr>
                <w:b/>
                <w:sz w:val="17"/>
              </w:rPr>
              <w:t>Healthcheck</w:t>
            </w:r>
          </w:p>
        </w:tc>
      </w:tr>
      <w:tr>
        <w:trPr>
          <w:cantSplit/>
        </w:trPr>
        <w:tc>
          <w:tcPr>
            <w:tcW w:type="dxa" w:w="2131"/>
            <w:vAlign w:val="top"/>
          </w:tcPr>
          <w:p>
            <w:r/>
            <w:r>
              <w:rPr>
                <w:b w:val="0"/>
                <w:sz w:val="17"/>
              </w:rPr>
              <w:t>nginx</w:t>
            </w:r>
          </w:p>
        </w:tc>
        <w:tc>
          <w:tcPr>
            <w:tcW w:type="dxa" w:w="2131"/>
            <w:vAlign w:val="top"/>
          </w:tcPr>
          <w:p>
            <w:r/>
            <w:r>
              <w:rPr>
                <w:b w:val="0"/>
                <w:sz w:val="17"/>
              </w:rPr>
              <w:t>nginx:1.25-alpine</w:t>
            </w:r>
          </w:p>
        </w:tc>
        <w:tc>
          <w:tcPr>
            <w:tcW w:type="dxa" w:w="2131"/>
            <w:vAlign w:val="top"/>
          </w:tcPr>
          <w:p>
            <w:r/>
            <w:r>
              <w:rPr>
                <w:b w:val="0"/>
                <w:sz w:val="17"/>
              </w:rPr>
              <w:t>8080; 8443 mapped but HTTPS server block is optional/commented until certificates are configured</w:t>
            </w:r>
          </w:p>
        </w:tc>
        <w:tc>
          <w:tcPr>
            <w:tcW w:type="dxa" w:w="2131"/>
            <w:vAlign w:val="top"/>
          </w:tcPr>
          <w:p>
            <w:r/>
            <w:r>
              <w:rPr>
                <w:b w:val="0"/>
                <w:sz w:val="17"/>
              </w:rPr>
              <w:t>Public gateway, portal/static hosting, reverse proxy</w:t>
            </w:r>
          </w:p>
        </w:tc>
        <w:tc>
          <w:tcPr>
            <w:tcW w:type="dxa" w:w="2131"/>
            <w:vAlign w:val="top"/>
          </w:tcPr>
          <w:p>
            <w:r/>
            <w:r>
              <w:rPr>
                <w:b w:val="0"/>
                <w:sz w:val="17"/>
              </w:rPr>
              <w:t>Yes</w:t>
            </w:r>
          </w:p>
        </w:tc>
      </w:tr>
      <w:tr>
        <w:trPr>
          <w:cantSplit/>
        </w:trPr>
        <w:tc>
          <w:tcPr>
            <w:tcW w:type="dxa" w:w="2131"/>
            <w:vAlign w:val="top"/>
          </w:tcPr>
          <w:p>
            <w:r/>
            <w:r>
              <w:rPr>
                <w:b w:val="0"/>
                <w:sz w:val="17"/>
              </w:rPr>
              <w:t>postgres</w:t>
            </w:r>
          </w:p>
        </w:tc>
        <w:tc>
          <w:tcPr>
            <w:tcW w:type="dxa" w:w="2131"/>
            <w:vAlign w:val="top"/>
          </w:tcPr>
          <w:p>
            <w:r/>
            <w:r>
              <w:rPr>
                <w:b w:val="0"/>
                <w:sz w:val="17"/>
              </w:rPr>
              <w:t>timescale/timescaledb:latest-pg16</w:t>
            </w:r>
          </w:p>
        </w:tc>
        <w:tc>
          <w:tcPr>
            <w:tcW w:type="dxa" w:w="2131"/>
            <w:vAlign w:val="top"/>
          </w:tcPr>
          <w:p>
            <w:r/>
            <w:r>
              <w:rPr>
                <w:b w:val="0"/>
                <w:sz w:val="17"/>
              </w:rPr>
              <w:t>5433</w:t>
            </w:r>
          </w:p>
        </w:tc>
        <w:tc>
          <w:tcPr>
            <w:tcW w:type="dxa" w:w="2131"/>
            <w:vAlign w:val="top"/>
          </w:tcPr>
          <w:p>
            <w:r/>
            <w:r>
              <w:rPr>
                <w:b w:val="0"/>
                <w:sz w:val="17"/>
              </w:rPr>
              <w:t>PostgreSQL with TimescaleDB extension and persistent data volume</w:t>
            </w:r>
          </w:p>
        </w:tc>
        <w:tc>
          <w:tcPr>
            <w:tcW w:type="dxa" w:w="2131"/>
            <w:vAlign w:val="top"/>
          </w:tcPr>
          <w:p>
            <w:r/>
            <w:r>
              <w:rPr>
                <w:b w:val="0"/>
                <w:sz w:val="17"/>
              </w:rPr>
              <w:t>Yes</w:t>
            </w:r>
          </w:p>
        </w:tc>
      </w:tr>
      <w:tr>
        <w:trPr>
          <w:cantSplit/>
        </w:trPr>
        <w:tc>
          <w:tcPr>
            <w:tcW w:type="dxa" w:w="2131"/>
            <w:vAlign w:val="top"/>
          </w:tcPr>
          <w:p>
            <w:r/>
            <w:r>
              <w:rPr>
                <w:b w:val="0"/>
                <w:sz w:val="17"/>
              </w:rPr>
              <w:t>mqtt</w:t>
            </w:r>
          </w:p>
        </w:tc>
        <w:tc>
          <w:tcPr>
            <w:tcW w:type="dxa" w:w="2131"/>
            <w:vAlign w:val="top"/>
          </w:tcPr>
          <w:p>
            <w:r/>
            <w:r>
              <w:rPr>
                <w:b w:val="0"/>
                <w:sz w:val="17"/>
              </w:rPr>
              <w:t>build ./mqtt</w:t>
            </w:r>
          </w:p>
        </w:tc>
        <w:tc>
          <w:tcPr>
            <w:tcW w:type="dxa" w:w="2131"/>
            <w:vAlign w:val="top"/>
          </w:tcPr>
          <w:p>
            <w:r/>
            <w:r>
              <w:rPr>
                <w:b w:val="0"/>
                <w:sz w:val="17"/>
              </w:rPr>
              <w:t>1883, 9001</w:t>
            </w:r>
          </w:p>
        </w:tc>
        <w:tc>
          <w:tcPr>
            <w:tcW w:type="dxa" w:w="2131"/>
            <w:vAlign w:val="top"/>
          </w:tcPr>
          <w:p>
            <w:r/>
            <w:r>
              <w:rPr>
                <w:b w:val="0"/>
                <w:sz w:val="17"/>
              </w:rPr>
              <w:t>Mosquitto telemetry broker with configured credentials</w:t>
            </w:r>
          </w:p>
        </w:tc>
        <w:tc>
          <w:tcPr>
            <w:tcW w:type="dxa" w:w="2131"/>
            <w:vAlign w:val="top"/>
          </w:tcPr>
          <w:p>
            <w:r/>
            <w:r>
              <w:rPr>
                <w:b w:val="0"/>
                <w:sz w:val="17"/>
              </w:rPr>
              <w:t>Yes</w:t>
            </w:r>
          </w:p>
        </w:tc>
      </w:tr>
      <w:tr>
        <w:trPr>
          <w:cantSplit/>
        </w:trPr>
        <w:tc>
          <w:tcPr>
            <w:tcW w:type="dxa" w:w="2131"/>
            <w:vAlign w:val="top"/>
          </w:tcPr>
          <w:p>
            <w:r/>
            <w:r>
              <w:rPr>
                <w:b w:val="0"/>
                <w:sz w:val="17"/>
              </w:rPr>
              <w:t>redis</w:t>
            </w:r>
          </w:p>
        </w:tc>
        <w:tc>
          <w:tcPr>
            <w:tcW w:type="dxa" w:w="2131"/>
            <w:vAlign w:val="top"/>
          </w:tcPr>
          <w:p>
            <w:r/>
            <w:r>
              <w:rPr>
                <w:b w:val="0"/>
                <w:sz w:val="17"/>
              </w:rPr>
              <w:t>redis:7-alpine</w:t>
            </w:r>
          </w:p>
        </w:tc>
        <w:tc>
          <w:tcPr>
            <w:tcW w:type="dxa" w:w="2131"/>
            <w:vAlign w:val="top"/>
          </w:tcPr>
          <w:p>
            <w:r/>
            <w:r>
              <w:rPr>
                <w:b w:val="0"/>
                <w:sz w:val="17"/>
              </w:rPr>
              <w:t>6380</w:t>
            </w:r>
          </w:p>
        </w:tc>
        <w:tc>
          <w:tcPr>
            <w:tcW w:type="dxa" w:w="2131"/>
            <w:vAlign w:val="top"/>
          </w:tcPr>
          <w:p>
            <w:r/>
            <w:r>
              <w:rPr>
                <w:b w:val="0"/>
                <w:sz w:val="17"/>
              </w:rPr>
              <w:t>Redis cache and Pub/Sub support for analytics event paths</w:t>
            </w:r>
          </w:p>
        </w:tc>
        <w:tc>
          <w:tcPr>
            <w:tcW w:type="dxa" w:w="2131"/>
            <w:vAlign w:val="top"/>
          </w:tcPr>
          <w:p>
            <w:r/>
            <w:r>
              <w:rPr>
                <w:b w:val="0"/>
                <w:sz w:val="17"/>
              </w:rPr>
              <w:t>Yes</w:t>
            </w:r>
          </w:p>
        </w:tc>
      </w:tr>
      <w:tr>
        <w:trPr>
          <w:cantSplit/>
        </w:trPr>
        <w:tc>
          <w:tcPr>
            <w:tcW w:type="dxa" w:w="2131"/>
            <w:vAlign w:val="top"/>
          </w:tcPr>
          <w:p>
            <w:r/>
            <w:r>
              <w:rPr>
                <w:b w:val="0"/>
                <w:sz w:val="17"/>
              </w:rPr>
              <w:t>simulator</w:t>
            </w:r>
          </w:p>
        </w:tc>
        <w:tc>
          <w:tcPr>
            <w:tcW w:type="dxa" w:w="2131"/>
            <w:vAlign w:val="top"/>
          </w:tcPr>
          <w:p>
            <w:r/>
            <w:r>
              <w:rPr>
                <w:b w:val="0"/>
                <w:sz w:val="17"/>
              </w:rPr>
              <w:t>build ./simulator</w:t>
            </w:r>
          </w:p>
        </w:tc>
        <w:tc>
          <w:tcPr>
            <w:tcW w:type="dxa" w:w="2131"/>
            <w:vAlign w:val="top"/>
          </w:tcPr>
          <w:p>
            <w:r/>
            <w:r>
              <w:rPr>
                <w:b w:val="0"/>
                <w:sz w:val="17"/>
              </w:rPr>
              <w:t>internal 8003</w:t>
            </w:r>
          </w:p>
        </w:tc>
        <w:tc>
          <w:tcPr>
            <w:tcW w:type="dxa" w:w="2131"/>
            <w:vAlign w:val="top"/>
          </w:tcPr>
          <w:p>
            <w:r/>
            <w:r>
              <w:rPr>
                <w:b w:val="0"/>
                <w:sz w:val="17"/>
              </w:rPr>
              <w:t>FastAPI synthetic telemetry generator loaded from database machines</w:t>
            </w:r>
          </w:p>
        </w:tc>
        <w:tc>
          <w:tcPr>
            <w:tcW w:type="dxa" w:w="2131"/>
            <w:vAlign w:val="top"/>
          </w:tcPr>
          <w:p>
            <w:r/>
            <w:r>
              <w:rPr>
                <w:b w:val="0"/>
                <w:sz w:val="17"/>
              </w:rPr>
              <w:t>Yes</w:t>
            </w:r>
          </w:p>
        </w:tc>
      </w:tr>
      <w:tr>
        <w:trPr>
          <w:cantSplit/>
        </w:trPr>
        <w:tc>
          <w:tcPr>
            <w:tcW w:type="dxa" w:w="2131"/>
            <w:vAlign w:val="top"/>
          </w:tcPr>
          <w:p>
            <w:r/>
            <w:r>
              <w:rPr>
                <w:b w:val="0"/>
                <w:sz w:val="17"/>
              </w:rPr>
              <w:t>nodered</w:t>
            </w:r>
          </w:p>
        </w:tc>
        <w:tc>
          <w:tcPr>
            <w:tcW w:type="dxa" w:w="2131"/>
            <w:vAlign w:val="top"/>
          </w:tcPr>
          <w:p>
            <w:r/>
            <w:r>
              <w:rPr>
                <w:b w:val="0"/>
                <w:sz w:val="17"/>
              </w:rPr>
              <w:t>build ./nodered</w:t>
            </w:r>
          </w:p>
        </w:tc>
        <w:tc>
          <w:tcPr>
            <w:tcW w:type="dxa" w:w="2131"/>
            <w:vAlign w:val="top"/>
          </w:tcPr>
          <w:p>
            <w:r/>
            <w:r>
              <w:rPr>
                <w:b w:val="0"/>
                <w:sz w:val="17"/>
              </w:rPr>
              <w:t>1881</w:t>
            </w:r>
          </w:p>
        </w:tc>
        <w:tc>
          <w:tcPr>
            <w:tcW w:type="dxa" w:w="2131"/>
            <w:vAlign w:val="top"/>
          </w:tcPr>
          <w:p>
            <w:r/>
            <w:r>
              <w:rPr>
                <w:b w:val="0"/>
                <w:sz w:val="17"/>
              </w:rPr>
              <w:t>MQTT-to-database ingestion and automation flow runtime</w:t>
            </w:r>
          </w:p>
        </w:tc>
        <w:tc>
          <w:tcPr>
            <w:tcW w:type="dxa" w:w="2131"/>
            <w:vAlign w:val="top"/>
          </w:tcPr>
          <w:p>
            <w:r/>
            <w:r>
              <w:rPr>
                <w:b w:val="0"/>
                <w:sz w:val="17"/>
              </w:rPr>
              <w:t>Yes</w:t>
            </w:r>
          </w:p>
        </w:tc>
      </w:tr>
      <w:tr>
        <w:trPr>
          <w:cantSplit/>
        </w:trPr>
        <w:tc>
          <w:tcPr>
            <w:tcW w:type="dxa" w:w="2131"/>
            <w:vAlign w:val="top"/>
          </w:tcPr>
          <w:p>
            <w:r/>
            <w:r>
              <w:rPr>
                <w:b w:val="0"/>
                <w:sz w:val="17"/>
              </w:rPr>
              <w:t>grafana</w:t>
            </w:r>
          </w:p>
        </w:tc>
        <w:tc>
          <w:tcPr>
            <w:tcW w:type="dxa" w:w="2131"/>
            <w:vAlign w:val="top"/>
          </w:tcPr>
          <w:p>
            <w:r/>
            <w:r>
              <w:rPr>
                <w:b w:val="0"/>
                <w:sz w:val="17"/>
              </w:rPr>
              <w:t>grafana/grafana:10.2.0</w:t>
            </w:r>
          </w:p>
        </w:tc>
        <w:tc>
          <w:tcPr>
            <w:tcW w:type="dxa" w:w="2131"/>
            <w:vAlign w:val="top"/>
          </w:tcPr>
          <w:p>
            <w:r/>
            <w:r>
              <w:rPr>
                <w:b w:val="0"/>
                <w:sz w:val="17"/>
              </w:rPr>
              <w:t>3001, /grafana</w:t>
            </w:r>
          </w:p>
        </w:tc>
        <w:tc>
          <w:tcPr>
            <w:tcW w:type="dxa" w:w="2131"/>
            <w:vAlign w:val="top"/>
          </w:tcPr>
          <w:p>
            <w:r/>
            <w:r>
              <w:rPr>
                <w:b w:val="0"/>
                <w:sz w:val="17"/>
              </w:rPr>
              <w:t>Provisioned dashboards backed by PostgreSQL/TimescaleDB</w:t>
            </w:r>
          </w:p>
        </w:tc>
        <w:tc>
          <w:tcPr>
            <w:tcW w:type="dxa" w:w="2131"/>
            <w:vAlign w:val="top"/>
          </w:tcPr>
          <w:p>
            <w:r/>
            <w:r>
              <w:rPr>
                <w:b w:val="0"/>
                <w:sz w:val="17"/>
              </w:rPr>
              <w:t>Yes</w:t>
            </w:r>
          </w:p>
        </w:tc>
      </w:tr>
      <w:tr>
        <w:trPr>
          <w:cantSplit/>
        </w:trPr>
        <w:tc>
          <w:tcPr>
            <w:tcW w:type="dxa" w:w="2131"/>
            <w:vAlign w:val="top"/>
          </w:tcPr>
          <w:p>
            <w:r/>
            <w:r>
              <w:rPr>
                <w:b w:val="0"/>
                <w:sz w:val="17"/>
              </w:rPr>
              <w:t>analytics</w:t>
            </w:r>
          </w:p>
        </w:tc>
        <w:tc>
          <w:tcPr>
            <w:tcW w:type="dxa" w:w="2131"/>
            <w:vAlign w:val="top"/>
          </w:tcPr>
          <w:p>
            <w:r/>
            <w:r>
              <w:rPr>
                <w:b w:val="0"/>
                <w:sz w:val="17"/>
              </w:rPr>
              <w:t>build ./analytics</w:t>
            </w:r>
          </w:p>
        </w:tc>
        <w:tc>
          <w:tcPr>
            <w:tcW w:type="dxa" w:w="2131"/>
            <w:vAlign w:val="top"/>
          </w:tcPr>
          <w:p>
            <w:r/>
            <w:r>
              <w:rPr>
                <w:b w:val="0"/>
                <w:sz w:val="17"/>
              </w:rPr>
              <w:t>8001, /api/analytics</w:t>
            </w:r>
          </w:p>
        </w:tc>
        <w:tc>
          <w:tcPr>
            <w:tcW w:type="dxa" w:w="2131"/>
            <w:vAlign w:val="top"/>
          </w:tcPr>
          <w:p>
            <w:r/>
            <w:r>
              <w:rPr>
                <w:b w:val="0"/>
                <w:sz w:val="17"/>
              </w:rPr>
              <w:t>FastAPI analytics, KPI, reports, ISO 50001, and OVOS proxy APIs</w:t>
            </w:r>
          </w:p>
        </w:tc>
        <w:tc>
          <w:tcPr>
            <w:tcW w:type="dxa" w:w="2131"/>
            <w:vAlign w:val="top"/>
          </w:tcPr>
          <w:p>
            <w:r/>
            <w:r>
              <w:rPr>
                <w:b w:val="0"/>
                <w:sz w:val="17"/>
              </w:rPr>
              <w:t>Yes</w:t>
            </w:r>
          </w:p>
        </w:tc>
      </w:tr>
      <w:tr>
        <w:trPr>
          <w:cantSplit/>
        </w:trPr>
        <w:tc>
          <w:tcPr>
            <w:tcW w:type="dxa" w:w="2131"/>
            <w:vAlign w:val="top"/>
          </w:tcPr>
          <w:p>
            <w:r/>
            <w:r>
              <w:rPr>
                <w:b w:val="0"/>
                <w:sz w:val="17"/>
              </w:rPr>
              <w:t>auth-service</w:t>
            </w:r>
          </w:p>
        </w:tc>
        <w:tc>
          <w:tcPr>
            <w:tcW w:type="dxa" w:w="2131"/>
            <w:vAlign w:val="top"/>
          </w:tcPr>
          <w:p>
            <w:r/>
            <w:r>
              <w:rPr>
                <w:b w:val="0"/>
                <w:sz w:val="17"/>
              </w:rPr>
              <w:t>build ./auth-service</w:t>
            </w:r>
          </w:p>
        </w:tc>
        <w:tc>
          <w:tcPr>
            <w:tcW w:type="dxa" w:w="2131"/>
            <w:vAlign w:val="top"/>
          </w:tcPr>
          <w:p>
            <w:r/>
            <w:r>
              <w:rPr>
                <w:b w:val="0"/>
                <w:sz w:val="17"/>
              </w:rPr>
              <w:t>5500</w:t>
            </w:r>
          </w:p>
        </w:tc>
        <w:tc>
          <w:tcPr>
            <w:tcW w:type="dxa" w:w="2131"/>
            <w:vAlign w:val="top"/>
          </w:tcPr>
          <w:p>
            <w:r/>
            <w:r>
              <w:rPr>
                <w:b w:val="0"/>
                <w:sz w:val="17"/>
              </w:rPr>
              <w:t>Flask auth, admin, contact, pilot/application APIs</w:t>
            </w:r>
          </w:p>
        </w:tc>
        <w:tc>
          <w:tcPr>
            <w:tcW w:type="dxa" w:w="2131"/>
            <w:vAlign w:val="top"/>
          </w:tcPr>
          <w:p>
            <w:r/>
            <w:r>
              <w:rPr>
                <w:b w:val="0"/>
                <w:sz w:val="17"/>
              </w:rPr>
              <w:t>Yes</w:t>
            </w:r>
          </w:p>
        </w:tc>
      </w:tr>
      <w:tr>
        <w:trPr>
          <w:cantSplit/>
        </w:trPr>
        <w:tc>
          <w:tcPr>
            <w:tcW w:type="dxa" w:w="2131"/>
            <w:vAlign w:val="top"/>
          </w:tcPr>
          <w:p>
            <w:r/>
            <w:r>
              <w:rPr>
                <w:b w:val="0"/>
                <w:sz w:val="17"/>
              </w:rPr>
              <w:t>rasa-actions</w:t>
            </w:r>
          </w:p>
        </w:tc>
        <w:tc>
          <w:tcPr>
            <w:tcW w:type="dxa" w:w="2131"/>
            <w:vAlign w:val="top"/>
          </w:tcPr>
          <w:p>
            <w:r/>
            <w:r>
              <w:rPr>
                <w:b w:val="0"/>
                <w:sz w:val="17"/>
              </w:rPr>
              <w:t>build ./chatbot/rasa</w:t>
            </w:r>
          </w:p>
        </w:tc>
        <w:tc>
          <w:tcPr>
            <w:tcW w:type="dxa" w:w="2131"/>
            <w:vAlign w:val="top"/>
          </w:tcPr>
          <w:p>
            <w:r/>
            <w:r>
              <w:rPr>
                <w:b w:val="0"/>
                <w:sz w:val="17"/>
              </w:rPr>
              <w:t>5055</w:t>
            </w:r>
          </w:p>
        </w:tc>
        <w:tc>
          <w:tcPr>
            <w:tcW w:type="dxa" w:w="2131"/>
            <w:vAlign w:val="top"/>
          </w:tcPr>
          <w:p>
            <w:r/>
            <w:r>
              <w:rPr>
                <w:b w:val="0"/>
                <w:sz w:val="17"/>
              </w:rPr>
              <w:t>Rasa custom action server</w:t>
            </w:r>
          </w:p>
        </w:tc>
        <w:tc>
          <w:tcPr>
            <w:tcW w:type="dxa" w:w="2131"/>
            <w:vAlign w:val="top"/>
          </w:tcPr>
          <w:p>
            <w:r/>
            <w:r>
              <w:rPr>
                <w:b w:val="0"/>
                <w:sz w:val="17"/>
              </w:rPr>
              <w:t>Yes</w:t>
            </w:r>
          </w:p>
        </w:tc>
      </w:tr>
      <w:tr>
        <w:trPr>
          <w:cantSplit/>
        </w:trPr>
        <w:tc>
          <w:tcPr>
            <w:tcW w:type="dxa" w:w="2131"/>
            <w:vAlign w:val="top"/>
          </w:tcPr>
          <w:p>
            <w:pPr>
              <w:keepNext/>
            </w:pPr>
            <w:r/>
            <w:r>
              <w:rPr>
                <w:b w:val="0"/>
                <w:sz w:val="17"/>
              </w:rPr>
              <w:t>rasa</w:t>
            </w:r>
          </w:p>
        </w:tc>
        <w:tc>
          <w:tcPr>
            <w:tcW w:type="dxa" w:w="2131"/>
            <w:vAlign w:val="top"/>
          </w:tcPr>
          <w:p>
            <w:pPr>
              <w:keepNext/>
            </w:pPr>
            <w:r/>
            <w:r>
              <w:rPr>
                <w:b w:val="0"/>
                <w:sz w:val="17"/>
              </w:rPr>
              <w:t>build ./chatbot/rasa</w:t>
            </w:r>
          </w:p>
        </w:tc>
        <w:tc>
          <w:tcPr>
            <w:tcW w:type="dxa" w:w="2131"/>
            <w:vAlign w:val="top"/>
          </w:tcPr>
          <w:p>
            <w:pPr>
              <w:keepNext/>
            </w:pPr>
            <w:r/>
            <w:r>
              <w:rPr>
                <w:b w:val="0"/>
                <w:sz w:val="17"/>
              </w:rPr>
              <w:t>5005</w:t>
            </w:r>
          </w:p>
        </w:tc>
        <w:tc>
          <w:tcPr>
            <w:tcW w:type="dxa" w:w="2131"/>
            <w:vAlign w:val="top"/>
          </w:tcPr>
          <w:p>
            <w:pPr>
              <w:keepNext/>
            </w:pPr>
            <w:r/>
            <w:r>
              <w:rPr>
                <w:b w:val="0"/>
                <w:sz w:val="17"/>
              </w:rPr>
              <w:t>Rasa NLU text chatbot server</w:t>
            </w:r>
          </w:p>
        </w:tc>
        <w:tc>
          <w:tcPr>
            <w:tcW w:type="dxa" w:w="2131"/>
            <w:vAlign w:val="top"/>
          </w:tcPr>
          <w:p>
            <w:pPr>
              <w:keepNext/>
            </w:pPr>
            <w:r/>
            <w:r>
              <w:rPr>
                <w:b w:val="0"/>
                <w:sz w:val="17"/>
              </w:rPr>
              <w:t>Yes</w:t>
            </w:r>
          </w:p>
        </w:tc>
      </w:tr>
      <w:tr>
        <w:trPr>
          <w:cantSplit/>
        </w:trPr>
        <w:tc>
          <w:tcPr>
            <w:tcW w:type="dxa" w:w="2131"/>
            <w:vAlign w:val="top"/>
          </w:tcPr>
          <w:p>
            <w:r/>
            <w:r>
              <w:rPr>
                <w:b w:val="0"/>
                <w:sz w:val="17"/>
              </w:rPr>
              <w:t>chatbot</w:t>
            </w:r>
          </w:p>
        </w:tc>
        <w:tc>
          <w:tcPr>
            <w:tcW w:type="dxa" w:w="2131"/>
            <w:vAlign w:val="top"/>
          </w:tcPr>
          <w:p>
            <w:r/>
            <w:r>
              <w:rPr>
                <w:b w:val="0"/>
                <w:sz w:val="17"/>
              </w:rPr>
              <w:t>build ./chatbot</w:t>
            </w:r>
          </w:p>
        </w:tc>
        <w:tc>
          <w:tcPr>
            <w:tcW w:type="dxa" w:w="2131"/>
            <w:vAlign w:val="top"/>
          </w:tcPr>
          <w:p>
            <w:r/>
            <w:r>
              <w:rPr>
                <w:b w:val="0"/>
                <w:sz w:val="17"/>
              </w:rPr>
              <w:t>5006</w:t>
            </w:r>
          </w:p>
        </w:tc>
        <w:tc>
          <w:tcPr>
            <w:tcW w:type="dxa" w:w="2131"/>
            <w:vAlign w:val="top"/>
          </w:tcPr>
          <w:p>
            <w:r/>
            <w:r>
              <w:rPr>
                <w:b w:val="0"/>
                <w:sz w:val="17"/>
              </w:rPr>
              <w:t>Express backend and built chatbot frontend proxying to Rasa and OVOS</w:t>
            </w:r>
          </w:p>
        </w:tc>
        <w:tc>
          <w:tcPr>
            <w:tcW w:type="dxa" w:w="2131"/>
            <w:vAlign w:val="top"/>
          </w:tcPr>
          <w:p>
            <w:r/>
            <w:r>
              <w:rPr>
                <w:b w:val="0"/>
                <w:sz w:val="17"/>
              </w:rPr>
              <w:t>Yes</w:t>
            </w:r>
          </w:p>
        </w:tc>
      </w:tr>
    </w:tbl>
    <w:p/>
    <w:p>
      <w:r>
        <w:t>The service inventory is also the troubleshooting map: when a function fails, operators can locate the owning service and supporting dependencies.</w:t>
      </w:r>
    </w:p>
    <w:p>
      <w:pPr>
        <w:pStyle w:val="Heading1"/>
      </w:pPr>
      <w:r>
        <w:t>Networks, Volumes, And Ports</w:t>
      </w:r>
    </w:p>
    <w:p>
      <w:r>
        <w:t>All HumanEnerDIA production Compose services join the Docker bridge network named by ENMS_NETWORK_NAME, defaulting to enms-network. OVOS-EnMS is documented as a separate assistant runtime rather than a service in the GitHub production base docker-compose.yml.</w:t>
      </w:r>
    </w:p>
    <w:p>
      <w:r>
        <w:t>Persistent named volumes in the production Compose file include PostgreSQL data, MQTT data/logs, Redis data, Node-RED data, and Grafana data.</w:t>
      </w:r>
    </w:p>
    <w:p>
      <w:r>
        <w:t>This table identifies the persistent and network resources that influence backup, firewall, and redeployment planning.</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Resource</w:t>
            </w:r>
          </w:p>
        </w:tc>
        <w:tc>
          <w:tcPr>
            <w:tcW w:type="dxa" w:w="3552"/>
            <w:vAlign w:val="top"/>
            <w:shd w:fill="D9EAF7"/>
          </w:tcPr>
          <w:p>
            <w:r/>
            <w:r>
              <w:rPr>
                <w:b/>
                <w:sz w:val="17"/>
              </w:rPr>
              <w:t>Configured name/default</w:t>
            </w:r>
          </w:p>
        </w:tc>
        <w:tc>
          <w:tcPr>
            <w:tcW w:type="dxa" w:w="3552"/>
            <w:vAlign w:val="top"/>
            <w:shd w:fill="D9EAF7"/>
          </w:tcPr>
          <w:p>
            <w:r/>
            <w:r>
              <w:rPr>
                <w:b/>
                <w:sz w:val="17"/>
              </w:rPr>
              <w:t>Purpose</w:t>
            </w:r>
          </w:p>
        </w:tc>
      </w:tr>
      <w:tr>
        <w:trPr>
          <w:cantSplit/>
        </w:trPr>
        <w:tc>
          <w:tcPr>
            <w:tcW w:type="dxa" w:w="3552"/>
            <w:vAlign w:val="top"/>
          </w:tcPr>
          <w:p>
            <w:r/>
            <w:r>
              <w:rPr>
                <w:b w:val="0"/>
                <w:sz w:val="17"/>
              </w:rPr>
              <w:t>Network</w:t>
            </w:r>
          </w:p>
        </w:tc>
        <w:tc>
          <w:tcPr>
            <w:tcW w:type="dxa" w:w="3552"/>
            <w:vAlign w:val="top"/>
          </w:tcPr>
          <w:p>
            <w:r/>
            <w:r>
              <w:rPr>
                <w:b w:val="0"/>
                <w:sz w:val="17"/>
              </w:rPr>
              <w:t>${ENMS_NETWORK_NAME:-enms-network}</w:t>
            </w:r>
          </w:p>
        </w:tc>
        <w:tc>
          <w:tcPr>
            <w:tcW w:type="dxa" w:w="3552"/>
            <w:vAlign w:val="top"/>
          </w:tcPr>
          <w:p>
            <w:r/>
            <w:r>
              <w:rPr>
                <w:b w:val="0"/>
                <w:sz w:val="17"/>
              </w:rPr>
              <w:t>Service-to-service communication</w:t>
            </w:r>
          </w:p>
        </w:tc>
      </w:tr>
      <w:tr>
        <w:trPr>
          <w:cantSplit/>
        </w:trPr>
        <w:tc>
          <w:tcPr>
            <w:tcW w:type="dxa" w:w="3552"/>
            <w:vAlign w:val="top"/>
          </w:tcPr>
          <w:p>
            <w:r/>
            <w:r>
              <w:rPr>
                <w:b w:val="0"/>
                <w:sz w:val="17"/>
              </w:rPr>
              <w:t>postgres-data</w:t>
            </w:r>
          </w:p>
        </w:tc>
        <w:tc>
          <w:tcPr>
            <w:tcW w:type="dxa" w:w="3552"/>
            <w:vAlign w:val="top"/>
          </w:tcPr>
          <w:p>
            <w:r/>
            <w:r>
              <w:rPr>
                <w:b w:val="0"/>
                <w:sz w:val="17"/>
              </w:rPr>
              <w:t>${VOLUME_PREFIX:-enms}-postgres-data</w:t>
            </w:r>
          </w:p>
        </w:tc>
        <w:tc>
          <w:tcPr>
            <w:tcW w:type="dxa" w:w="3552"/>
            <w:vAlign w:val="top"/>
          </w:tcPr>
          <w:p>
            <w:r/>
            <w:r>
              <w:rPr>
                <w:b w:val="0"/>
                <w:sz w:val="17"/>
              </w:rPr>
              <w:t>PostgreSQL/TimescaleDB persistent data</w:t>
            </w:r>
          </w:p>
        </w:tc>
      </w:tr>
      <w:tr>
        <w:trPr>
          <w:cantSplit/>
        </w:trPr>
        <w:tc>
          <w:tcPr>
            <w:tcW w:type="dxa" w:w="3552"/>
            <w:vAlign w:val="top"/>
          </w:tcPr>
          <w:p>
            <w:r/>
            <w:r>
              <w:rPr>
                <w:b w:val="0"/>
                <w:sz w:val="17"/>
              </w:rPr>
              <w:t>grafana-data</w:t>
            </w:r>
          </w:p>
        </w:tc>
        <w:tc>
          <w:tcPr>
            <w:tcW w:type="dxa" w:w="3552"/>
            <w:vAlign w:val="top"/>
          </w:tcPr>
          <w:p>
            <w:r/>
            <w:r>
              <w:rPr>
                <w:b w:val="0"/>
                <w:sz w:val="17"/>
              </w:rPr>
              <w:t>${VOLUME_PREFIX:-enms}-grafana-data</w:t>
            </w:r>
          </w:p>
        </w:tc>
        <w:tc>
          <w:tcPr>
            <w:tcW w:type="dxa" w:w="3552"/>
            <w:vAlign w:val="top"/>
          </w:tcPr>
          <w:p>
            <w:r/>
            <w:r>
              <w:rPr>
                <w:b w:val="0"/>
                <w:sz w:val="17"/>
              </w:rPr>
              <w:t>Grafana runtime data</w:t>
            </w:r>
          </w:p>
        </w:tc>
      </w:tr>
      <w:tr>
        <w:trPr>
          <w:cantSplit/>
        </w:trPr>
        <w:tc>
          <w:tcPr>
            <w:tcW w:type="dxa" w:w="3552"/>
            <w:vAlign w:val="top"/>
          </w:tcPr>
          <w:p>
            <w:pPr>
              <w:keepNext/>
            </w:pPr>
            <w:r/>
            <w:r>
              <w:rPr>
                <w:b w:val="0"/>
                <w:sz w:val="17"/>
              </w:rPr>
              <w:t>redis-data</w:t>
            </w:r>
          </w:p>
        </w:tc>
        <w:tc>
          <w:tcPr>
            <w:tcW w:type="dxa" w:w="3552"/>
            <w:vAlign w:val="top"/>
          </w:tcPr>
          <w:p>
            <w:pPr>
              <w:keepNext/>
            </w:pPr>
            <w:r/>
            <w:r>
              <w:rPr>
                <w:b w:val="0"/>
                <w:sz w:val="17"/>
              </w:rPr>
              <w:t>${VOLUME_PREFIX:-enms}-redis-data</w:t>
            </w:r>
          </w:p>
        </w:tc>
        <w:tc>
          <w:tcPr>
            <w:tcW w:type="dxa" w:w="3552"/>
            <w:vAlign w:val="top"/>
          </w:tcPr>
          <w:p>
            <w:pPr>
              <w:keepNext/>
            </w:pPr>
            <w:r/>
            <w:r>
              <w:rPr>
                <w:b w:val="0"/>
                <w:sz w:val="17"/>
              </w:rPr>
              <w:t>Redis append-only persistence</w:t>
            </w:r>
          </w:p>
        </w:tc>
      </w:tr>
      <w:tr>
        <w:trPr>
          <w:cantSplit/>
        </w:trPr>
        <w:tc>
          <w:tcPr>
            <w:tcW w:type="dxa" w:w="3552"/>
            <w:vAlign w:val="top"/>
          </w:tcPr>
          <w:p>
            <w:r/>
            <w:r>
              <w:rPr>
                <w:b w:val="0"/>
                <w:sz w:val="17"/>
              </w:rPr>
              <w:t>mqtt-data/logs</w:t>
            </w:r>
          </w:p>
        </w:tc>
        <w:tc>
          <w:tcPr>
            <w:tcW w:type="dxa" w:w="3552"/>
            <w:vAlign w:val="top"/>
          </w:tcPr>
          <w:p>
            <w:r/>
            <w:r>
              <w:rPr>
                <w:b w:val="0"/>
                <w:sz w:val="17"/>
              </w:rPr>
              <w:t>${VOLUME_PREFIX:-enms}-mqtt-data and -mqtt-logs</w:t>
            </w:r>
          </w:p>
        </w:tc>
        <w:tc>
          <w:tcPr>
            <w:tcW w:type="dxa" w:w="3552"/>
            <w:vAlign w:val="top"/>
          </w:tcPr>
          <w:p>
            <w:r/>
            <w:r>
              <w:rPr>
                <w:b w:val="0"/>
                <w:sz w:val="17"/>
              </w:rPr>
              <w:t>Mosquitto runtime data and logs</w:t>
            </w:r>
          </w:p>
        </w:tc>
      </w:tr>
    </w:tbl>
    <w:p/>
    <w:p>
      <w:r>
        <w:t>These resources define the main persistence and exposure points. They require careful handling during backup, cleanup, and public deployment.</w:t>
      </w:r>
    </w:p>
    <w:p>
      <w:pPr>
        <w:pStyle w:val="Heading1"/>
      </w:pPr>
      <w:r>
        <w:t>Environment Variables And Configuration</w:t>
      </w:r>
    </w:p>
    <w:p>
      <w:r>
        <w:t>.env.example is the safe public configuration template. The real .env file is intentionally not included and must not be committed or copied into documentation. The setup helper generates first-run values for placeholders and preserves existing non-placeholder values.</w:t>
      </w:r>
    </w:p>
    <w:p>
      <w:r>
        <w:t>Important configuration groups include database credentials, Redis password, MQTT credentials, Grafana admin credentials, Node-RED credential secret and password hash, JWT secret, API key, server IP/frontend URL, Grafana root URL, simulator controls, OVOS bridge host/port/timeout, and SMTP/admin settings.</w:t>
      </w:r>
    </w:p>
    <w:p>
      <w:pPr>
        <w:pStyle w:val="ListBullet"/>
      </w:pPr>
      <w:r>
        <w:t>Use .env.example in documentation, not .env.</w:t>
      </w:r>
    </w:p>
    <w:p>
      <w:pPr>
        <w:pStyle w:val="ListBullet"/>
      </w:pPr>
      <w:r>
        <w:t>Rotate generated first-run credentials before production exposure.</w:t>
      </w:r>
    </w:p>
    <w:p>
      <w:pPr>
        <w:pStyle w:val="ListBullet"/>
      </w:pPr>
      <w:r>
        <w:t>Set DNS, TLS, firewall rules, and public URLs explicitly for production.</w:t>
      </w:r>
    </w:p>
    <w:p>
      <w:pPr>
        <w:pStyle w:val="Heading1"/>
      </w:pPr>
      <w:r>
        <w:t>Environment Variable Groups</w:t>
      </w:r>
    </w:p>
    <w:p>
      <w:r>
        <w:t>The table below summarizes configuration groups without reproducing private runtime values. Use .env.example and setup.sh as the source for expected keys.</w:t>
      </w:r>
    </w:p>
    <w:p>
      <w:r>
        <w:t>The environment table groups configuration by operational concern while avoiding private runtime values.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Group</w:t>
            </w:r>
          </w:p>
        </w:tc>
        <w:tc>
          <w:tcPr>
            <w:tcW w:type="dxa" w:w="3552"/>
            <w:vAlign w:val="top"/>
            <w:shd w:fill="D9EAF7"/>
          </w:tcPr>
          <w:p>
            <w:r/>
            <w:r>
              <w:rPr>
                <w:b/>
                <w:sz w:val="17"/>
              </w:rPr>
              <w:t>Representative variables</w:t>
            </w:r>
          </w:p>
        </w:tc>
        <w:tc>
          <w:tcPr>
            <w:tcW w:type="dxa" w:w="3552"/>
            <w:vAlign w:val="top"/>
            <w:shd w:fill="D9EAF7"/>
          </w:tcPr>
          <w:p>
            <w:r/>
            <w:r>
              <w:rPr>
                <w:b/>
                <w:sz w:val="17"/>
              </w:rPr>
              <w:t>Source basis</w:t>
            </w:r>
          </w:p>
        </w:tc>
      </w:tr>
      <w:tr>
        <w:trPr>
          <w:cantSplit/>
        </w:trPr>
        <w:tc>
          <w:tcPr>
            <w:tcW w:type="dxa" w:w="3552"/>
            <w:vAlign w:val="top"/>
          </w:tcPr>
          <w:p>
            <w:r/>
            <w:r>
              <w:rPr>
                <w:b w:val="0"/>
                <w:sz w:val="17"/>
              </w:rPr>
              <w:t>Database</w:t>
            </w:r>
          </w:p>
        </w:tc>
        <w:tc>
          <w:tcPr>
            <w:tcW w:type="dxa" w:w="3552"/>
            <w:vAlign w:val="top"/>
          </w:tcPr>
          <w:p>
            <w:r/>
            <w:r>
              <w:rPr>
                <w:b w:val="0"/>
                <w:sz w:val="17"/>
              </w:rPr>
              <w:t>POSTGRES_USER, POSTGRES_PASSWORD, POSTGRES_DB, POSTGRES_HOST, POSTGRES_PORT</w:t>
            </w:r>
          </w:p>
        </w:tc>
        <w:tc>
          <w:tcPr>
            <w:tcW w:type="dxa" w:w="3552"/>
            <w:vAlign w:val="top"/>
          </w:tcPr>
          <w:p>
            <w:r/>
            <w:r>
              <w:rPr>
                <w:b w:val="0"/>
                <w:sz w:val="17"/>
              </w:rPr>
              <w:t>.env.example; docker-compose.yml; analytics/config.py</w:t>
            </w:r>
          </w:p>
        </w:tc>
      </w:tr>
      <w:tr>
        <w:trPr>
          <w:cantSplit/>
        </w:trPr>
        <w:tc>
          <w:tcPr>
            <w:tcW w:type="dxa" w:w="3552"/>
            <w:vAlign w:val="top"/>
          </w:tcPr>
          <w:p>
            <w:r/>
            <w:r>
              <w:rPr>
                <w:b w:val="0"/>
                <w:sz w:val="17"/>
              </w:rPr>
              <w:t>Service ports</w:t>
            </w:r>
          </w:p>
        </w:tc>
        <w:tc>
          <w:tcPr>
            <w:tcW w:type="dxa" w:w="3552"/>
            <w:vAlign w:val="top"/>
          </w:tcPr>
          <w:p>
            <w:r/>
            <w:r>
              <w:rPr>
                <w:b w:val="0"/>
                <w:sz w:val="17"/>
              </w:rPr>
              <w:t>NGINX_HTTP_PORT, ANALYTICS_PORT, SIMULATOR_PORT, GRAFANA_PORT, NODERED_PORT, RASA_PORT, CHATBOT_PORT, REDIS_EXTERNAL_PORT</w:t>
            </w:r>
          </w:p>
        </w:tc>
        <w:tc>
          <w:tcPr>
            <w:tcW w:type="dxa" w:w="3552"/>
            <w:vAlign w:val="top"/>
          </w:tcPr>
          <w:p>
            <w:r/>
            <w:r>
              <w:rPr>
                <w:b w:val="0"/>
                <w:sz w:val="17"/>
              </w:rPr>
              <w:t>.env.example; docker-compose.yml</w:t>
            </w:r>
          </w:p>
        </w:tc>
      </w:tr>
      <w:tr>
        <w:trPr>
          <w:cantSplit/>
        </w:trPr>
        <w:tc>
          <w:tcPr>
            <w:tcW w:type="dxa" w:w="3552"/>
            <w:vAlign w:val="top"/>
          </w:tcPr>
          <w:p>
            <w:r/>
            <w:r>
              <w:rPr>
                <w:b w:val="0"/>
                <w:sz w:val="17"/>
              </w:rPr>
              <w:t>Security and auth</w:t>
            </w:r>
          </w:p>
        </w:tc>
        <w:tc>
          <w:tcPr>
            <w:tcW w:type="dxa" w:w="3552"/>
            <w:vAlign w:val="top"/>
          </w:tcPr>
          <w:p>
            <w:r/>
            <w:r>
              <w:rPr>
                <w:b w:val="0"/>
                <w:sz w:val="17"/>
              </w:rPr>
              <w:t>JWT_SECRET, API_KEY, ADMIN_EMAILS, JWT expiration settings, Node-RED password hash/credential secret</w:t>
            </w:r>
          </w:p>
        </w:tc>
        <w:tc>
          <w:tcPr>
            <w:tcW w:type="dxa" w:w="3552"/>
            <w:vAlign w:val="top"/>
          </w:tcPr>
          <w:p>
            <w:r/>
            <w:r>
              <w:rPr>
                <w:b w:val="0"/>
                <w:sz w:val="17"/>
              </w:rPr>
              <w:t>.env.example; auth-service/auth_service.py; nodered/settings.js</w:t>
            </w:r>
          </w:p>
        </w:tc>
      </w:tr>
      <w:tr>
        <w:trPr>
          <w:cantSplit/>
        </w:trPr>
        <w:tc>
          <w:tcPr>
            <w:tcW w:type="dxa" w:w="3552"/>
            <w:vAlign w:val="top"/>
          </w:tcPr>
          <w:p>
            <w:r/>
            <w:r>
              <w:rPr>
                <w:b w:val="0"/>
                <w:sz w:val="17"/>
              </w:rPr>
              <w:t>Telemetry</w:t>
            </w:r>
          </w:p>
        </w:tc>
        <w:tc>
          <w:tcPr>
            <w:tcW w:type="dxa" w:w="3552"/>
            <w:vAlign w:val="top"/>
          </w:tcPr>
          <w:p>
            <w:r/>
            <w:r>
              <w:rPr>
                <w:b w:val="0"/>
                <w:sz w:val="17"/>
              </w:rPr>
              <w:t>MQTT_HOST, MQTT_PORT, MQTT_USERNAME, MQTT_PASSWORD, simulator intervals and anomaly settings</w:t>
            </w:r>
          </w:p>
        </w:tc>
        <w:tc>
          <w:tcPr>
            <w:tcW w:type="dxa" w:w="3552"/>
            <w:vAlign w:val="top"/>
          </w:tcPr>
          <w:p>
            <w:r/>
            <w:r>
              <w:rPr>
                <w:b w:val="0"/>
                <w:sz w:val="17"/>
              </w:rPr>
              <w:t>.env.example; simulator/config.py</w:t>
            </w:r>
          </w:p>
        </w:tc>
      </w:tr>
      <w:tr>
        <w:trPr>
          <w:cantSplit/>
        </w:trPr>
        <w:tc>
          <w:tcPr>
            <w:tcW w:type="dxa" w:w="3552"/>
            <w:vAlign w:val="top"/>
          </w:tcPr>
          <w:p>
            <w:pPr>
              <w:keepNext/>
            </w:pPr>
            <w:r/>
            <w:r>
              <w:rPr>
                <w:b w:val="0"/>
                <w:sz w:val="17"/>
              </w:rPr>
              <w:t>Analytics behavior</w:t>
            </w:r>
          </w:p>
        </w:tc>
        <w:tc>
          <w:tcPr>
            <w:tcW w:type="dxa" w:w="3552"/>
            <w:vAlign w:val="top"/>
          </w:tcPr>
          <w:p>
            <w:pPr>
              <w:keepNext/>
            </w:pPr>
            <w:r/>
            <w:r>
              <w:rPr>
                <w:b w:val="0"/>
                <w:sz w:val="17"/>
              </w:rPr>
              <w:t>LOG_LEVEL, scheduler settings, model storage, anomaly thresholds, cost/carbon defaults</w:t>
            </w:r>
          </w:p>
        </w:tc>
        <w:tc>
          <w:tcPr>
            <w:tcW w:type="dxa" w:w="3552"/>
            <w:vAlign w:val="top"/>
          </w:tcPr>
          <w:p>
            <w:pPr>
              <w:keepNext/>
            </w:pPr>
            <w:r/>
            <w:r>
              <w:rPr>
                <w:b w:val="0"/>
                <w:sz w:val="17"/>
              </w:rPr>
              <w:t>analytics/config.py; .env.example</w:t>
            </w:r>
          </w:p>
        </w:tc>
      </w:tr>
      <w:tr>
        <w:trPr>
          <w:cantSplit/>
        </w:trPr>
        <w:tc>
          <w:tcPr>
            <w:tcW w:type="dxa" w:w="3552"/>
            <w:vAlign w:val="top"/>
          </w:tcPr>
          <w:p>
            <w:r/>
            <w:r>
              <w:rPr>
                <w:b w:val="0"/>
                <w:sz w:val="17"/>
              </w:rPr>
              <w:t>OVOS proxy/runtime</w:t>
            </w:r>
          </w:p>
        </w:tc>
        <w:tc>
          <w:tcPr>
            <w:tcW w:type="dxa" w:w="3552"/>
            <w:vAlign w:val="top"/>
          </w:tcPr>
          <w:p>
            <w:r/>
            <w:r>
              <w:rPr>
                <w:b w:val="0"/>
                <w:sz w:val="17"/>
              </w:rPr>
              <w:t>OVOS_BRIDGE_HOST, OVOS_BRIDGE_PORT, OVOS_BRIDGE_TIMEOUT, OVOS external ports</w:t>
            </w:r>
          </w:p>
        </w:tc>
        <w:tc>
          <w:tcPr>
            <w:tcW w:type="dxa" w:w="3552"/>
            <w:vAlign w:val="top"/>
          </w:tcPr>
          <w:p>
            <w:r/>
            <w:r>
              <w:rPr>
                <w:b w:val="0"/>
                <w:sz w:val="17"/>
              </w:rPr>
              <w:t>.env.example; analytics/api/routes/ovos_voice.py; OVOS-EnMS repository compose</w:t>
            </w:r>
          </w:p>
        </w:tc>
      </w:tr>
    </w:tbl>
    <w:p/>
    <w:p>
      <w:r>
        <w:t>The grouped variables make configuration review manageable while keeping sensitive deployed values out of stakeholder documentation.</w:t>
      </w:r>
    </w:p>
    <w:p>
      <w:pPr>
        <w:pStyle w:val="Heading1"/>
      </w:pPr>
      <w:r>
        <w:t>Step-By-Step Deployment</w:t>
      </w:r>
    </w:p>
    <w:p>
      <w:r>
        <w:t>The guided setup path should be used for normal evaluation deployment. Manual commands are appropriate when operators have already prepared .env and want explicit control over build/start timing.</w:t>
      </w:r>
    </w:p>
    <w:p>
      <w:r>
        <w:t>The deployment table gives a controlled sequence for preparing, validating, building, starting, and verifying the stack.</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Step</w:t>
            </w:r>
          </w:p>
        </w:tc>
        <w:tc>
          <w:tcPr>
            <w:tcW w:type="dxa" w:w="3552"/>
            <w:vAlign w:val="top"/>
            <w:shd w:fill="D9EAF7"/>
          </w:tcPr>
          <w:p>
            <w:r/>
            <w:r>
              <w:rPr>
                <w:b/>
                <w:sz w:val="17"/>
              </w:rPr>
              <w:t>Command / action</w:t>
            </w:r>
          </w:p>
        </w:tc>
        <w:tc>
          <w:tcPr>
            <w:tcW w:type="dxa" w:w="3552"/>
            <w:vAlign w:val="top"/>
            <w:shd w:fill="D9EAF7"/>
          </w:tcPr>
          <w:p>
            <w:r/>
            <w:r>
              <w:rPr>
                <w:b/>
                <w:sz w:val="17"/>
              </w:rPr>
              <w:t>Expected result</w:t>
            </w:r>
          </w:p>
        </w:tc>
      </w:tr>
      <w:tr>
        <w:trPr>
          <w:cantSplit/>
        </w:trPr>
        <w:tc>
          <w:tcPr>
            <w:tcW w:type="dxa" w:w="3552"/>
            <w:vAlign w:val="top"/>
          </w:tcPr>
          <w:p>
            <w:r/>
            <w:r>
              <w:rPr>
                <w:b w:val="0"/>
                <w:sz w:val="17"/>
              </w:rPr>
              <w:t>1. Review source</w:t>
            </w:r>
          </w:p>
        </w:tc>
        <w:tc>
          <w:tcPr>
            <w:tcW w:type="dxa" w:w="3552"/>
            <w:vAlign w:val="top"/>
          </w:tcPr>
          <w:p>
            <w:r/>
            <w:r>
              <w:rPr>
                <w:b w:val="0"/>
                <w:sz w:val="17"/>
              </w:rPr>
              <w:t>Confirm current commit and inspect README.md, docker-compose.yml, .env.example.</w:t>
            </w:r>
          </w:p>
        </w:tc>
        <w:tc>
          <w:tcPr>
            <w:tcW w:type="dxa" w:w="3552"/>
            <w:vAlign w:val="top"/>
          </w:tcPr>
          <w:p>
            <w:r/>
            <w:r>
              <w:rPr>
                <w:b w:val="0"/>
                <w:sz w:val="17"/>
              </w:rPr>
              <w:t>Operator understands delivery scope and exposed services.</w:t>
            </w:r>
          </w:p>
        </w:tc>
      </w:tr>
      <w:tr>
        <w:trPr>
          <w:cantSplit/>
        </w:trPr>
        <w:tc>
          <w:tcPr>
            <w:tcW w:type="dxa" w:w="3552"/>
            <w:vAlign w:val="top"/>
          </w:tcPr>
          <w:p>
            <w:r/>
            <w:r>
              <w:rPr>
                <w:b w:val="0"/>
                <w:sz w:val="17"/>
              </w:rPr>
              <w:t>2. Prepare .env</w:t>
            </w:r>
          </w:p>
        </w:tc>
        <w:tc>
          <w:tcPr>
            <w:tcW w:type="dxa" w:w="3552"/>
            <w:vAlign w:val="top"/>
          </w:tcPr>
          <w:p>
            <w:r/>
            <w:r>
              <w:rPr>
                <w:b w:val="0"/>
                <w:sz w:val="17"/>
              </w:rPr>
              <w:t>./setup.sh or copy .env.example to .env and replace placeholders.</w:t>
            </w:r>
          </w:p>
        </w:tc>
        <w:tc>
          <w:tcPr>
            <w:tcW w:type="dxa" w:w="3552"/>
            <w:vAlign w:val="top"/>
          </w:tcPr>
          <w:p>
            <w:r/>
            <w:r>
              <w:rPr>
                <w:b w:val="0"/>
                <w:sz w:val="17"/>
              </w:rPr>
              <w:t>Private runtime configuration exists locally and is not committed.</w:t>
            </w:r>
          </w:p>
        </w:tc>
      </w:tr>
      <w:tr>
        <w:trPr>
          <w:cantSplit/>
        </w:trPr>
        <w:tc>
          <w:tcPr>
            <w:tcW w:type="dxa" w:w="3552"/>
            <w:vAlign w:val="top"/>
          </w:tcPr>
          <w:p>
            <w:r/>
            <w:r>
              <w:rPr>
                <w:b w:val="0"/>
                <w:sz w:val="17"/>
              </w:rPr>
              <w:t>3. Validate Compose</w:t>
            </w:r>
          </w:p>
        </w:tc>
        <w:tc>
          <w:tcPr>
            <w:tcW w:type="dxa" w:w="3552"/>
            <w:vAlign w:val="top"/>
          </w:tcPr>
          <w:p>
            <w:r/>
            <w:r>
              <w:rPr>
                <w:b w:val="0"/>
                <w:sz w:val="17"/>
              </w:rPr>
              <w:t>docker compose config --quiet</w:t>
            </w:r>
          </w:p>
        </w:tc>
        <w:tc>
          <w:tcPr>
            <w:tcW w:type="dxa" w:w="3552"/>
            <w:vAlign w:val="top"/>
          </w:tcPr>
          <w:p>
            <w:r/>
            <w:r>
              <w:rPr>
                <w:b w:val="0"/>
                <w:sz w:val="17"/>
              </w:rPr>
              <w:t>Compose interpolation and syntax pass.</w:t>
            </w:r>
          </w:p>
        </w:tc>
      </w:tr>
      <w:tr>
        <w:trPr>
          <w:cantSplit/>
        </w:trPr>
        <w:tc>
          <w:tcPr>
            <w:tcW w:type="dxa" w:w="3552"/>
            <w:vAlign w:val="top"/>
          </w:tcPr>
          <w:p>
            <w:r/>
            <w:r>
              <w:rPr>
                <w:b w:val="0"/>
                <w:sz w:val="17"/>
              </w:rPr>
              <w:t>4. Build images</w:t>
            </w:r>
          </w:p>
        </w:tc>
        <w:tc>
          <w:tcPr>
            <w:tcW w:type="dxa" w:w="3552"/>
            <w:vAlign w:val="top"/>
          </w:tcPr>
          <w:p>
            <w:r/>
            <w:r>
              <w:rPr>
                <w:b w:val="0"/>
                <w:sz w:val="17"/>
              </w:rPr>
              <w:t>docker compose build</w:t>
            </w:r>
          </w:p>
        </w:tc>
        <w:tc>
          <w:tcPr>
            <w:tcW w:type="dxa" w:w="3552"/>
            <w:vAlign w:val="top"/>
          </w:tcPr>
          <w:p>
            <w:r/>
            <w:r>
              <w:rPr>
                <w:b w:val="0"/>
                <w:sz w:val="17"/>
              </w:rPr>
              <w:t>Local service images are built.</w:t>
            </w:r>
          </w:p>
        </w:tc>
      </w:tr>
      <w:tr>
        <w:trPr>
          <w:cantSplit/>
        </w:trPr>
        <w:tc>
          <w:tcPr>
            <w:tcW w:type="dxa" w:w="3552"/>
            <w:vAlign w:val="top"/>
          </w:tcPr>
          <w:p>
            <w:pPr>
              <w:keepNext/>
            </w:pPr>
            <w:r/>
            <w:r>
              <w:rPr>
                <w:b w:val="0"/>
                <w:sz w:val="17"/>
              </w:rPr>
              <w:t>5. Start stack</w:t>
            </w:r>
          </w:p>
        </w:tc>
        <w:tc>
          <w:tcPr>
            <w:tcW w:type="dxa" w:w="3552"/>
            <w:vAlign w:val="top"/>
          </w:tcPr>
          <w:p>
            <w:pPr>
              <w:keepNext/>
            </w:pPr>
            <w:r/>
            <w:r>
              <w:rPr>
                <w:b w:val="0"/>
                <w:sz w:val="17"/>
              </w:rPr>
              <w:t>docker compose up -d or setup.sh default start path.</w:t>
            </w:r>
          </w:p>
        </w:tc>
        <w:tc>
          <w:tcPr>
            <w:tcW w:type="dxa" w:w="3552"/>
            <w:vAlign w:val="top"/>
          </w:tcPr>
          <w:p>
            <w:pPr>
              <w:keepNext/>
            </w:pPr>
            <w:r/>
            <w:r>
              <w:rPr>
                <w:b w:val="0"/>
                <w:sz w:val="17"/>
              </w:rPr>
              <w:t>Containers start on the configured network and volumes.</w:t>
            </w:r>
          </w:p>
        </w:tc>
      </w:tr>
      <w:tr>
        <w:trPr>
          <w:cantSplit/>
        </w:trPr>
        <w:tc>
          <w:tcPr>
            <w:tcW w:type="dxa" w:w="3552"/>
            <w:vAlign w:val="top"/>
          </w:tcPr>
          <w:p>
            <w:r/>
            <w:r>
              <w:rPr>
                <w:b w:val="0"/>
                <w:sz w:val="17"/>
              </w:rPr>
              <w:t>6. Verify</w:t>
            </w:r>
          </w:p>
        </w:tc>
        <w:tc>
          <w:tcPr>
            <w:tcW w:type="dxa" w:w="3552"/>
            <w:vAlign w:val="top"/>
          </w:tcPr>
          <w:p>
            <w:r/>
            <w:r>
              <w:rPr>
                <w:b w:val="0"/>
                <w:sz w:val="17"/>
              </w:rPr>
              <w:t>docker compose ps, health endpoints, verify.sh when services are running.</w:t>
            </w:r>
          </w:p>
        </w:tc>
        <w:tc>
          <w:tcPr>
            <w:tcW w:type="dxa" w:w="3552"/>
            <w:vAlign w:val="top"/>
          </w:tcPr>
          <w:p>
            <w:r/>
            <w:r>
              <w:rPr>
                <w:b w:val="0"/>
                <w:sz w:val="17"/>
              </w:rPr>
              <w:t>Operator confirms live readiness before demo/handover.</w:t>
            </w:r>
          </w:p>
        </w:tc>
      </w:tr>
    </w:tbl>
    <w:p/>
    <w:p>
      <w:r>
        <w:t>Following this sequence keeps installation reproducible and gives operators clear checkpoints before exposing the system to users.</w:t>
      </w:r>
    </w:p>
    <w:p>
      <w:pPr>
        <w:pStyle w:val="Heading1"/>
      </w:pPr>
      <w:r>
        <w:t>Startup, Shutdown, And Clean Reinstall Procedures</w:t>
      </w:r>
    </w:p>
    <w:p>
      <w:r>
        <w:t>Supported startup paths are ./setup.sh or manual Docker Compose commands after .env is prepared. Supported stop/start procedures use docker compose down/up or docker compose restart without deleting volumes. Destructive volume deletion is not part of routine operations.</w:t>
      </w:r>
    </w:p>
    <w:p>
      <w:r>
        <w:t>This procedure table separates routine operations from destructive reinstall actions.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Procedure</w:t>
            </w:r>
          </w:p>
        </w:tc>
        <w:tc>
          <w:tcPr>
            <w:tcW w:type="dxa" w:w="3552"/>
            <w:vAlign w:val="top"/>
            <w:shd w:fill="D9EAF7"/>
          </w:tcPr>
          <w:p>
            <w:r/>
            <w:r>
              <w:rPr>
                <w:b/>
                <w:sz w:val="17"/>
              </w:rPr>
              <w:t>Command or source</w:t>
            </w:r>
          </w:p>
        </w:tc>
        <w:tc>
          <w:tcPr>
            <w:tcW w:type="dxa" w:w="3552"/>
            <w:vAlign w:val="top"/>
            <w:shd w:fill="D9EAF7"/>
          </w:tcPr>
          <w:p>
            <w:r/>
            <w:r>
              <w:rPr>
                <w:b/>
                <w:sz w:val="17"/>
              </w:rPr>
              <w:t>Notes</w:t>
            </w:r>
          </w:p>
        </w:tc>
      </w:tr>
      <w:tr>
        <w:trPr>
          <w:cantSplit/>
        </w:trPr>
        <w:tc>
          <w:tcPr>
            <w:tcW w:type="dxa" w:w="3552"/>
            <w:vAlign w:val="top"/>
          </w:tcPr>
          <w:p>
            <w:r/>
            <w:r>
              <w:rPr>
                <w:b w:val="0"/>
                <w:sz w:val="17"/>
              </w:rPr>
              <w:t>Guided setup</w:t>
            </w:r>
          </w:p>
        </w:tc>
        <w:tc>
          <w:tcPr>
            <w:tcW w:type="dxa" w:w="3552"/>
            <w:vAlign w:val="top"/>
          </w:tcPr>
          <w:p>
            <w:r/>
            <w:r>
              <w:rPr>
                <w:b w:val="0"/>
                <w:sz w:val="17"/>
              </w:rPr>
              <w:t>./setup.sh [--server-ip HOST] [--no-build] [--no-start]</w:t>
            </w:r>
          </w:p>
        </w:tc>
        <w:tc>
          <w:tcPr>
            <w:tcW w:type="dxa" w:w="3552"/>
            <w:vAlign w:val="top"/>
          </w:tcPr>
          <w:p>
            <w:r/>
            <w:r>
              <w:rPr>
                <w:b w:val="0"/>
                <w:sz w:val="17"/>
              </w:rPr>
              <w:t>Creates/updates .env, validates compose, builds and starts by default.</w:t>
            </w:r>
          </w:p>
        </w:tc>
      </w:tr>
      <w:tr>
        <w:trPr>
          <w:cantSplit/>
        </w:trPr>
        <w:tc>
          <w:tcPr>
            <w:tcW w:type="dxa" w:w="3552"/>
            <w:vAlign w:val="top"/>
          </w:tcPr>
          <w:p>
            <w:r/>
            <w:r>
              <w:rPr>
                <w:b w:val="0"/>
                <w:sz w:val="17"/>
              </w:rPr>
              <w:t>Manual validation</w:t>
            </w:r>
          </w:p>
        </w:tc>
        <w:tc>
          <w:tcPr>
            <w:tcW w:type="dxa" w:w="3552"/>
            <w:vAlign w:val="top"/>
          </w:tcPr>
          <w:p>
            <w:r/>
            <w:r>
              <w:rPr>
                <w:b w:val="0"/>
                <w:sz w:val="17"/>
              </w:rPr>
              <w:t>docker compose config</w:t>
            </w:r>
          </w:p>
        </w:tc>
        <w:tc>
          <w:tcPr>
            <w:tcW w:type="dxa" w:w="3552"/>
            <w:vAlign w:val="top"/>
          </w:tcPr>
          <w:p>
            <w:r/>
            <w:r>
              <w:rPr>
                <w:b w:val="0"/>
                <w:sz w:val="17"/>
              </w:rPr>
              <w:t>Base validation succeeded for the current delivery state.</w:t>
            </w:r>
          </w:p>
        </w:tc>
      </w:tr>
      <w:tr>
        <w:trPr>
          <w:cantSplit/>
        </w:trPr>
        <w:tc>
          <w:tcPr>
            <w:tcW w:type="dxa" w:w="3552"/>
            <w:vAlign w:val="top"/>
          </w:tcPr>
          <w:p>
            <w:r/>
            <w:r>
              <w:rPr>
                <w:b w:val="0"/>
                <w:sz w:val="17"/>
              </w:rPr>
              <w:t>Manual start</w:t>
            </w:r>
          </w:p>
        </w:tc>
        <w:tc>
          <w:tcPr>
            <w:tcW w:type="dxa" w:w="3552"/>
            <w:vAlign w:val="top"/>
          </w:tcPr>
          <w:p>
            <w:r/>
            <w:r>
              <w:rPr>
                <w:b w:val="0"/>
                <w:sz w:val="17"/>
              </w:rPr>
              <w:t>docker compose build; docker compose up -d</w:t>
            </w:r>
          </w:p>
        </w:tc>
        <w:tc>
          <w:tcPr>
            <w:tcW w:type="dxa" w:w="3552"/>
            <w:vAlign w:val="top"/>
          </w:tcPr>
          <w:p>
            <w:r/>
            <w:r>
              <w:rPr>
                <w:b w:val="0"/>
                <w:sz w:val="17"/>
              </w:rPr>
              <w:t>Use after .env has no placeholders.</w:t>
            </w:r>
          </w:p>
        </w:tc>
      </w:tr>
      <w:tr>
        <w:trPr>
          <w:cantSplit/>
        </w:trPr>
        <w:tc>
          <w:tcPr>
            <w:tcW w:type="dxa" w:w="3552"/>
            <w:vAlign w:val="top"/>
          </w:tcPr>
          <w:p>
            <w:r/>
            <w:r>
              <w:rPr>
                <w:b w:val="0"/>
                <w:sz w:val="17"/>
              </w:rPr>
              <w:t>Restart service</w:t>
            </w:r>
          </w:p>
        </w:tc>
        <w:tc>
          <w:tcPr>
            <w:tcW w:type="dxa" w:w="3552"/>
            <w:vAlign w:val="top"/>
          </w:tcPr>
          <w:p>
            <w:r/>
            <w:r>
              <w:rPr>
                <w:b w:val="0"/>
                <w:sz w:val="17"/>
              </w:rPr>
              <w:t>docker compose restart analytics</w:t>
            </w:r>
          </w:p>
        </w:tc>
        <w:tc>
          <w:tcPr>
            <w:tcW w:type="dxa" w:w="3552"/>
            <w:vAlign w:val="top"/>
          </w:tcPr>
          <w:p>
            <w:r/>
            <w:r>
              <w:rPr>
                <w:b w:val="0"/>
                <w:sz w:val="17"/>
              </w:rPr>
              <w:t>Use service-specific logs to confirm recovery.</w:t>
            </w:r>
          </w:p>
        </w:tc>
      </w:tr>
      <w:tr>
        <w:trPr>
          <w:cantSplit/>
        </w:trPr>
        <w:tc>
          <w:tcPr>
            <w:tcW w:type="dxa" w:w="3552"/>
            <w:vAlign w:val="top"/>
          </w:tcPr>
          <w:p>
            <w:pPr>
              <w:keepNext/>
            </w:pPr>
            <w:r/>
            <w:r>
              <w:rPr>
                <w:b w:val="0"/>
                <w:sz w:val="17"/>
              </w:rPr>
              <w:t>Stop without deleting data</w:t>
            </w:r>
          </w:p>
        </w:tc>
        <w:tc>
          <w:tcPr>
            <w:tcW w:type="dxa" w:w="3552"/>
            <w:vAlign w:val="top"/>
          </w:tcPr>
          <w:p>
            <w:pPr>
              <w:keepNext/>
            </w:pPr>
            <w:r/>
            <w:r>
              <w:rPr>
                <w:b w:val="0"/>
                <w:sz w:val="17"/>
              </w:rPr>
              <w:t>docker compose down</w:t>
            </w:r>
          </w:p>
        </w:tc>
        <w:tc>
          <w:tcPr>
            <w:tcW w:type="dxa" w:w="3552"/>
            <w:vAlign w:val="top"/>
          </w:tcPr>
          <w:p>
            <w:pPr>
              <w:keepNext/>
            </w:pPr>
            <w:r/>
            <w:r>
              <w:rPr>
                <w:b w:val="0"/>
                <w:sz w:val="17"/>
              </w:rPr>
              <w:t>Keeps persistent volumes.</w:t>
            </w:r>
          </w:p>
        </w:tc>
      </w:tr>
      <w:tr>
        <w:trPr>
          <w:cantSplit/>
        </w:trPr>
        <w:tc>
          <w:tcPr>
            <w:tcW w:type="dxa" w:w="3552"/>
            <w:vAlign w:val="top"/>
          </w:tcPr>
          <w:p>
            <w:r/>
            <w:r>
              <w:rPr>
                <w:b w:val="0"/>
                <w:sz w:val="17"/>
              </w:rPr>
              <w:t>Clean reinstall</w:t>
            </w:r>
          </w:p>
        </w:tc>
        <w:tc>
          <w:tcPr>
            <w:tcW w:type="dxa" w:w="3552"/>
            <w:vAlign w:val="top"/>
          </w:tcPr>
          <w:p>
            <w:r/>
            <w:r>
              <w:rPr>
                <w:b w:val="0"/>
                <w:sz w:val="17"/>
              </w:rPr>
              <w:t>Only when data removal is intended; do not use down -v casually</w:t>
            </w:r>
          </w:p>
        </w:tc>
        <w:tc>
          <w:tcPr>
            <w:tcW w:type="dxa" w:w="3552"/>
            <w:vAlign w:val="top"/>
          </w:tcPr>
          <w:p>
            <w:r/>
            <w:r>
              <w:rPr>
                <w:b w:val="0"/>
                <w:sz w:val="17"/>
              </w:rPr>
              <w:t>Back up data first.</w:t>
            </w:r>
          </w:p>
        </w:tc>
      </w:tr>
    </w:tbl>
    <w:p/>
    <w:p>
      <w:r>
        <w:t>The procedure split protects persistent data. Routine restarts should preserve volumes, while clean reinstalls require deliberate data-removal decisions.</w:t>
      </w:r>
    </w:p>
    <w:p>
      <w:pPr>
        <w:pStyle w:val="Heading1"/>
      </w:pPr>
      <w:r>
        <w:t>Verification Scripts And Health Checks</w:t>
      </w:r>
    </w:p>
    <w:p>
      <w:r>
        <w:t>The repository provides verification scripts. These scripts are source material for intended operational checks, but their success depends on a running stack and reachable services. In this documentation run, compose validation was executed; live health checks were not implied.</w:t>
      </w:r>
    </w:p>
    <w:p>
      <w:r>
        <w:t>The verification table clarifies which checks are static validation and which require live services.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Check</w:t>
            </w:r>
          </w:p>
        </w:tc>
        <w:tc>
          <w:tcPr>
            <w:tcW w:type="dxa" w:w="3552"/>
            <w:vAlign w:val="top"/>
            <w:shd w:fill="D9EAF7"/>
          </w:tcPr>
          <w:p>
            <w:r/>
            <w:r>
              <w:rPr>
                <w:b/>
                <w:sz w:val="17"/>
              </w:rPr>
              <w:t>Purpose</w:t>
            </w:r>
          </w:p>
        </w:tc>
        <w:tc>
          <w:tcPr>
            <w:tcW w:type="dxa" w:w="3552"/>
            <w:vAlign w:val="top"/>
            <w:shd w:fill="D9EAF7"/>
          </w:tcPr>
          <w:p>
            <w:r/>
            <w:r>
              <w:rPr>
                <w:b/>
                <w:sz w:val="17"/>
              </w:rPr>
              <w:t>Source/status</w:t>
            </w:r>
          </w:p>
        </w:tc>
      </w:tr>
      <w:tr>
        <w:trPr>
          <w:cantSplit/>
        </w:trPr>
        <w:tc>
          <w:tcPr>
            <w:tcW w:type="dxa" w:w="3552"/>
            <w:vAlign w:val="top"/>
          </w:tcPr>
          <w:p>
            <w:r/>
            <w:r>
              <w:rPr>
                <w:b w:val="0"/>
                <w:sz w:val="17"/>
              </w:rPr>
              <w:t>docker compose config --quiet</w:t>
            </w:r>
          </w:p>
        </w:tc>
        <w:tc>
          <w:tcPr>
            <w:tcW w:type="dxa" w:w="3552"/>
            <w:vAlign w:val="top"/>
          </w:tcPr>
          <w:p>
            <w:r/>
            <w:r>
              <w:rPr>
                <w:b w:val="0"/>
                <w:sz w:val="17"/>
              </w:rPr>
              <w:t>Validate Compose syntax/resolution</w:t>
            </w:r>
          </w:p>
        </w:tc>
        <w:tc>
          <w:tcPr>
            <w:tcW w:type="dxa" w:w="3552"/>
            <w:vAlign w:val="top"/>
          </w:tcPr>
          <w:p>
            <w:r/>
            <w:r>
              <w:rPr>
                <w:b w:val="0"/>
                <w:sz w:val="17"/>
              </w:rPr>
              <w:t>Ran successfully for base HumanEnerDIA stack.</w:t>
            </w:r>
          </w:p>
        </w:tc>
      </w:tr>
      <w:tr>
        <w:trPr>
          <w:cantSplit/>
        </w:trPr>
        <w:tc>
          <w:tcPr>
            <w:tcW w:type="dxa" w:w="3552"/>
            <w:vAlign w:val="top"/>
          </w:tcPr>
          <w:p>
            <w:r/>
            <w:r>
              <w:rPr>
                <w:b w:val="0"/>
                <w:sz w:val="17"/>
              </w:rPr>
              <w:t>OVOS-EnMS repository docker-compose.yml</w:t>
            </w:r>
          </w:p>
        </w:tc>
        <w:tc>
          <w:tcPr>
            <w:tcW w:type="dxa" w:w="3552"/>
            <w:vAlign w:val="top"/>
          </w:tcPr>
          <w:p>
            <w:r/>
            <w:r>
              <w:rPr>
                <w:b w:val="0"/>
                <w:sz w:val="17"/>
              </w:rPr>
              <w:t>Validate OVOS assistant Compose configuration separately</w:t>
            </w:r>
          </w:p>
        </w:tc>
        <w:tc>
          <w:tcPr>
            <w:tcW w:type="dxa" w:w="3552"/>
            <w:vAlign w:val="top"/>
          </w:tcPr>
          <w:p>
            <w:r/>
            <w:r>
              <w:rPr>
                <w:b w:val="0"/>
                <w:sz w:val="17"/>
              </w:rPr>
              <w:t>Ran successfully during documentation review.</w:t>
            </w:r>
          </w:p>
        </w:tc>
      </w:tr>
      <w:tr>
        <w:trPr>
          <w:cantSplit/>
        </w:trPr>
        <w:tc>
          <w:tcPr>
            <w:tcW w:type="dxa" w:w="3552"/>
            <w:vAlign w:val="top"/>
          </w:tcPr>
          <w:p>
            <w:r/>
            <w:r>
              <w:rPr>
                <w:b w:val="0"/>
                <w:sz w:val="17"/>
              </w:rPr>
              <w:t>verify.sh</w:t>
            </w:r>
          </w:p>
        </w:tc>
        <w:tc>
          <w:tcPr>
            <w:tcW w:type="dxa" w:w="3552"/>
            <w:vAlign w:val="top"/>
          </w:tcPr>
          <w:p>
            <w:r/>
            <w:r>
              <w:rPr>
                <w:b w:val="0"/>
                <w:sz w:val="17"/>
              </w:rPr>
              <w:t>Checks Compose config and live Nginx, analytics, and optional OVOS endpoints when a stack is running</w:t>
            </w:r>
          </w:p>
        </w:tc>
        <w:tc>
          <w:tcPr>
            <w:tcW w:type="dxa" w:w="3552"/>
            <w:vAlign w:val="top"/>
          </w:tcPr>
          <w:p>
            <w:r/>
            <w:r>
              <w:rPr>
                <w:b w:val="0"/>
                <w:sz w:val="17"/>
              </w:rPr>
              <w:t>Script exists in the production repository; live checks require a running target deployment.</w:t>
            </w:r>
          </w:p>
        </w:tc>
      </w:tr>
      <w:tr>
        <w:trPr>
          <w:cantSplit/>
        </w:trPr>
        <w:tc>
          <w:tcPr>
            <w:tcW w:type="dxa" w:w="3552"/>
            <w:vAlign w:val="top"/>
          </w:tcPr>
          <w:p>
            <w:pPr>
              <w:keepNext/>
            </w:pPr>
            <w:r/>
            <w:r>
              <w:rPr>
                <w:b w:val="0"/>
                <w:sz w:val="17"/>
              </w:rPr>
              <w:t>Chatbot/Rasa live checks</w:t>
            </w:r>
          </w:p>
        </w:tc>
        <w:tc>
          <w:tcPr>
            <w:tcW w:type="dxa" w:w="3552"/>
            <w:vAlign w:val="top"/>
          </w:tcPr>
          <w:p>
            <w:pPr>
              <w:keepNext/>
            </w:pPr>
            <w:r/>
            <w:r>
              <w:rPr>
                <w:b w:val="0"/>
                <w:sz w:val="17"/>
              </w:rPr>
              <w:t>Use Compose healthchecks, service logs, and chatbot/Rasa endpoints when services are running</w:t>
            </w:r>
          </w:p>
        </w:tc>
        <w:tc>
          <w:tcPr>
            <w:tcW w:type="dxa" w:w="3552"/>
            <w:vAlign w:val="top"/>
          </w:tcPr>
          <w:p>
            <w:pPr>
              <w:keepNext/>
            </w:pPr>
            <w:r/>
            <w:r>
              <w:rPr>
                <w:b w:val="0"/>
                <w:sz w:val="17"/>
              </w:rPr>
              <w:t>No production-tracked standalone chatbot verification script is cited.</w:t>
            </w:r>
          </w:p>
        </w:tc>
      </w:tr>
      <w:tr>
        <w:trPr>
          <w:cantSplit/>
        </w:trPr>
        <w:tc>
          <w:tcPr>
            <w:tcW w:type="dxa" w:w="3552"/>
            <w:vAlign w:val="top"/>
          </w:tcPr>
          <w:p>
            <w:r/>
            <w:r>
              <w:rPr>
                <w:b w:val="0"/>
                <w:sz w:val="17"/>
              </w:rPr>
              <w:t>Service healthchecks</w:t>
            </w:r>
          </w:p>
        </w:tc>
        <w:tc>
          <w:tcPr>
            <w:tcW w:type="dxa" w:w="3552"/>
            <w:vAlign w:val="top"/>
          </w:tcPr>
          <w:p>
            <w:r/>
            <w:r>
              <w:rPr>
                <w:b w:val="0"/>
                <w:sz w:val="17"/>
              </w:rPr>
              <w:t>Container-level checks for all production Compose services</w:t>
            </w:r>
          </w:p>
        </w:tc>
        <w:tc>
          <w:tcPr>
            <w:tcW w:type="dxa" w:w="3552"/>
            <w:vAlign w:val="top"/>
          </w:tcPr>
          <w:p>
            <w:r/>
            <w:r>
              <w:rPr>
                <w:b w:val="0"/>
                <w:sz w:val="17"/>
              </w:rPr>
              <w:t>Configured in docker-compose.yml.</w:t>
            </w:r>
          </w:p>
        </w:tc>
      </w:tr>
    </w:tbl>
    <w:p/>
    <w:p>
      <w:r>
        <w:t>The verification model separates configuration validity from live service readiness. Both are needed for a credible deployment handover.</w:t>
      </w:r>
    </w:p>
    <w:p>
      <w:pPr>
        <w:pStyle w:val="Heading1"/>
      </w:pPr>
      <w:r>
        <w:t>Healthcheck Details</w:t>
      </w:r>
    </w:p>
    <w:p>
      <w:r>
        <w:t>Compose healthchecks are present for the production service inventory. A healthy container does not prove business data quality, but it is the first operational signal for deployment readiness.</w:t>
      </w:r>
    </w:p>
    <w:p>
      <w:r>
        <w:t>The healthcheck table explains what each container health signal proves and what it does not prove.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Service</w:t>
            </w:r>
          </w:p>
        </w:tc>
        <w:tc>
          <w:tcPr>
            <w:tcW w:type="dxa" w:w="3552"/>
            <w:vAlign w:val="top"/>
            <w:shd w:fill="D9EAF7"/>
          </w:tcPr>
          <w:p>
            <w:r/>
            <w:r>
              <w:rPr>
                <w:b/>
                <w:sz w:val="17"/>
              </w:rPr>
              <w:t>Healthcheck focus</w:t>
            </w:r>
          </w:p>
        </w:tc>
        <w:tc>
          <w:tcPr>
            <w:tcW w:type="dxa" w:w="3552"/>
            <w:vAlign w:val="top"/>
            <w:shd w:fill="D9EAF7"/>
          </w:tcPr>
          <w:p>
            <w:r/>
            <w:r>
              <w:rPr>
                <w:b/>
                <w:sz w:val="17"/>
              </w:rPr>
              <w:t>Interpretation</w:t>
            </w:r>
          </w:p>
        </w:tc>
      </w:tr>
      <w:tr>
        <w:trPr>
          <w:cantSplit/>
        </w:trPr>
        <w:tc>
          <w:tcPr>
            <w:tcW w:type="dxa" w:w="3552"/>
            <w:vAlign w:val="top"/>
          </w:tcPr>
          <w:p>
            <w:r/>
            <w:r>
              <w:rPr>
                <w:b w:val="0"/>
                <w:sz w:val="17"/>
              </w:rPr>
              <w:t>nginx</w:t>
            </w:r>
          </w:p>
        </w:tc>
        <w:tc>
          <w:tcPr>
            <w:tcW w:type="dxa" w:w="3552"/>
            <w:vAlign w:val="top"/>
          </w:tcPr>
          <w:p>
            <w:r/>
            <w:r>
              <w:rPr>
                <w:b w:val="0"/>
                <w:sz w:val="17"/>
              </w:rPr>
              <w:t>wget/curl style check to /health</w:t>
            </w:r>
          </w:p>
        </w:tc>
        <w:tc>
          <w:tcPr>
            <w:tcW w:type="dxa" w:w="3552"/>
            <w:vAlign w:val="top"/>
          </w:tcPr>
          <w:p>
            <w:r/>
            <w:r>
              <w:rPr>
                <w:b w:val="0"/>
                <w:sz w:val="17"/>
              </w:rPr>
              <w:t>Confirms gateway process responds, not full upstream health.</w:t>
            </w:r>
          </w:p>
        </w:tc>
      </w:tr>
      <w:tr>
        <w:trPr>
          <w:cantSplit/>
        </w:trPr>
        <w:tc>
          <w:tcPr>
            <w:tcW w:type="dxa" w:w="3552"/>
            <w:vAlign w:val="top"/>
          </w:tcPr>
          <w:p>
            <w:r/>
            <w:r>
              <w:rPr>
                <w:b w:val="0"/>
                <w:sz w:val="17"/>
              </w:rPr>
              <w:t>postgres</w:t>
            </w:r>
          </w:p>
        </w:tc>
        <w:tc>
          <w:tcPr>
            <w:tcW w:type="dxa" w:w="3552"/>
            <w:vAlign w:val="top"/>
          </w:tcPr>
          <w:p>
            <w:r/>
            <w:r>
              <w:rPr>
                <w:b w:val="0"/>
                <w:sz w:val="17"/>
              </w:rPr>
              <w:t>pg_isready</w:t>
            </w:r>
          </w:p>
        </w:tc>
        <w:tc>
          <w:tcPr>
            <w:tcW w:type="dxa" w:w="3552"/>
            <w:vAlign w:val="top"/>
          </w:tcPr>
          <w:p>
            <w:r/>
            <w:r>
              <w:rPr>
                <w:b w:val="0"/>
                <w:sz w:val="17"/>
              </w:rPr>
              <w:t>Confirms database accepts connections.</w:t>
            </w:r>
          </w:p>
        </w:tc>
      </w:tr>
      <w:tr>
        <w:trPr>
          <w:cantSplit/>
        </w:trPr>
        <w:tc>
          <w:tcPr>
            <w:tcW w:type="dxa" w:w="3552"/>
            <w:vAlign w:val="top"/>
          </w:tcPr>
          <w:p>
            <w:r/>
            <w:r>
              <w:rPr>
                <w:b w:val="0"/>
                <w:sz w:val="17"/>
              </w:rPr>
              <w:t>mqtt</w:t>
            </w:r>
          </w:p>
        </w:tc>
        <w:tc>
          <w:tcPr>
            <w:tcW w:type="dxa" w:w="3552"/>
            <w:vAlign w:val="top"/>
          </w:tcPr>
          <w:p>
            <w:r/>
            <w:r>
              <w:rPr>
                <w:b w:val="0"/>
                <w:sz w:val="17"/>
              </w:rPr>
              <w:t>mosquitto_pub/sub or broker health command</w:t>
            </w:r>
          </w:p>
        </w:tc>
        <w:tc>
          <w:tcPr>
            <w:tcW w:type="dxa" w:w="3552"/>
            <w:vAlign w:val="top"/>
          </w:tcPr>
          <w:p>
            <w:r/>
            <w:r>
              <w:rPr>
                <w:b w:val="0"/>
                <w:sz w:val="17"/>
              </w:rPr>
              <w:t>Confirms broker is reachable with configured credentials.</w:t>
            </w:r>
          </w:p>
        </w:tc>
      </w:tr>
      <w:tr>
        <w:trPr>
          <w:cantSplit/>
        </w:trPr>
        <w:tc>
          <w:tcPr>
            <w:tcW w:type="dxa" w:w="3552"/>
            <w:vAlign w:val="top"/>
          </w:tcPr>
          <w:p>
            <w:r/>
            <w:r>
              <w:rPr>
                <w:b w:val="0"/>
                <w:sz w:val="17"/>
              </w:rPr>
              <w:t>redis</w:t>
            </w:r>
          </w:p>
        </w:tc>
        <w:tc>
          <w:tcPr>
            <w:tcW w:type="dxa" w:w="3552"/>
            <w:vAlign w:val="top"/>
          </w:tcPr>
          <w:p>
            <w:r/>
            <w:r>
              <w:rPr>
                <w:b w:val="0"/>
                <w:sz w:val="17"/>
              </w:rPr>
              <w:t>redis-cli ping with password</w:t>
            </w:r>
          </w:p>
        </w:tc>
        <w:tc>
          <w:tcPr>
            <w:tcW w:type="dxa" w:w="3552"/>
            <w:vAlign w:val="top"/>
          </w:tcPr>
          <w:p>
            <w:r/>
            <w:r>
              <w:rPr>
                <w:b w:val="0"/>
                <w:sz w:val="17"/>
              </w:rPr>
              <w:t>Confirms Redis responds.</w:t>
            </w:r>
          </w:p>
        </w:tc>
      </w:tr>
      <w:tr>
        <w:trPr>
          <w:cantSplit/>
        </w:trPr>
        <w:tc>
          <w:tcPr>
            <w:tcW w:type="dxa" w:w="3552"/>
            <w:vAlign w:val="top"/>
          </w:tcPr>
          <w:p>
            <w:r/>
            <w:r>
              <w:rPr>
                <w:b w:val="0"/>
                <w:sz w:val="17"/>
              </w:rPr>
              <w:t>simulator</w:t>
            </w:r>
          </w:p>
        </w:tc>
        <w:tc>
          <w:tcPr>
            <w:tcW w:type="dxa" w:w="3552"/>
            <w:vAlign w:val="top"/>
          </w:tcPr>
          <w:p>
            <w:r/>
            <w:r>
              <w:rPr>
                <w:b w:val="0"/>
                <w:sz w:val="17"/>
              </w:rPr>
              <w:t>HTTP /health</w:t>
            </w:r>
          </w:p>
        </w:tc>
        <w:tc>
          <w:tcPr>
            <w:tcW w:type="dxa" w:w="3552"/>
            <w:vAlign w:val="top"/>
          </w:tcPr>
          <w:p>
            <w:r/>
            <w:r>
              <w:rPr>
                <w:b w:val="0"/>
                <w:sz w:val="17"/>
              </w:rPr>
              <w:t>Confirms simulator API process health.</w:t>
            </w:r>
          </w:p>
        </w:tc>
      </w:tr>
      <w:tr>
        <w:trPr>
          <w:cantSplit/>
        </w:trPr>
        <w:tc>
          <w:tcPr>
            <w:tcW w:type="dxa" w:w="3552"/>
            <w:vAlign w:val="top"/>
          </w:tcPr>
          <w:p>
            <w:r/>
            <w:r>
              <w:rPr>
                <w:b w:val="0"/>
                <w:sz w:val="17"/>
              </w:rPr>
              <w:t>nodered</w:t>
            </w:r>
          </w:p>
        </w:tc>
        <w:tc>
          <w:tcPr>
            <w:tcW w:type="dxa" w:w="3552"/>
            <w:vAlign w:val="top"/>
          </w:tcPr>
          <w:p>
            <w:r/>
            <w:r>
              <w:rPr>
                <w:b w:val="0"/>
                <w:sz w:val="17"/>
              </w:rPr>
              <w:t>HTTP admin/API health check</w:t>
            </w:r>
          </w:p>
        </w:tc>
        <w:tc>
          <w:tcPr>
            <w:tcW w:type="dxa" w:w="3552"/>
            <w:vAlign w:val="top"/>
          </w:tcPr>
          <w:p>
            <w:r/>
            <w:r>
              <w:rPr>
                <w:b w:val="0"/>
                <w:sz w:val="17"/>
              </w:rPr>
              <w:t>Confirms Node-RED runtime responds.</w:t>
            </w:r>
          </w:p>
        </w:tc>
      </w:tr>
      <w:tr>
        <w:trPr>
          <w:cantSplit/>
        </w:trPr>
        <w:tc>
          <w:tcPr>
            <w:tcW w:type="dxa" w:w="3552"/>
            <w:vAlign w:val="top"/>
          </w:tcPr>
          <w:p>
            <w:r/>
            <w:r>
              <w:rPr>
                <w:b w:val="0"/>
                <w:sz w:val="17"/>
              </w:rPr>
              <w:t>grafana</w:t>
            </w:r>
          </w:p>
        </w:tc>
        <w:tc>
          <w:tcPr>
            <w:tcW w:type="dxa" w:w="3552"/>
            <w:vAlign w:val="top"/>
          </w:tcPr>
          <w:p>
            <w:r/>
            <w:r>
              <w:rPr>
                <w:b w:val="0"/>
                <w:sz w:val="17"/>
              </w:rPr>
              <w:t>HTTP /api/health</w:t>
            </w:r>
          </w:p>
        </w:tc>
        <w:tc>
          <w:tcPr>
            <w:tcW w:type="dxa" w:w="3552"/>
            <w:vAlign w:val="top"/>
          </w:tcPr>
          <w:p>
            <w:r/>
            <w:r>
              <w:rPr>
                <w:b w:val="0"/>
                <w:sz w:val="17"/>
              </w:rPr>
              <w:t>Confirms Grafana process health.</w:t>
            </w:r>
          </w:p>
        </w:tc>
      </w:tr>
      <w:tr>
        <w:trPr>
          <w:cantSplit/>
        </w:trPr>
        <w:tc>
          <w:tcPr>
            <w:tcW w:type="dxa" w:w="3552"/>
            <w:vAlign w:val="top"/>
          </w:tcPr>
          <w:p>
            <w:r/>
            <w:r>
              <w:rPr>
                <w:b w:val="0"/>
                <w:sz w:val="17"/>
              </w:rPr>
              <w:t>analytics</w:t>
            </w:r>
          </w:p>
        </w:tc>
        <w:tc>
          <w:tcPr>
            <w:tcW w:type="dxa" w:w="3552"/>
            <w:vAlign w:val="top"/>
          </w:tcPr>
          <w:p>
            <w:r/>
            <w:r>
              <w:rPr>
                <w:b w:val="0"/>
                <w:sz w:val="17"/>
              </w:rPr>
              <w:t>HTTP /api/v1/health</w:t>
            </w:r>
          </w:p>
        </w:tc>
        <w:tc>
          <w:tcPr>
            <w:tcW w:type="dxa" w:w="3552"/>
            <w:vAlign w:val="top"/>
          </w:tcPr>
          <w:p>
            <w:r/>
            <w:r>
              <w:rPr>
                <w:b w:val="0"/>
                <w:sz w:val="17"/>
              </w:rPr>
              <w:t>Confirms analytics service and database checks exposed by route.</w:t>
            </w:r>
          </w:p>
        </w:tc>
      </w:tr>
      <w:tr>
        <w:trPr>
          <w:cantSplit/>
        </w:trPr>
        <w:tc>
          <w:tcPr>
            <w:tcW w:type="dxa" w:w="3552"/>
            <w:vAlign w:val="top"/>
          </w:tcPr>
          <w:p>
            <w:pPr>
              <w:keepNext/>
            </w:pPr>
            <w:r/>
            <w:r>
              <w:rPr>
                <w:b w:val="0"/>
                <w:sz w:val="17"/>
              </w:rPr>
              <w:t>auth-service</w:t>
            </w:r>
          </w:p>
        </w:tc>
        <w:tc>
          <w:tcPr>
            <w:tcW w:type="dxa" w:w="3552"/>
            <w:vAlign w:val="top"/>
          </w:tcPr>
          <w:p>
            <w:pPr>
              <w:keepNext/>
            </w:pPr>
            <w:r/>
            <w:r>
              <w:rPr>
                <w:b w:val="0"/>
                <w:sz w:val="17"/>
              </w:rPr>
              <w:t>HTTP /api/auth/health</w:t>
            </w:r>
          </w:p>
        </w:tc>
        <w:tc>
          <w:tcPr>
            <w:tcW w:type="dxa" w:w="3552"/>
            <w:vAlign w:val="top"/>
          </w:tcPr>
          <w:p>
            <w:pPr>
              <w:keepNext/>
            </w:pPr>
            <w:r/>
            <w:r>
              <w:rPr>
                <w:b w:val="0"/>
                <w:sz w:val="17"/>
              </w:rPr>
              <w:t>Confirms Flask auth service responds.</w:t>
            </w:r>
          </w:p>
        </w:tc>
      </w:tr>
      <w:tr>
        <w:trPr>
          <w:cantSplit/>
        </w:trPr>
        <w:tc>
          <w:tcPr>
            <w:tcW w:type="dxa" w:w="3552"/>
            <w:vAlign w:val="top"/>
          </w:tcPr>
          <w:p>
            <w:r/>
            <w:r>
              <w:rPr>
                <w:b w:val="0"/>
                <w:sz w:val="17"/>
              </w:rPr>
              <w:t>rasa/rasa-actions/chatbot</w:t>
            </w:r>
          </w:p>
        </w:tc>
        <w:tc>
          <w:tcPr>
            <w:tcW w:type="dxa" w:w="3552"/>
            <w:vAlign w:val="top"/>
          </w:tcPr>
          <w:p>
            <w:r/>
            <w:r>
              <w:rPr>
                <w:b w:val="0"/>
                <w:sz w:val="17"/>
              </w:rPr>
              <w:t>HTTP health or root checks from Compose healthcheck</w:t>
            </w:r>
          </w:p>
        </w:tc>
        <w:tc>
          <w:tcPr>
            <w:tcW w:type="dxa" w:w="3552"/>
            <w:vAlign w:val="top"/>
          </w:tcPr>
          <w:p>
            <w:r/>
            <w:r>
              <w:rPr>
                <w:b w:val="0"/>
                <w:sz w:val="17"/>
              </w:rPr>
              <w:t>Confirms chatbot components respond.</w:t>
            </w:r>
          </w:p>
        </w:tc>
      </w:tr>
    </w:tbl>
    <w:p/>
    <w:p>
      <w:r>
        <w:t>Healthchecks are early indicators, not full business validation. They should be combined with data freshness, dashboard, API, and workflow checks.</w:t>
      </w:r>
    </w:p>
    <w:p>
      <w:pPr>
        <w:pStyle w:val="Heading1"/>
      </w:pPr>
      <w:r>
        <w:t>Backup And Recovery</w:t>
      </w:r>
    </w:p>
    <w:p>
      <w:r>
        <w:t>The production tree provides persistent volumes and tracked dashboard/flow configuration, but it does not provide a complete universal backup/restore automation. Operators should implement tested backup procedures before production data is at risk.</w:t>
      </w:r>
    </w:p>
    <w:p>
      <w:r>
        <w:t>The backup table identifies the assets that must be protected before upgrades, destructive cleanup, or production use.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Area</w:t>
            </w:r>
          </w:p>
        </w:tc>
        <w:tc>
          <w:tcPr>
            <w:tcW w:type="dxa" w:w="3552"/>
            <w:vAlign w:val="top"/>
            <w:shd w:fill="D9EAF7"/>
          </w:tcPr>
          <w:p>
            <w:r/>
            <w:r>
              <w:rPr>
                <w:b/>
                <w:sz w:val="17"/>
              </w:rPr>
              <w:t>Recommended handling</w:t>
            </w:r>
          </w:p>
        </w:tc>
        <w:tc>
          <w:tcPr>
            <w:tcW w:type="dxa" w:w="3552"/>
            <w:vAlign w:val="top"/>
            <w:shd w:fill="D9EAF7"/>
          </w:tcPr>
          <w:p>
            <w:r/>
            <w:r>
              <w:rPr>
                <w:b/>
                <w:sz w:val="17"/>
              </w:rPr>
              <w:t>Caution</w:t>
            </w:r>
          </w:p>
        </w:tc>
      </w:tr>
      <w:tr>
        <w:trPr>
          <w:cantSplit/>
        </w:trPr>
        <w:tc>
          <w:tcPr>
            <w:tcW w:type="dxa" w:w="3552"/>
            <w:vAlign w:val="top"/>
          </w:tcPr>
          <w:p>
            <w:r/>
            <w:r>
              <w:rPr>
                <w:b w:val="0"/>
                <w:sz w:val="17"/>
              </w:rPr>
              <w:t>PostgreSQL/TimescaleDB</w:t>
            </w:r>
          </w:p>
        </w:tc>
        <w:tc>
          <w:tcPr>
            <w:tcW w:type="dxa" w:w="3552"/>
            <w:vAlign w:val="top"/>
          </w:tcPr>
          <w:p>
            <w:r/>
            <w:r>
              <w:rPr>
                <w:b w:val="0"/>
                <w:sz w:val="17"/>
              </w:rPr>
              <w:t>Use pg_dump/pg_restore or platform database backups before upgrades and before docker compose down -v.</w:t>
            </w:r>
          </w:p>
        </w:tc>
        <w:tc>
          <w:tcPr>
            <w:tcW w:type="dxa" w:w="3552"/>
            <w:vAlign w:val="top"/>
          </w:tcPr>
          <w:p>
            <w:r/>
            <w:r>
              <w:rPr>
                <w:b w:val="0"/>
                <w:sz w:val="17"/>
              </w:rPr>
              <w:t>No tracked generic database backup script exists in production.</w:t>
            </w:r>
          </w:p>
        </w:tc>
      </w:tr>
      <w:tr>
        <w:trPr>
          <w:cantSplit/>
        </w:trPr>
        <w:tc>
          <w:tcPr>
            <w:tcW w:type="dxa" w:w="3552"/>
            <w:vAlign w:val="top"/>
          </w:tcPr>
          <w:p>
            <w:r/>
            <w:r>
              <w:rPr>
                <w:b w:val="0"/>
                <w:sz w:val="17"/>
              </w:rPr>
              <w:t>Grafana dashboards</w:t>
            </w:r>
          </w:p>
        </w:tc>
        <w:tc>
          <w:tcPr>
            <w:tcW w:type="dxa" w:w="3552"/>
            <w:vAlign w:val="top"/>
          </w:tcPr>
          <w:p>
            <w:r/>
            <w:r>
              <w:rPr>
                <w:b w:val="0"/>
                <w:sz w:val="17"/>
              </w:rPr>
              <w:t>Keep intended dashboard JSON under grafana/dashboards and provisioning under grafana/provisioning.</w:t>
            </w:r>
          </w:p>
        </w:tc>
        <w:tc>
          <w:tcPr>
            <w:tcW w:type="dxa" w:w="3552"/>
            <w:vAlign w:val="top"/>
          </w:tcPr>
          <w:p>
            <w:r/>
            <w:r>
              <w:rPr>
                <w:b w:val="0"/>
                <w:sz w:val="17"/>
              </w:rPr>
              <w:t>Back up runtime edits before replacing Grafana volumes.</w:t>
            </w:r>
          </w:p>
        </w:tc>
      </w:tr>
      <w:tr>
        <w:trPr>
          <w:cantSplit/>
        </w:trPr>
        <w:tc>
          <w:tcPr>
            <w:tcW w:type="dxa" w:w="3552"/>
            <w:vAlign w:val="top"/>
          </w:tcPr>
          <w:p>
            <w:r/>
            <w:r>
              <w:rPr>
                <w:b w:val="0"/>
                <w:sz w:val="17"/>
              </w:rPr>
              <w:t>Node-RED flows</w:t>
            </w:r>
          </w:p>
        </w:tc>
        <w:tc>
          <w:tcPr>
            <w:tcW w:type="dxa" w:w="3552"/>
            <w:vAlign w:val="top"/>
          </w:tcPr>
          <w:p>
            <w:r/>
            <w:r>
              <w:rPr>
                <w:b w:val="0"/>
                <w:sz w:val="17"/>
              </w:rPr>
              <w:t>nodered/data/flows.json is tracked; credential-bearing runtime files should not be published.</w:t>
            </w:r>
          </w:p>
        </w:tc>
        <w:tc>
          <w:tcPr>
            <w:tcW w:type="dxa" w:w="3552"/>
            <w:vAlign w:val="top"/>
          </w:tcPr>
          <w:p>
            <w:r/>
            <w:r>
              <w:rPr>
                <w:b w:val="0"/>
                <w:sz w:val="17"/>
              </w:rPr>
              <w:t>Credential files are excluded from documentation.</w:t>
            </w:r>
          </w:p>
        </w:tc>
      </w:tr>
      <w:tr>
        <w:trPr>
          <w:cantSplit/>
        </w:trPr>
        <w:tc>
          <w:tcPr>
            <w:tcW w:type="dxa" w:w="3552"/>
            <w:vAlign w:val="top"/>
          </w:tcPr>
          <w:p>
            <w:pPr>
              <w:keepNext/>
            </w:pPr>
            <w:r/>
            <w:r>
              <w:rPr>
                <w:b w:val="0"/>
                <w:sz w:val="17"/>
              </w:rPr>
              <w:t>Docker volumes</w:t>
            </w:r>
          </w:p>
        </w:tc>
        <w:tc>
          <w:tcPr>
            <w:tcW w:type="dxa" w:w="3552"/>
            <w:vAlign w:val="top"/>
          </w:tcPr>
          <w:p>
            <w:pPr>
              <w:keepNext/>
            </w:pPr>
            <w:r/>
            <w:r>
              <w:rPr>
                <w:b w:val="0"/>
                <w:sz w:val="17"/>
              </w:rPr>
              <w:t>postgres-data, grafana-data, mqtt data/logs, redis-data, Node-RED data</w:t>
            </w:r>
          </w:p>
        </w:tc>
        <w:tc>
          <w:tcPr>
            <w:tcW w:type="dxa" w:w="3552"/>
            <w:vAlign w:val="top"/>
          </w:tcPr>
          <w:p>
            <w:pPr>
              <w:keepNext/>
            </w:pPr>
            <w:r/>
            <w:r>
              <w:rPr>
                <w:b w:val="0"/>
                <w:sz w:val="17"/>
              </w:rPr>
              <w:t>Volume deletion is destructive.</w:t>
            </w:r>
          </w:p>
        </w:tc>
      </w:tr>
      <w:tr>
        <w:trPr>
          <w:cantSplit/>
        </w:trPr>
        <w:tc>
          <w:tcPr>
            <w:tcW w:type="dxa" w:w="3552"/>
            <w:vAlign w:val="top"/>
          </w:tcPr>
          <w:p>
            <w:r/>
            <w:r>
              <w:rPr>
                <w:b w:val="0"/>
                <w:sz w:val="17"/>
              </w:rPr>
              <w:t>Documentation package</w:t>
            </w:r>
          </w:p>
        </w:tc>
        <w:tc>
          <w:tcPr>
            <w:tcW w:type="dxa" w:w="3552"/>
            <w:vAlign w:val="top"/>
          </w:tcPr>
          <w:p>
            <w:r/>
            <w:r>
              <w:rPr>
                <w:b w:val="0"/>
                <w:sz w:val="17"/>
              </w:rPr>
              <w:t>Regenerate DOCX from docs/final-delivery/source/generate_delivery_docs.py and source Markdown/assets.</w:t>
            </w:r>
          </w:p>
        </w:tc>
        <w:tc>
          <w:tcPr>
            <w:tcW w:type="dxa" w:w="3552"/>
            <w:vAlign w:val="top"/>
          </w:tcPr>
          <w:p>
            <w:r/>
            <w:r>
              <w:rPr>
                <w:b w:val="0"/>
                <w:sz w:val="17"/>
              </w:rPr>
              <w:t>Keeps source and deliverables reproducible.</w:t>
            </w:r>
          </w:p>
        </w:tc>
      </w:tr>
    </w:tbl>
    <w:p/>
    <w:p>
      <w:r>
        <w:t>The backup view identifies where durable operational state lives. Production use should include tested restoration, not only backup creation.</w:t>
      </w:r>
    </w:p>
    <w:p>
      <w:pPr>
        <w:pStyle w:val="Heading1"/>
      </w:pPr>
      <w:r>
        <w:t>Upgrade And Redeployment</w:t>
      </w:r>
    </w:p>
    <w:p>
      <w:r>
        <w:t>Redeployment should be treated as a controlled change. Take backups, rebuild images, restart services, and run smoke checks. If schema/data changes are introduced in future versions, rollback must include database/volume strategy, not only Git checkout.</w:t>
      </w:r>
    </w:p>
    <w:p>
      <w:r>
        <w:t>The redeployment table describes a controlled operator sequence for updating the system.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Phase</w:t>
            </w:r>
          </w:p>
        </w:tc>
        <w:tc>
          <w:tcPr>
            <w:tcW w:type="dxa" w:w="5328"/>
            <w:vAlign w:val="top"/>
            <w:shd w:fill="D9EAF7"/>
          </w:tcPr>
          <w:p>
            <w:r/>
            <w:r>
              <w:rPr>
                <w:b/>
                <w:sz w:val="17"/>
              </w:rPr>
              <w:t>Action</w:t>
            </w:r>
          </w:p>
        </w:tc>
      </w:tr>
      <w:tr>
        <w:trPr>
          <w:cantSplit/>
        </w:trPr>
        <w:tc>
          <w:tcPr>
            <w:tcW w:type="dxa" w:w="5328"/>
            <w:vAlign w:val="top"/>
          </w:tcPr>
          <w:p>
            <w:r/>
            <w:r>
              <w:rPr>
                <w:b w:val="0"/>
                <w:sz w:val="17"/>
              </w:rPr>
              <w:t>Pre-upgrade</w:t>
            </w:r>
          </w:p>
        </w:tc>
        <w:tc>
          <w:tcPr>
            <w:tcW w:type="dxa" w:w="5328"/>
            <w:vAlign w:val="top"/>
          </w:tcPr>
          <w:p>
            <w:r/>
            <w:r>
              <w:rPr>
                <w:b w:val="0"/>
                <w:sz w:val="17"/>
              </w:rPr>
              <w:t>Confirm current commit, back up database/volumes, export dashboard changes, record .env keys without exposing values.</w:t>
            </w:r>
          </w:p>
        </w:tc>
      </w:tr>
      <w:tr>
        <w:trPr>
          <w:cantSplit/>
        </w:trPr>
        <w:tc>
          <w:tcPr>
            <w:tcW w:type="dxa" w:w="5328"/>
            <w:vAlign w:val="top"/>
          </w:tcPr>
          <w:p>
            <w:r/>
            <w:r>
              <w:rPr>
                <w:b w:val="0"/>
                <w:sz w:val="17"/>
              </w:rPr>
              <w:t>Build</w:t>
            </w:r>
          </w:p>
        </w:tc>
        <w:tc>
          <w:tcPr>
            <w:tcW w:type="dxa" w:w="5328"/>
            <w:vAlign w:val="top"/>
          </w:tcPr>
          <w:p>
            <w:r/>
            <w:r>
              <w:rPr>
                <w:b w:val="0"/>
                <w:sz w:val="17"/>
              </w:rPr>
              <w:t>docker compose build after pulling source changes or switching approved delivery bundles.</w:t>
            </w:r>
          </w:p>
        </w:tc>
      </w:tr>
      <w:tr>
        <w:trPr>
          <w:cantSplit/>
        </w:trPr>
        <w:tc>
          <w:tcPr>
            <w:tcW w:type="dxa" w:w="5328"/>
            <w:vAlign w:val="top"/>
          </w:tcPr>
          <w:p>
            <w:r/>
            <w:r>
              <w:rPr>
                <w:b w:val="0"/>
                <w:sz w:val="17"/>
              </w:rPr>
              <w:t>Redeploy</w:t>
            </w:r>
          </w:p>
        </w:tc>
        <w:tc>
          <w:tcPr>
            <w:tcW w:type="dxa" w:w="5328"/>
            <w:vAlign w:val="top"/>
          </w:tcPr>
          <w:p>
            <w:r/>
            <w:r>
              <w:rPr>
                <w:b w:val="0"/>
                <w:sz w:val="17"/>
              </w:rPr>
              <w:t>docker compose up -d; use --wait when supported by Docker Compose.</w:t>
            </w:r>
          </w:p>
        </w:tc>
      </w:tr>
      <w:tr>
        <w:trPr>
          <w:cantSplit/>
        </w:trPr>
        <w:tc>
          <w:tcPr>
            <w:tcW w:type="dxa" w:w="5328"/>
            <w:vAlign w:val="top"/>
          </w:tcPr>
          <w:p>
            <w:pPr>
              <w:keepNext/>
            </w:pPr>
            <w:r/>
            <w:r>
              <w:rPr>
                <w:b w:val="0"/>
                <w:sz w:val="17"/>
              </w:rPr>
              <w:t>Smoke test</w:t>
            </w:r>
          </w:p>
        </w:tc>
        <w:tc>
          <w:tcPr>
            <w:tcW w:type="dxa" w:w="5328"/>
            <w:vAlign w:val="top"/>
          </w:tcPr>
          <w:p>
            <w:pPr>
              <w:keepNext/>
            </w:pPr>
            <w:r/>
            <w:r>
              <w:rPr>
                <w:b w:val="0"/>
                <w:sz w:val="17"/>
              </w:rPr>
              <w:t>Run docker compose ps, service logs, /health endpoints, analytics /api/v1/health, and verify.sh when services are running.</w:t>
            </w:r>
          </w:p>
        </w:tc>
      </w:tr>
      <w:tr>
        <w:trPr>
          <w:cantSplit/>
        </w:trPr>
        <w:tc>
          <w:tcPr>
            <w:tcW w:type="dxa" w:w="5328"/>
            <w:vAlign w:val="top"/>
          </w:tcPr>
          <w:p>
            <w:r/>
            <w:r>
              <w:rPr>
                <w:b w:val="0"/>
                <w:sz w:val="17"/>
              </w:rPr>
              <w:t>Rollback</w:t>
            </w:r>
          </w:p>
        </w:tc>
        <w:tc>
          <w:tcPr>
            <w:tcW w:type="dxa" w:w="5328"/>
            <w:vAlign w:val="top"/>
          </w:tcPr>
          <w:p>
            <w:r/>
            <w:r>
              <w:rPr>
                <w:b w:val="0"/>
                <w:sz w:val="17"/>
              </w:rPr>
              <w:t>Return to the previous commit or approved delivery version and restore volumes/database backup if schema/data changed.</w:t>
            </w:r>
          </w:p>
        </w:tc>
      </w:tr>
    </w:tbl>
    <w:p/>
    <w:p>
      <w:r>
        <w:t>The redeployment sequence reduces risk by pairing source changes with backup, rebuild, smoke-test, and rollback planning.</w:t>
      </w:r>
    </w:p>
    <w:p>
      <w:pPr>
        <w:pStyle w:val="Heading1"/>
      </w:pPr>
      <w:r>
        <w:t>Troubleshooting Commands</w:t>
      </w:r>
    </w:p>
    <w:p>
      <w:r>
        <w:t>These commands are safe static/live inspection commands when run by an operator with Docker access. They should not delete volumes or modify runtime state.</w:t>
      </w:r>
    </w:p>
    <w:p>
      <w:r>
        <w:t>The troubleshooting command table lists safe inspection commands for diagnosing a running deployment.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Purpose</w:t>
            </w:r>
          </w:p>
        </w:tc>
        <w:tc>
          <w:tcPr>
            <w:tcW w:type="dxa" w:w="3552"/>
            <w:vAlign w:val="top"/>
            <w:shd w:fill="D9EAF7"/>
          </w:tcPr>
          <w:p>
            <w:r/>
            <w:r>
              <w:rPr>
                <w:b/>
                <w:sz w:val="17"/>
              </w:rPr>
              <w:t>Command</w:t>
            </w:r>
          </w:p>
        </w:tc>
        <w:tc>
          <w:tcPr>
            <w:tcW w:type="dxa" w:w="3552"/>
            <w:vAlign w:val="top"/>
            <w:shd w:fill="D9EAF7"/>
          </w:tcPr>
          <w:p>
            <w:r/>
            <w:r>
              <w:rPr>
                <w:b/>
                <w:sz w:val="17"/>
              </w:rPr>
              <w:t>Use</w:t>
            </w:r>
          </w:p>
        </w:tc>
      </w:tr>
      <w:tr>
        <w:trPr>
          <w:cantSplit/>
        </w:trPr>
        <w:tc>
          <w:tcPr>
            <w:tcW w:type="dxa" w:w="3552"/>
            <w:vAlign w:val="top"/>
          </w:tcPr>
          <w:p>
            <w:r/>
            <w:r>
              <w:rPr>
                <w:b w:val="0"/>
                <w:sz w:val="17"/>
              </w:rPr>
              <w:t>List service state</w:t>
            </w:r>
          </w:p>
        </w:tc>
        <w:tc>
          <w:tcPr>
            <w:tcW w:type="dxa" w:w="3552"/>
            <w:vAlign w:val="top"/>
          </w:tcPr>
          <w:p>
            <w:r/>
            <w:r>
              <w:rPr>
                <w:b w:val="0"/>
                <w:sz w:val="17"/>
              </w:rPr>
              <w:t>docker compose ps</w:t>
            </w:r>
          </w:p>
        </w:tc>
        <w:tc>
          <w:tcPr>
            <w:tcW w:type="dxa" w:w="3552"/>
            <w:vAlign w:val="top"/>
          </w:tcPr>
          <w:p>
            <w:r/>
            <w:r>
              <w:rPr>
                <w:b w:val="0"/>
                <w:sz w:val="17"/>
              </w:rPr>
              <w:t>Shows container state, health, and exposed ports.</w:t>
            </w:r>
          </w:p>
        </w:tc>
      </w:tr>
      <w:tr>
        <w:trPr>
          <w:cantSplit/>
        </w:trPr>
        <w:tc>
          <w:tcPr>
            <w:tcW w:type="dxa" w:w="3552"/>
            <w:vAlign w:val="top"/>
          </w:tcPr>
          <w:p>
            <w:r/>
            <w:r>
              <w:rPr>
                <w:b w:val="0"/>
                <w:sz w:val="17"/>
              </w:rPr>
              <w:t>Inspect logs</w:t>
            </w:r>
          </w:p>
        </w:tc>
        <w:tc>
          <w:tcPr>
            <w:tcW w:type="dxa" w:w="3552"/>
            <w:vAlign w:val="top"/>
          </w:tcPr>
          <w:p>
            <w:r/>
            <w:r>
              <w:rPr>
                <w:b w:val="0"/>
                <w:sz w:val="17"/>
              </w:rPr>
              <w:t>docker compose logs &lt;service&gt; --tail=100</w:t>
            </w:r>
          </w:p>
        </w:tc>
        <w:tc>
          <w:tcPr>
            <w:tcW w:type="dxa" w:w="3552"/>
            <w:vAlign w:val="top"/>
          </w:tcPr>
          <w:p>
            <w:r/>
            <w:r>
              <w:rPr>
                <w:b w:val="0"/>
                <w:sz w:val="17"/>
              </w:rPr>
              <w:t>Use owning service first: nginx, analytics, postgres, mqtt, nodered, grafana, auth-service, chatbot, rasa.</w:t>
            </w:r>
          </w:p>
        </w:tc>
      </w:tr>
      <w:tr>
        <w:trPr>
          <w:cantSplit/>
        </w:trPr>
        <w:tc>
          <w:tcPr>
            <w:tcW w:type="dxa" w:w="3552"/>
            <w:vAlign w:val="top"/>
          </w:tcPr>
          <w:p>
            <w:r/>
            <w:r>
              <w:rPr>
                <w:b w:val="0"/>
                <w:sz w:val="17"/>
              </w:rPr>
              <w:t>Validate configuration</w:t>
            </w:r>
          </w:p>
        </w:tc>
        <w:tc>
          <w:tcPr>
            <w:tcW w:type="dxa" w:w="3552"/>
            <w:vAlign w:val="top"/>
          </w:tcPr>
          <w:p>
            <w:r/>
            <w:r>
              <w:rPr>
                <w:b w:val="0"/>
                <w:sz w:val="17"/>
              </w:rPr>
              <w:t>docker compose config --quiet</w:t>
            </w:r>
          </w:p>
        </w:tc>
        <w:tc>
          <w:tcPr>
            <w:tcW w:type="dxa" w:w="3552"/>
            <w:vAlign w:val="top"/>
          </w:tcPr>
          <w:p>
            <w:r/>
            <w:r>
              <w:rPr>
                <w:b w:val="0"/>
                <w:sz w:val="17"/>
              </w:rPr>
              <w:t>Catches Compose syntax/interpolation errors.</w:t>
            </w:r>
          </w:p>
        </w:tc>
      </w:tr>
      <w:tr>
        <w:trPr>
          <w:cantSplit/>
        </w:trPr>
        <w:tc>
          <w:tcPr>
            <w:tcW w:type="dxa" w:w="3552"/>
            <w:vAlign w:val="top"/>
          </w:tcPr>
          <w:p>
            <w:r/>
            <w:r>
              <w:rPr>
                <w:b w:val="0"/>
                <w:sz w:val="17"/>
              </w:rPr>
              <w:t>Gateway health</w:t>
            </w:r>
          </w:p>
        </w:tc>
        <w:tc>
          <w:tcPr>
            <w:tcW w:type="dxa" w:w="3552"/>
            <w:vAlign w:val="top"/>
          </w:tcPr>
          <w:p>
            <w:r/>
            <w:r>
              <w:rPr>
                <w:b w:val="0"/>
                <w:sz w:val="17"/>
              </w:rPr>
              <w:t>curl -fsS http://localhost:8080/health</w:t>
            </w:r>
          </w:p>
        </w:tc>
        <w:tc>
          <w:tcPr>
            <w:tcW w:type="dxa" w:w="3552"/>
            <w:vAlign w:val="top"/>
          </w:tcPr>
          <w:p>
            <w:r/>
            <w:r>
              <w:rPr>
                <w:b w:val="0"/>
                <w:sz w:val="17"/>
              </w:rPr>
              <w:t>Expected healthy response from Nginx when stack is running.</w:t>
            </w:r>
          </w:p>
        </w:tc>
      </w:tr>
      <w:tr>
        <w:trPr>
          <w:cantSplit/>
        </w:trPr>
        <w:tc>
          <w:tcPr>
            <w:tcW w:type="dxa" w:w="3552"/>
            <w:vAlign w:val="top"/>
          </w:tcPr>
          <w:p>
            <w:pPr>
              <w:keepNext/>
            </w:pPr>
            <w:r/>
            <w:r>
              <w:rPr>
                <w:b w:val="0"/>
                <w:sz w:val="17"/>
              </w:rPr>
              <w:t>Analytics health</w:t>
            </w:r>
          </w:p>
        </w:tc>
        <w:tc>
          <w:tcPr>
            <w:tcW w:type="dxa" w:w="3552"/>
            <w:vAlign w:val="top"/>
          </w:tcPr>
          <w:p>
            <w:pPr>
              <w:keepNext/>
            </w:pPr>
            <w:r/>
            <w:r>
              <w:rPr>
                <w:b w:val="0"/>
                <w:sz w:val="17"/>
              </w:rPr>
              <w:t>curl -fsS http://localhost:8001/api/v1/health</w:t>
            </w:r>
          </w:p>
        </w:tc>
        <w:tc>
          <w:tcPr>
            <w:tcW w:type="dxa" w:w="3552"/>
            <w:vAlign w:val="top"/>
          </w:tcPr>
          <w:p>
            <w:pPr>
              <w:keepNext/>
            </w:pPr>
            <w:r/>
            <w:r>
              <w:rPr>
                <w:b w:val="0"/>
                <w:sz w:val="17"/>
              </w:rPr>
              <w:t>Checks analytics service directly.</w:t>
            </w:r>
          </w:p>
        </w:tc>
      </w:tr>
      <w:tr>
        <w:trPr>
          <w:cantSplit/>
        </w:trPr>
        <w:tc>
          <w:tcPr>
            <w:tcW w:type="dxa" w:w="3552"/>
            <w:vAlign w:val="top"/>
          </w:tcPr>
          <w:p>
            <w:r/>
            <w:r>
              <w:rPr>
                <w:b w:val="0"/>
                <w:sz w:val="17"/>
              </w:rPr>
              <w:t>Verification script</w:t>
            </w:r>
          </w:p>
        </w:tc>
        <w:tc>
          <w:tcPr>
            <w:tcW w:type="dxa" w:w="3552"/>
            <w:vAlign w:val="top"/>
          </w:tcPr>
          <w:p>
            <w:r/>
            <w:r>
              <w:rPr>
                <w:b w:val="0"/>
                <w:sz w:val="17"/>
              </w:rPr>
              <w:t>HUMANERDIA_BASE_URL=... ANALYTICS_BASE_URL=... OVOS_BASE_URL=... ./verify.sh</w:t>
            </w:r>
          </w:p>
        </w:tc>
        <w:tc>
          <w:tcPr>
            <w:tcW w:type="dxa" w:w="3552"/>
            <w:vAlign w:val="top"/>
          </w:tcPr>
          <w:p>
            <w:r/>
            <w:r>
              <w:rPr>
                <w:b w:val="0"/>
                <w:sz w:val="17"/>
              </w:rPr>
              <w:t>Runs live checks; skips OVOS if bridge is unreachable.</w:t>
            </w:r>
          </w:p>
        </w:tc>
      </w:tr>
    </w:tbl>
    <w:p/>
    <w:p>
      <w:r>
        <w:t>These commands let operators inspect runtime state without deleting data or changing configuration.</w:t>
      </w:r>
    </w:p>
    <w:p>
      <w:pPr>
        <w:pStyle w:val="Heading1"/>
      </w:pPr>
      <w:r>
        <w:t>Production Hardening Checklist</w:t>
      </w:r>
    </w:p>
    <w:p>
      <w:r>
        <w:t>The checklist below is intentionally phrased as operator action. The repository provides hooks and configuration, but production hardening is not complete until these actions are performed in the target environment.</w:t>
      </w:r>
    </w:p>
    <w:p>
      <w:r>
        <w:t>The hardening table converts deployment risk areas into operator actions for production readiness.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Area</w:t>
            </w:r>
          </w:p>
        </w:tc>
        <w:tc>
          <w:tcPr>
            <w:tcW w:type="dxa" w:w="5328"/>
            <w:vAlign w:val="top"/>
            <w:shd w:fill="D9EAF7"/>
          </w:tcPr>
          <w:p>
            <w:r/>
            <w:r>
              <w:rPr>
                <w:b/>
                <w:sz w:val="17"/>
              </w:rPr>
              <w:t>Required action</w:t>
            </w:r>
          </w:p>
        </w:tc>
      </w:tr>
      <w:tr>
        <w:trPr>
          <w:cantSplit/>
        </w:trPr>
        <w:tc>
          <w:tcPr>
            <w:tcW w:type="dxa" w:w="5328"/>
            <w:vAlign w:val="top"/>
          </w:tcPr>
          <w:p>
            <w:r/>
            <w:r>
              <w:rPr>
                <w:b w:val="0"/>
                <w:sz w:val="17"/>
              </w:rPr>
              <w:t>Credentials</w:t>
            </w:r>
          </w:p>
        </w:tc>
        <w:tc>
          <w:tcPr>
            <w:tcW w:type="dxa" w:w="5328"/>
            <w:vAlign w:val="top"/>
          </w:tcPr>
          <w:p>
            <w:r/>
            <w:r>
              <w:rPr>
                <w:b w:val="0"/>
                <w:sz w:val="17"/>
              </w:rPr>
              <w:t>Rotate generated setup secrets; use strong admin, database, Redis, MQTT, JWT, API, and Node-RED values.</w:t>
            </w:r>
          </w:p>
        </w:tc>
      </w:tr>
      <w:tr>
        <w:trPr>
          <w:cantSplit/>
        </w:trPr>
        <w:tc>
          <w:tcPr>
            <w:tcW w:type="dxa" w:w="5328"/>
            <w:vAlign w:val="top"/>
          </w:tcPr>
          <w:p>
            <w:r/>
            <w:r>
              <w:rPr>
                <w:b w:val="0"/>
                <w:sz w:val="17"/>
              </w:rPr>
              <w:t>Network exposure</w:t>
            </w:r>
          </w:p>
        </w:tc>
        <w:tc>
          <w:tcPr>
            <w:tcW w:type="dxa" w:w="5328"/>
            <w:vAlign w:val="top"/>
          </w:tcPr>
          <w:p>
            <w:r/>
            <w:r>
              <w:rPr>
                <w:b w:val="0"/>
                <w:sz w:val="17"/>
              </w:rPr>
              <w:t>Restrict direct service ports; expose only intended Nginx/TLS routes to external users.</w:t>
            </w:r>
          </w:p>
        </w:tc>
      </w:tr>
      <w:tr>
        <w:trPr>
          <w:cantSplit/>
        </w:trPr>
        <w:tc>
          <w:tcPr>
            <w:tcW w:type="dxa" w:w="5328"/>
            <w:vAlign w:val="top"/>
          </w:tcPr>
          <w:p>
            <w:r/>
            <w:r>
              <w:rPr>
                <w:b w:val="0"/>
                <w:sz w:val="17"/>
              </w:rPr>
              <w:t>TLS</w:t>
            </w:r>
          </w:p>
        </w:tc>
        <w:tc>
          <w:tcPr>
            <w:tcW w:type="dxa" w:w="5328"/>
            <w:vAlign w:val="top"/>
          </w:tcPr>
          <w:p>
            <w:r/>
            <w:r>
              <w:rPr>
                <w:b w:val="0"/>
                <w:sz w:val="17"/>
              </w:rPr>
              <w:t>Configure certificates in Nginx or an upstream reverse proxy before internet-facing use.</w:t>
            </w:r>
          </w:p>
        </w:tc>
      </w:tr>
      <w:tr>
        <w:trPr>
          <w:cantSplit/>
        </w:trPr>
        <w:tc>
          <w:tcPr>
            <w:tcW w:type="dxa" w:w="5328"/>
            <w:vAlign w:val="top"/>
          </w:tcPr>
          <w:p>
            <w:r/>
            <w:r>
              <w:rPr>
                <w:b w:val="0"/>
                <w:sz w:val="17"/>
              </w:rPr>
              <w:t>Runtime users</w:t>
            </w:r>
          </w:p>
        </w:tc>
        <w:tc>
          <w:tcPr>
            <w:tcW w:type="dxa" w:w="5328"/>
            <w:vAlign w:val="top"/>
          </w:tcPr>
          <w:p>
            <w:r/>
            <w:r>
              <w:rPr>
                <w:b w:val="0"/>
                <w:sz w:val="17"/>
              </w:rPr>
              <w:t>Review container users and file permissions; OVOS Dockerfile creates a non-root ovos user.</w:t>
            </w:r>
          </w:p>
        </w:tc>
      </w:tr>
      <w:tr>
        <w:trPr>
          <w:cantSplit/>
        </w:trPr>
        <w:tc>
          <w:tcPr>
            <w:tcW w:type="dxa" w:w="5328"/>
            <w:vAlign w:val="top"/>
          </w:tcPr>
          <w:p>
            <w:r/>
            <w:r>
              <w:rPr>
                <w:b w:val="0"/>
                <w:sz w:val="17"/>
              </w:rPr>
              <w:t>Backups</w:t>
            </w:r>
          </w:p>
        </w:tc>
        <w:tc>
          <w:tcPr>
            <w:tcW w:type="dxa" w:w="5328"/>
            <w:vAlign w:val="top"/>
          </w:tcPr>
          <w:p>
            <w:r/>
            <w:r>
              <w:rPr>
                <w:b w:val="0"/>
                <w:sz w:val="17"/>
              </w:rPr>
              <w:t>Implement tested backup/restore for database, dashboard changes, and operational volumes.</w:t>
            </w:r>
          </w:p>
        </w:tc>
      </w:tr>
      <w:tr>
        <w:trPr>
          <w:cantSplit/>
        </w:trPr>
        <w:tc>
          <w:tcPr>
            <w:tcW w:type="dxa" w:w="5328"/>
            <w:vAlign w:val="top"/>
          </w:tcPr>
          <w:p>
            <w:pPr>
              <w:keepNext/>
            </w:pPr>
            <w:r/>
            <w:r>
              <w:rPr>
                <w:b w:val="0"/>
                <w:sz w:val="17"/>
              </w:rPr>
              <w:t>Monitoring</w:t>
            </w:r>
          </w:p>
        </w:tc>
        <w:tc>
          <w:tcPr>
            <w:tcW w:type="dxa" w:w="5328"/>
            <w:vAlign w:val="top"/>
          </w:tcPr>
          <w:p>
            <w:pPr>
              <w:keepNext/>
            </w:pPr>
            <w:r/>
            <w:r>
              <w:rPr>
                <w:b w:val="0"/>
                <w:sz w:val="17"/>
              </w:rPr>
              <w:t>Add external monitoring/log collection for health endpoints, disk usage, restart counts, and data freshness.</w:t>
            </w:r>
          </w:p>
        </w:tc>
      </w:tr>
      <w:tr>
        <w:trPr>
          <w:cantSplit/>
        </w:trPr>
        <w:tc>
          <w:tcPr>
            <w:tcW w:type="dxa" w:w="5328"/>
            <w:vAlign w:val="top"/>
          </w:tcPr>
          <w:p>
            <w:r/>
            <w:r>
              <w:rPr>
                <w:b w:val="0"/>
                <w:sz w:val="17"/>
              </w:rPr>
              <w:t>Secrets hygiene</w:t>
            </w:r>
          </w:p>
        </w:tc>
        <w:tc>
          <w:tcPr>
            <w:tcW w:type="dxa" w:w="5328"/>
            <w:vAlign w:val="top"/>
          </w:tcPr>
          <w:p>
            <w:r/>
            <w:r>
              <w:rPr>
                <w:b w:val="0"/>
                <w:sz w:val="17"/>
              </w:rPr>
              <w:t>Never publish .env, runtime credential files, tokens, database dumps, or logs containing credentials.</w:t>
            </w:r>
          </w:p>
        </w:tc>
      </w:tr>
    </w:tbl>
    <w:p/>
    <w:p>
      <w:r>
        <w:t>The hardening items convert the repository's configuration hooks into production operating controls.</w:t>
      </w:r>
    </w:p>
    <w:p>
      <w:pPr>
        <w:pStyle w:val="Heading1"/>
      </w:pPr>
      <w:r>
        <w:t>Troubleshooting Scenarios</w:t>
      </w:r>
    </w:p>
    <w:p>
      <w:r>
        <w:t>The repository provides deployment-oriented defaults, placeholders, health checks, and hardening notes. Production hardening is completed through operator-managed DNS, TLS, firewall restrictions, credential rotation, backups, and monitoring policy.</w:t>
      </w:r>
    </w:p>
    <w:p>
      <w:r>
        <w:t>The scenario table connects common symptoms to the first services and checks operators should inspect.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Symptom</w:t>
            </w:r>
          </w:p>
        </w:tc>
        <w:tc>
          <w:tcPr>
            <w:tcW w:type="dxa" w:w="3552"/>
            <w:vAlign w:val="top"/>
            <w:shd w:fill="D9EAF7"/>
          </w:tcPr>
          <w:p>
            <w:r/>
            <w:r>
              <w:rPr>
                <w:b/>
                <w:sz w:val="17"/>
              </w:rPr>
              <w:t>Likely area</w:t>
            </w:r>
          </w:p>
        </w:tc>
        <w:tc>
          <w:tcPr>
            <w:tcW w:type="dxa" w:w="3552"/>
            <w:vAlign w:val="top"/>
            <w:shd w:fill="D9EAF7"/>
          </w:tcPr>
          <w:p>
            <w:r/>
            <w:r>
              <w:rPr>
                <w:b/>
                <w:sz w:val="17"/>
              </w:rPr>
              <w:t>First checks</w:t>
            </w:r>
          </w:p>
        </w:tc>
      </w:tr>
      <w:tr>
        <w:trPr>
          <w:cantSplit/>
        </w:trPr>
        <w:tc>
          <w:tcPr>
            <w:tcW w:type="dxa" w:w="3552"/>
            <w:vAlign w:val="top"/>
          </w:tcPr>
          <w:p>
            <w:r/>
            <w:r>
              <w:rPr>
                <w:b w:val="0"/>
                <w:sz w:val="17"/>
              </w:rPr>
              <w:t>Portal does not load</w:t>
            </w:r>
          </w:p>
        </w:tc>
        <w:tc>
          <w:tcPr>
            <w:tcW w:type="dxa" w:w="3552"/>
            <w:vAlign w:val="top"/>
          </w:tcPr>
          <w:p>
            <w:r/>
            <w:r>
              <w:rPr>
                <w:b w:val="0"/>
                <w:sz w:val="17"/>
              </w:rPr>
              <w:t>Nginx or portal static files</w:t>
            </w:r>
          </w:p>
        </w:tc>
        <w:tc>
          <w:tcPr>
            <w:tcW w:type="dxa" w:w="3552"/>
            <w:vAlign w:val="top"/>
          </w:tcPr>
          <w:p>
            <w:r/>
            <w:r>
              <w:rPr>
                <w:b w:val="0"/>
                <w:sz w:val="17"/>
              </w:rPr>
              <w:t>curl /health; docker compose logs nginx</w:t>
            </w:r>
          </w:p>
        </w:tc>
      </w:tr>
      <w:tr>
        <w:trPr>
          <w:cantSplit/>
        </w:trPr>
        <w:tc>
          <w:tcPr>
            <w:tcW w:type="dxa" w:w="3552"/>
            <w:vAlign w:val="top"/>
          </w:tcPr>
          <w:p>
            <w:r/>
            <w:r>
              <w:rPr>
                <w:b w:val="0"/>
                <w:sz w:val="17"/>
              </w:rPr>
              <w:t>Analytics API returns 500</w:t>
            </w:r>
          </w:p>
        </w:tc>
        <w:tc>
          <w:tcPr>
            <w:tcW w:type="dxa" w:w="3552"/>
            <w:vAlign w:val="top"/>
          </w:tcPr>
          <w:p>
            <w:r/>
            <w:r>
              <w:rPr>
                <w:b w:val="0"/>
                <w:sz w:val="17"/>
              </w:rPr>
              <w:t>Analytics, PostgreSQL, Redis</w:t>
            </w:r>
          </w:p>
        </w:tc>
        <w:tc>
          <w:tcPr>
            <w:tcW w:type="dxa" w:w="3552"/>
            <w:vAlign w:val="top"/>
          </w:tcPr>
          <w:p>
            <w:r/>
            <w:r>
              <w:rPr>
                <w:b w:val="0"/>
                <w:sz w:val="17"/>
              </w:rPr>
              <w:t>logs for analytics/postgres/redis; /api/v1/health</w:t>
            </w:r>
          </w:p>
        </w:tc>
      </w:tr>
      <w:tr>
        <w:trPr>
          <w:cantSplit/>
        </w:trPr>
        <w:tc>
          <w:tcPr>
            <w:tcW w:type="dxa" w:w="3552"/>
            <w:vAlign w:val="top"/>
          </w:tcPr>
          <w:p>
            <w:r/>
            <w:r>
              <w:rPr>
                <w:b w:val="0"/>
                <w:sz w:val="17"/>
              </w:rPr>
              <w:t>No new telemetry</w:t>
            </w:r>
          </w:p>
        </w:tc>
        <w:tc>
          <w:tcPr>
            <w:tcW w:type="dxa" w:w="3552"/>
            <w:vAlign w:val="top"/>
          </w:tcPr>
          <w:p>
            <w:r/>
            <w:r>
              <w:rPr>
                <w:b w:val="0"/>
                <w:sz w:val="17"/>
              </w:rPr>
              <w:t>Simulator, MQTT, Node-RED</w:t>
            </w:r>
          </w:p>
        </w:tc>
        <w:tc>
          <w:tcPr>
            <w:tcW w:type="dxa" w:w="3552"/>
            <w:vAlign w:val="top"/>
          </w:tcPr>
          <w:p>
            <w:r/>
            <w:r>
              <w:rPr>
                <w:b w:val="0"/>
                <w:sz w:val="17"/>
              </w:rPr>
              <w:t>logs for simulator/mqtt/nodered; Node-RED flow status</w:t>
            </w:r>
          </w:p>
        </w:tc>
      </w:tr>
      <w:tr>
        <w:trPr>
          <w:cantSplit/>
        </w:trPr>
        <w:tc>
          <w:tcPr>
            <w:tcW w:type="dxa" w:w="3552"/>
            <w:vAlign w:val="top"/>
          </w:tcPr>
          <w:p>
            <w:r/>
            <w:r>
              <w:rPr>
                <w:b w:val="0"/>
                <w:sz w:val="17"/>
              </w:rPr>
              <w:t>Grafana unavailable</w:t>
            </w:r>
          </w:p>
        </w:tc>
        <w:tc>
          <w:tcPr>
            <w:tcW w:type="dxa" w:w="3552"/>
            <w:vAlign w:val="top"/>
          </w:tcPr>
          <w:p>
            <w:r/>
            <w:r>
              <w:rPr>
                <w:b w:val="0"/>
                <w:sz w:val="17"/>
              </w:rPr>
              <w:t>Grafana or database</w:t>
            </w:r>
          </w:p>
        </w:tc>
        <w:tc>
          <w:tcPr>
            <w:tcW w:type="dxa" w:w="3552"/>
            <w:vAlign w:val="top"/>
          </w:tcPr>
          <w:p>
            <w:r/>
            <w:r>
              <w:rPr>
                <w:b w:val="0"/>
                <w:sz w:val="17"/>
              </w:rPr>
              <w:t>Grafana health endpoint; credentials and volume status</w:t>
            </w:r>
          </w:p>
        </w:tc>
      </w:tr>
      <w:tr>
        <w:trPr>
          <w:cantSplit/>
        </w:trPr>
        <w:tc>
          <w:tcPr>
            <w:tcW w:type="dxa" w:w="3552"/>
            <w:vAlign w:val="top"/>
          </w:tcPr>
          <w:p>
            <w:pPr>
              <w:keepNext/>
            </w:pPr>
            <w:r/>
            <w:r>
              <w:rPr>
                <w:b w:val="0"/>
                <w:sz w:val="17"/>
              </w:rPr>
              <w:t>Auth errors</w:t>
            </w:r>
          </w:p>
        </w:tc>
        <w:tc>
          <w:tcPr>
            <w:tcW w:type="dxa" w:w="3552"/>
            <w:vAlign w:val="top"/>
          </w:tcPr>
          <w:p>
            <w:pPr>
              <w:keepNext/>
            </w:pPr>
            <w:r/>
            <w:r>
              <w:rPr>
                <w:b w:val="0"/>
                <w:sz w:val="17"/>
              </w:rPr>
              <w:t>auth-service, database, SMTP</w:t>
            </w:r>
          </w:p>
        </w:tc>
        <w:tc>
          <w:tcPr>
            <w:tcW w:type="dxa" w:w="3552"/>
            <w:vAlign w:val="top"/>
          </w:tcPr>
          <w:p>
            <w:pPr>
              <w:keepNext/>
            </w:pPr>
            <w:r/>
            <w:r>
              <w:rPr>
                <w:b w:val="0"/>
                <w:sz w:val="17"/>
              </w:rPr>
              <w:t>/api/auth/health; auth-service logs</w:t>
            </w:r>
          </w:p>
        </w:tc>
      </w:tr>
      <w:tr>
        <w:trPr>
          <w:cantSplit/>
        </w:trPr>
        <w:tc>
          <w:tcPr>
            <w:tcW w:type="dxa" w:w="3552"/>
            <w:vAlign w:val="top"/>
          </w:tcPr>
          <w:p>
            <w:r/>
            <w:r>
              <w:rPr>
                <w:b w:val="0"/>
                <w:sz w:val="17"/>
              </w:rPr>
              <w:t>OVOS voice path unavailable</w:t>
            </w:r>
          </w:p>
        </w:tc>
        <w:tc>
          <w:tcPr>
            <w:tcW w:type="dxa" w:w="3552"/>
            <w:vAlign w:val="top"/>
          </w:tcPr>
          <w:p>
            <w:r/>
            <w:r>
              <w:rPr>
                <w:b w:val="0"/>
                <w:sz w:val="17"/>
              </w:rPr>
              <w:t>OVOS bridge/messagebus or analytics proxy</w:t>
            </w:r>
          </w:p>
        </w:tc>
        <w:tc>
          <w:tcPr>
            <w:tcW w:type="dxa" w:w="3552"/>
            <w:vAlign w:val="top"/>
          </w:tcPr>
          <w:p>
            <w:r/>
            <w:r>
              <w:rPr>
                <w:b w:val="0"/>
                <w:sz w:val="17"/>
              </w:rPr>
              <w:t>OVOS /health; analytics /api/v1/ovos/voice/health</w:t>
            </w:r>
          </w:p>
        </w:tc>
      </w:tr>
    </w:tbl>
    <w:p/>
    <w:p>
      <w:r>
        <w:t>The scenarios help operators start diagnosis in the correct service area rather than treating the stack as a single opaque process.</w:t>
      </w:r>
    </w:p>
    <w:p>
      <w:pPr>
        <w:pStyle w:val="Heading1"/>
      </w:pPr>
      <w:r>
        <w:t>Limitations And Assumptions</w:t>
      </w:r>
    </w:p>
    <w:p>
      <w:r>
        <w:t>This section summarizes the current validation status, scope boundaries, and operational considerations for the delivered system.</w:t>
      </w:r>
    </w:p>
    <w:p>
      <w:r>
        <w:t>The limitations table defines scope boundaries that affect validation, audit use, optional assistant behavior, and production readiness.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Compose validation is confirmed where stated. Live health checks are deployment-specific and require a running target environment.</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 proportional, or placeholder values. Formal audit use requires independent validation of formulas, source data, tariff factors, carbon factors, and generated report semantics.</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r>
        <w:t>Together, these points define the verified scope of the current delivery and the operational responsibilities required before production use. They preserve a clear distinction between implemented capability, deployment configuration, and assurance activities that belong to the target operating environment.</w:t>
      </w:r>
    </w:p>
    <w:p>
      <w:pPr>
        <w:pStyle w:val="Heading1"/>
      </w:pPr>
      <w:r>
        <w:t>Source References</w:t>
      </w:r>
    </w:p>
    <w:p>
      <w:r>
        <w:t>The table below lists the main source material used for this document. It is not a full file inventory; it identifies the sources behind the material claims.</w:t>
      </w:r>
    </w:p>
    <w:p>
      <w:r>
        <w:t>The source reference table links the document's major claims to the tracked files or validation evidence used to support them.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Base compose</w:t>
            </w:r>
          </w:p>
        </w:tc>
        <w:tc>
          <w:tcPr>
            <w:tcW w:type="dxa" w:w="5328"/>
            <w:vAlign w:val="top"/>
          </w:tcPr>
          <w:p>
            <w:r/>
            <w:r>
              <w:rPr>
                <w:b w:val="0"/>
                <w:sz w:val="17"/>
              </w:rPr>
              <w:t>docker-compose.yml</w:t>
            </w:r>
          </w:p>
        </w:tc>
      </w:tr>
      <w:tr>
        <w:trPr>
          <w:cantSplit/>
        </w:trPr>
        <w:tc>
          <w:tcPr>
            <w:tcW w:type="dxa" w:w="5328"/>
            <w:vAlign w:val="top"/>
          </w:tcPr>
          <w:p>
            <w:r/>
            <w:r>
              <w:rPr>
                <w:b w:val="0"/>
                <w:sz w:val="17"/>
              </w:rPr>
              <w:t>Setup helper</w:t>
            </w:r>
          </w:p>
        </w:tc>
        <w:tc>
          <w:tcPr>
            <w:tcW w:type="dxa" w:w="5328"/>
            <w:vAlign w:val="top"/>
          </w:tcPr>
          <w:p>
            <w:r/>
            <w:r>
              <w:rPr>
                <w:b w:val="0"/>
                <w:sz w:val="17"/>
              </w:rPr>
              <w:t>setup.sh</w:t>
            </w:r>
          </w:p>
        </w:tc>
      </w:tr>
      <w:tr>
        <w:trPr>
          <w:cantSplit/>
        </w:trPr>
        <w:tc>
          <w:tcPr>
            <w:tcW w:type="dxa" w:w="5328"/>
            <w:vAlign w:val="top"/>
          </w:tcPr>
          <w:p>
            <w:pPr>
              <w:keepNext/>
            </w:pPr>
            <w:r/>
            <w:r>
              <w:rPr>
                <w:b w:val="0"/>
                <w:sz w:val="17"/>
              </w:rPr>
              <w:t>Verifier</w:t>
            </w:r>
          </w:p>
        </w:tc>
        <w:tc>
          <w:tcPr>
            <w:tcW w:type="dxa" w:w="5328"/>
            <w:vAlign w:val="top"/>
          </w:tcPr>
          <w:p>
            <w:pPr>
              <w:keepNext/>
            </w:pPr>
            <w:r/>
            <w:r>
              <w:rPr>
                <w:b w:val="0"/>
                <w:sz w:val="17"/>
              </w:rPr>
              <w:t>verify.sh</w:t>
            </w:r>
          </w:p>
        </w:tc>
      </w:tr>
      <w:tr>
        <w:trPr>
          <w:cantSplit/>
        </w:trPr>
        <w:tc>
          <w:tcPr>
            <w:tcW w:type="dxa" w:w="5328"/>
            <w:vAlign w:val="top"/>
          </w:tcPr>
          <w:p>
            <w:r/>
            <w:r>
              <w:rPr>
                <w:b w:val="0"/>
                <w:sz w:val="17"/>
              </w:rPr>
              <w:t>OVOS Docker</w:t>
            </w:r>
          </w:p>
        </w:tc>
        <w:tc>
          <w:tcPr>
            <w:tcW w:type="dxa" w:w="5328"/>
            <w:vAlign w:val="top"/>
          </w:tcPr>
          <w:p>
            <w:r/>
            <w:r>
              <w:rPr>
                <w:b w:val="0"/>
                <w:sz w:val="17"/>
              </w:rPr>
              <w:t>OVOS-EnMS repository: docker-compose.yml; Dockerfile; enms-ovos-skill/config.yaml.template; enms-ovos-skill/settings.docker.json; enms-ovos-skill/settingsmeta.yaml</w:t>
            </w:r>
          </w:p>
        </w:tc>
      </w:tr>
    </w:tbl>
    <w:p/>
    <w:p>
      <w:r>
        <w:t>These references provide traceability for technical claims. They are intended to support maintenance and verification without exposing secrets or local runtime state.</w:t>
      </w:r>
    </w:p>
    <w:sectPr w:rsidR="00FC693F" w:rsidRPr="0006063C" w:rsidSect="00034616">
      <w:footerReference w:type="default" r:id="rId11"/>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Docker Deployment Report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