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Final System Documentation</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Provide a stakeholder-ready end-to-end overview, installation/operation guide, workflows, and final delivery notes.</w:t>
            </w:r>
          </w:p>
        </w:tc>
      </w:tr>
      <w:tr>
        <w:tc>
          <w:tcPr>
            <w:tcW w:type="dxa" w:w="5328"/>
            <w:vAlign w:val="top"/>
            <w:shd w:fill="E2E8F0"/>
          </w:tcPr>
          <w:p>
            <w:r/>
            <w:r>
              <w:rPr>
                <w:b/>
                <w:sz w:val="17"/>
              </w:rPr>
              <w:t>Intended audience</w:t>
            </w:r>
          </w:p>
        </w:tc>
        <w:tc>
          <w:tcPr>
            <w:tcW w:type="dxa" w:w="5328"/>
            <w:vAlign w:val="top"/>
          </w:tcPr>
          <w:p>
            <w:r/>
            <w:r>
              <w:rPr>
                <w:b w:val="0"/>
                <w:sz w:val="17"/>
              </w:rPr>
              <w:t>Managers, reviewers, operators, users, integrators, and external WASABI partners.</w:t>
            </w:r>
          </w:p>
        </w:tc>
      </w:tr>
    </w:tbl>
    <w:p/>
    <w:p>
      <w:pPr>
        <w:jc w:val="center"/>
      </w:pPr>
      <w:r>
        <w:rPr>
          <w:b/>
        </w:rPr>
        <w:t xml:space="preserve">Source basis: </w:t>
      </w:r>
      <w:r>
        <w:t>This document summarizes the evidence-backed content of the technical documents and points readers to implemented sources.</w:t>
      </w:r>
    </w:p>
    <w:p>
      <w:r>
        <w:br w:type="page"/>
      </w:r>
    </w:p>
    <w:p>
      <w:pPr>
        <w:pStyle w:val="Heading1"/>
      </w:pPr>
      <w:r>
        <w:t>Table of Contents</w:t>
      </w:r>
    </w:p>
    <w:p>
      <w:r>
        <w:t>1. Project Overview</w:t>
      </w:r>
    </w:p>
    <w:p>
      <w:r>
        <w:t>2. Handover Summary</w:t>
      </w:r>
    </w:p>
    <w:p>
      <w:r>
        <w:t>3. Delivery Artifact List</w:t>
      </w:r>
    </w:p>
    <w:p>
      <w:r>
        <w:t>4. Reader Guide</w:t>
      </w:r>
    </w:p>
    <w:p>
      <w:r>
        <w:t>5. Quick-Start Summary</w:t>
      </w:r>
    </w:p>
    <w:p>
      <w:r>
        <w:t>6. Installation And Access</w:t>
      </w:r>
    </w:p>
    <w:p>
      <w:r>
        <w:t>7. Main Workflows</w:t>
      </w:r>
    </w:p>
    <w:p>
      <w:r>
        <w:t>8. Operator Guide</w:t>
      </w:r>
    </w:p>
    <w:p>
      <w:r>
        <w:t>9. Analytics, Dashboards, Reports, And Assistants</w:t>
      </w:r>
    </w:p>
    <w:p>
      <w:r>
        <w:t>10. Maintenance And Troubleshooting</w:t>
      </w:r>
    </w:p>
    <w:p>
      <w:r>
        <w:t>11. Final Delivery Notes</w:t>
      </w:r>
    </w:p>
    <w:p>
      <w:r>
        <w:t>12. Acceptance Checklist</w:t>
      </w:r>
    </w:p>
    <w:p>
      <w:r>
        <w:t>13. Demo-Readiness Checklist</w:t>
      </w:r>
    </w:p>
    <w:p>
      <w:r>
        <w:t>14. Limitations And Assumptions</w:t>
      </w:r>
    </w:p>
    <w:p>
      <w:r>
        <w:t>15. Source References</w:t>
      </w:r>
    </w:p>
    <w:p>
      <w:r>
        <w:br w:type="page"/>
      </w:r>
    </w:p>
    <w:p>
      <w:pPr>
        <w:pStyle w:val="Heading1"/>
      </w:pPr>
      <w:r>
        <w:t>Project Overview</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Relationship between HumanEnerDIA, OVOS-EnMS, data services, dashboards, and users.</w:t>
      </w:r>
    </w:p>
    <w:p>
      <w:r>
        <w:t>HumanEnerDIA is an open-source industrial energy management system developed for the WASABI project delivery context. It monitors and analyzes simulated or ingested factory energy data, provides dashboards and APIs, supports ISO 50001-oriented concepts, and integrates with an OVOS assistant layer for natural-language operational queries.</w:t>
      </w:r>
    </w:p>
    <w:p>
      <w:r>
        <w:t>This final delivery package presents the system as a Docker Compose deployable HumanEnerDIA stack with a companion OVOS-EnMS assistant repository/runtime. It includes implemented backend services, dashboards, reports, simulator, ingestion flow, authentication, text chatbot, and OVOS voice/natural-language paths, with limitations kept visible for review.</w:t>
      </w:r>
    </w:p>
    <w:p>
      <w:pPr>
        <w:pStyle w:val="Heading1"/>
      </w:pPr>
      <w:r>
        <w:t>Handover Summary</w:t>
      </w:r>
    </w:p>
    <w:p>
      <w:r>
        <w:t>The six-document package gives managers, reviewers, operators, and external partners a clear view of what has been delivered, how the parts fit together, how to deploy and verify the stack, and which responsibilities apply to runtime validation and production hardening.</w:t>
      </w:r>
    </w:p>
    <w:p>
      <w:r>
        <w:t>The handover table explains how the six documents work together as a final delivery set.</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Document</w:t>
            </w:r>
          </w:p>
        </w:tc>
        <w:tc>
          <w:tcPr>
            <w:tcW w:type="dxa" w:w="5328"/>
            <w:vAlign w:val="top"/>
            <w:shd w:fill="D9EAF7"/>
          </w:tcPr>
          <w:p>
            <w:r/>
            <w:r>
              <w:rPr>
                <w:b/>
                <w:sz w:val="17"/>
              </w:rPr>
              <w:t>Primary use</w:t>
            </w:r>
          </w:p>
        </w:tc>
      </w:tr>
      <w:tr>
        <w:trPr>
          <w:cantSplit/>
        </w:trPr>
        <w:tc>
          <w:tcPr>
            <w:tcW w:type="dxa" w:w="5328"/>
            <w:vAlign w:val="top"/>
          </w:tcPr>
          <w:p>
            <w:r/>
            <w:r>
              <w:rPr>
                <w:b w:val="0"/>
                <w:sz w:val="17"/>
              </w:rPr>
              <w:t>System Architecture Report</w:t>
            </w:r>
          </w:p>
        </w:tc>
        <w:tc>
          <w:tcPr>
            <w:tcW w:type="dxa" w:w="5328"/>
            <w:vAlign w:val="top"/>
          </w:tcPr>
          <w:p>
            <w:r/>
            <w:r>
              <w:rPr>
                <w:b w:val="0"/>
                <w:sz w:val="17"/>
              </w:rPr>
              <w:t>Architecture, service responsibilities, boundaries, data/message flow, security/network posture, and operational risks.</w:t>
            </w:r>
          </w:p>
        </w:tc>
      </w:tr>
      <w:tr>
        <w:trPr>
          <w:cantSplit/>
        </w:trPr>
        <w:tc>
          <w:tcPr>
            <w:tcW w:type="dxa" w:w="5328"/>
            <w:vAlign w:val="top"/>
          </w:tcPr>
          <w:p>
            <w:r/>
            <w:r>
              <w:rPr>
                <w:b w:val="0"/>
                <w:sz w:val="17"/>
              </w:rPr>
              <w:t>Software Design Documentation</w:t>
            </w:r>
          </w:p>
        </w:tc>
        <w:tc>
          <w:tcPr>
            <w:tcW w:type="dxa" w:w="5328"/>
            <w:vAlign w:val="top"/>
          </w:tcPr>
          <w:p>
            <w:r/>
            <w:r>
              <w:rPr>
                <w:b w:val="0"/>
                <w:sz w:val="17"/>
              </w:rPr>
              <w:t>Module design, API/database/service/auth design, configuration, logging, error handling, and design limitations.</w:t>
            </w:r>
          </w:p>
        </w:tc>
      </w:tr>
      <w:tr>
        <w:trPr>
          <w:cantSplit/>
        </w:trPr>
        <w:tc>
          <w:tcPr>
            <w:tcW w:type="dxa" w:w="5328"/>
            <w:vAlign w:val="top"/>
          </w:tcPr>
          <w:p>
            <w:r/>
            <w:r>
              <w:rPr>
                <w:b w:val="0"/>
                <w:sz w:val="17"/>
              </w:rPr>
              <w:t>Skill Documentation</w:t>
            </w:r>
          </w:p>
        </w:tc>
        <w:tc>
          <w:tcPr>
            <w:tcW w:type="dxa" w:w="5328"/>
            <w:vAlign w:val="top"/>
          </w:tcPr>
          <w:p>
            <w:r/>
            <w:r>
              <w:rPr>
                <w:b w:val="0"/>
                <w:sz w:val="17"/>
              </w:rPr>
              <w:t>OVOS-EnMS query lifecycle, intents, parser/validator/client/formatter behavior, configuration, mappings, and failure behavior.</w:t>
            </w:r>
          </w:p>
        </w:tc>
      </w:tr>
      <w:tr>
        <w:trPr>
          <w:cantSplit/>
        </w:trPr>
        <w:tc>
          <w:tcPr>
            <w:tcW w:type="dxa" w:w="5328"/>
            <w:vAlign w:val="top"/>
          </w:tcPr>
          <w:p>
            <w:r/>
            <w:r>
              <w:rPr>
                <w:b w:val="0"/>
                <w:sz w:val="17"/>
              </w:rPr>
              <w:t>Energy Management System Reports and KPI Reports</w:t>
            </w:r>
          </w:p>
        </w:tc>
        <w:tc>
          <w:tcPr>
            <w:tcW w:type="dxa" w:w="5328"/>
            <w:vAlign w:val="top"/>
          </w:tcPr>
          <w:p>
            <w:r/>
            <w:r>
              <w:rPr>
                <w:b w:val="0"/>
                <w:sz w:val="17"/>
              </w:rPr>
              <w:t>Energy data model, KPI catalog, formulas, dashboards, report workflow, data-quality assumptions, and audit cautions.</w:t>
            </w:r>
          </w:p>
        </w:tc>
      </w:tr>
      <w:tr>
        <w:trPr>
          <w:cantSplit/>
        </w:trPr>
        <w:tc>
          <w:tcPr>
            <w:tcW w:type="dxa" w:w="5328"/>
            <w:vAlign w:val="top"/>
          </w:tcPr>
          <w:p>
            <w:pPr>
              <w:keepNext/>
            </w:pPr>
            <w:r/>
            <w:r>
              <w:rPr>
                <w:b w:val="0"/>
                <w:sz w:val="17"/>
              </w:rPr>
              <w:t>Docker Deployment Report</w:t>
            </w:r>
          </w:p>
        </w:tc>
        <w:tc>
          <w:tcPr>
            <w:tcW w:type="dxa" w:w="5328"/>
            <w:vAlign w:val="top"/>
          </w:tcPr>
          <w:p>
            <w:pPr>
              <w:keepNext/>
            </w:pPr>
            <w:r/>
            <w:r>
              <w:rPr>
                <w:b w:val="0"/>
                <w:sz w:val="17"/>
              </w:rPr>
              <w:t>Compose topology, setup, environment groups, health checks, backup/recovery, redeployment, troubleshooting, and hardening.</w:t>
            </w:r>
          </w:p>
        </w:tc>
      </w:tr>
      <w:tr>
        <w:trPr>
          <w:cantSplit/>
        </w:trPr>
        <w:tc>
          <w:tcPr>
            <w:tcW w:type="dxa" w:w="5328"/>
            <w:vAlign w:val="top"/>
          </w:tcPr>
          <w:p>
            <w:r/>
            <w:r>
              <w:rPr>
                <w:b w:val="0"/>
                <w:sz w:val="17"/>
              </w:rPr>
              <w:t>Final System Documentation</w:t>
            </w:r>
          </w:p>
        </w:tc>
        <w:tc>
          <w:tcPr>
            <w:tcW w:type="dxa" w:w="5328"/>
            <w:vAlign w:val="top"/>
          </w:tcPr>
          <w:p>
            <w:r/>
            <w:r>
              <w:rPr>
                <w:b w:val="0"/>
                <w:sz w:val="17"/>
              </w:rPr>
              <w:t>End-to-end reader guide, workflows, operations, acceptance/demo checklists, and final delivery notes.</w:t>
            </w:r>
          </w:p>
        </w:tc>
      </w:tr>
    </w:tbl>
    <w:p/>
    <w:p>
      <w:r>
        <w:t>The document set is complementary: architecture explains boundaries, design explains implementation, deployment explains operation, and final documentation ties the delivery together.</w:t>
      </w:r>
    </w:p>
    <w:p>
      <w:pPr>
        <w:pStyle w:val="Heading1"/>
      </w:pPr>
      <w:r>
        <w:t>Delivery Artifact List</w:t>
      </w:r>
    </w:p>
    <w:p>
      <w:r>
        <w:t>The formal deliverables are the six DOCX files. Source Markdown, the evidence map, diagrams, and generator script are included for maintainability and reproducibility.</w:t>
      </w:r>
    </w:p>
    <w:p>
      <w:r>
        <w:t>The artifact table identifies the maintained deliverables and the source materials that keep them reproducible.</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Artifact</w:t>
            </w:r>
          </w:p>
        </w:tc>
        <w:tc>
          <w:tcPr>
            <w:tcW w:type="dxa" w:w="5328"/>
            <w:vAlign w:val="top"/>
            <w:shd w:fill="D9EAF7"/>
          </w:tcPr>
          <w:p>
            <w:r/>
            <w:r>
              <w:rPr>
                <w:b/>
                <w:sz w:val="17"/>
              </w:rPr>
              <w:t>Purpose</w:t>
            </w:r>
          </w:p>
        </w:tc>
      </w:tr>
      <w:tr>
        <w:trPr>
          <w:cantSplit/>
        </w:trPr>
        <w:tc>
          <w:tcPr>
            <w:tcW w:type="dxa" w:w="5328"/>
            <w:vAlign w:val="top"/>
          </w:tcPr>
          <w:p>
            <w:r/>
            <w:r>
              <w:rPr>
                <w:b w:val="0"/>
                <w:sz w:val="17"/>
              </w:rPr>
              <w:t>Final DOCX reports</w:t>
            </w:r>
          </w:p>
        </w:tc>
        <w:tc>
          <w:tcPr>
            <w:tcW w:type="dxa" w:w="5328"/>
            <w:vAlign w:val="top"/>
          </w:tcPr>
          <w:p>
            <w:r/>
            <w:r>
              <w:rPr>
                <w:b w:val="0"/>
                <w:sz w:val="17"/>
              </w:rPr>
              <w:t>Six stakeholder deliverables in docs/final-delivery/.</w:t>
            </w:r>
          </w:p>
        </w:tc>
      </w:tr>
      <w:tr>
        <w:trPr>
          <w:cantSplit/>
        </w:trPr>
        <w:tc>
          <w:tcPr>
            <w:tcW w:type="dxa" w:w="5328"/>
            <w:vAlign w:val="top"/>
          </w:tcPr>
          <w:p>
            <w:r/>
            <w:r>
              <w:rPr>
                <w:b w:val="0"/>
                <w:sz w:val="17"/>
              </w:rPr>
              <w:t>Source Markdown</w:t>
            </w:r>
          </w:p>
        </w:tc>
        <w:tc>
          <w:tcPr>
            <w:tcW w:type="dxa" w:w="5328"/>
            <w:vAlign w:val="top"/>
          </w:tcPr>
          <w:p>
            <w:r/>
            <w:r>
              <w:rPr>
                <w:b w:val="0"/>
                <w:sz w:val="17"/>
              </w:rPr>
              <w:t>docs/final-delivery/source/*.md mirrors the generated DOCX content for maintainability.</w:t>
            </w:r>
          </w:p>
        </w:tc>
      </w:tr>
      <w:tr>
        <w:trPr>
          <w:cantSplit/>
        </w:trPr>
        <w:tc>
          <w:tcPr>
            <w:tcW w:type="dxa" w:w="5328"/>
            <w:vAlign w:val="top"/>
          </w:tcPr>
          <w:p>
            <w:r/>
            <w:r>
              <w:rPr>
                <w:b w:val="0"/>
                <w:sz w:val="17"/>
              </w:rPr>
              <w:t>Evidence map</w:t>
            </w:r>
          </w:p>
        </w:tc>
        <w:tc>
          <w:tcPr>
            <w:tcW w:type="dxa" w:w="5328"/>
            <w:vAlign w:val="top"/>
          </w:tcPr>
          <w:p>
            <w:r/>
            <w:r>
              <w:rPr>
                <w:b w:val="0"/>
                <w:sz w:val="17"/>
              </w:rPr>
              <w:t>docs/final-delivery/source/evidence-map.md maps recurring claims to source files and validation output.</w:t>
            </w:r>
          </w:p>
        </w:tc>
      </w:tr>
      <w:tr>
        <w:trPr>
          <w:cantSplit/>
        </w:trPr>
        <w:tc>
          <w:tcPr>
            <w:tcW w:type="dxa" w:w="5328"/>
            <w:vAlign w:val="top"/>
          </w:tcPr>
          <w:p>
            <w:r/>
            <w:r>
              <w:rPr>
                <w:b w:val="0"/>
                <w:sz w:val="17"/>
              </w:rPr>
              <w:t>Generation script</w:t>
            </w:r>
          </w:p>
        </w:tc>
        <w:tc>
          <w:tcPr>
            <w:tcW w:type="dxa" w:w="5328"/>
            <w:vAlign w:val="top"/>
          </w:tcPr>
          <w:p>
            <w:r/>
            <w:r>
              <w:rPr>
                <w:b w:val="0"/>
                <w:sz w:val="17"/>
              </w:rPr>
              <w:t>docs/final-delivery/source/generate_delivery_docs.py regenerates DOCX, Markdown, and diagrams.</w:t>
            </w:r>
          </w:p>
        </w:tc>
      </w:tr>
      <w:tr>
        <w:trPr>
          <w:cantSplit/>
        </w:trPr>
        <w:tc>
          <w:tcPr>
            <w:tcW w:type="dxa" w:w="5328"/>
            <w:vAlign w:val="top"/>
          </w:tcPr>
          <w:p>
            <w:pPr>
              <w:keepNext/>
            </w:pPr>
            <w:r/>
            <w:r>
              <w:rPr>
                <w:b w:val="0"/>
                <w:sz w:val="17"/>
              </w:rPr>
              <w:t>Diagram assets</w:t>
            </w:r>
          </w:p>
        </w:tc>
        <w:tc>
          <w:tcPr>
            <w:tcW w:type="dxa" w:w="5328"/>
            <w:vAlign w:val="top"/>
          </w:tcPr>
          <w:p>
            <w:pPr>
              <w:keepNext/>
            </w:pPr>
            <w:r/>
            <w:r>
              <w:rPr>
                <w:b w:val="0"/>
                <w:sz w:val="17"/>
              </w:rPr>
              <w:t>docs/final-delivery/assets/*.png contains architecture, data-flow, deployment, topology, and OVOS lifecycle diagrams.</w:t>
            </w:r>
          </w:p>
        </w:tc>
      </w:tr>
      <w:tr>
        <w:trPr>
          <w:cantSplit/>
        </w:trPr>
        <w:tc>
          <w:tcPr>
            <w:tcW w:type="dxa" w:w="5328"/>
            <w:vAlign w:val="top"/>
          </w:tcPr>
          <w:p>
            <w:r/>
            <w:r>
              <w:rPr>
                <w:b w:val="0"/>
                <w:sz w:val="17"/>
              </w:rPr>
              <w:t>Application source</w:t>
            </w:r>
          </w:p>
        </w:tc>
        <w:tc>
          <w:tcPr>
            <w:tcW w:type="dxa" w:w="5328"/>
            <w:vAlign w:val="top"/>
          </w:tcPr>
          <w:p>
            <w:r/>
            <w:r>
              <w:rPr>
                <w:b w:val="0"/>
                <w:sz w:val="17"/>
              </w:rPr>
              <w:t>HumanEnerDIA production source tree plus separate OVOS-EnMS repository remain the authoritative technical sources.</w:t>
            </w:r>
          </w:p>
        </w:tc>
      </w:tr>
    </w:tbl>
    <w:p/>
    <w:p>
      <w:r>
        <w:t>The artifact list confirms that both final DOCX deliverables and maintainable source material are part of the handover.</w:t>
      </w:r>
    </w:p>
    <w:p>
      <w:pPr>
        <w:pStyle w:val="Heading1"/>
      </w:pPr>
      <w:r>
        <w:t>Reader Guide</w:t>
      </w:r>
    </w:p>
    <w:p>
      <w:pPr>
        <w:pStyle w:val="ListBullet"/>
      </w:pPr>
      <w:r>
        <w:t>Managers should start with Final System Documentation, then System Architecture Report, then the limitations sections.</w:t>
      </w:r>
    </w:p>
    <w:p>
      <w:pPr>
        <w:pStyle w:val="ListBullet"/>
      </w:pPr>
      <w:r>
        <w:t>Technical reviewers should read Software Design Documentation, Energy Management System Reports and KPI Reports, and Docker Deployment Report.</w:t>
      </w:r>
    </w:p>
    <w:p>
      <w:pPr>
        <w:pStyle w:val="ListBullet"/>
      </w:pPr>
      <w:r>
        <w:t>Assistant/voice reviewers should read Skill Documentation and the OVOS integration sections in the architecture report.</w:t>
      </w:r>
    </w:p>
    <w:p>
      <w:pPr>
        <w:pStyle w:val="ListBullet"/>
      </w:pPr>
      <w:r>
        <w:t>Operators should use Docker Deployment Report together with setup.sh, verify.sh, docker-compose.yml, and .env.example.</w:t>
      </w:r>
    </w:p>
    <w:p>
      <w:pPr>
        <w:pStyle w:val="ListBullet"/>
      </w:pPr>
      <w:r>
        <w:t>External partners should treat evidence references as the traceability map for major technical claims.</w:t>
      </w:r>
    </w:p>
    <w:p>
      <w:pPr>
        <w:pStyle w:val="Heading1"/>
      </w:pPr>
      <w:r>
        <w:t>Quick-Start Summary</w:t>
      </w:r>
    </w:p>
    <w:p>
      <w:r>
        <w:t>This quick-start summarizes the handover path. It does not replace the deployment report or the live verification scripts.</w:t>
      </w:r>
    </w:p>
    <w:p>
      <w:r>
        <w:t>The quick-start table condenses installation and verification into a high-level sequence for orientation.</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Step</w:t>
            </w:r>
          </w:p>
        </w:tc>
        <w:tc>
          <w:tcPr>
            <w:tcW w:type="dxa" w:w="3552"/>
            <w:vAlign w:val="top"/>
            <w:shd w:fill="D9EAF7"/>
          </w:tcPr>
          <w:p>
            <w:r/>
            <w:r>
              <w:rPr>
                <w:b/>
                <w:sz w:val="17"/>
              </w:rPr>
              <w:t>Action</w:t>
            </w:r>
          </w:p>
        </w:tc>
        <w:tc>
          <w:tcPr>
            <w:tcW w:type="dxa" w:w="3552"/>
            <w:vAlign w:val="top"/>
            <w:shd w:fill="D9EAF7"/>
          </w:tcPr>
          <w:p>
            <w:r/>
            <w:r>
              <w:rPr>
                <w:b/>
                <w:sz w:val="17"/>
              </w:rPr>
              <w:t>Outcome</w:t>
            </w:r>
          </w:p>
        </w:tc>
      </w:tr>
      <w:tr>
        <w:trPr>
          <w:cantSplit/>
        </w:trPr>
        <w:tc>
          <w:tcPr>
            <w:tcW w:type="dxa" w:w="3552"/>
            <w:vAlign w:val="top"/>
          </w:tcPr>
          <w:p>
            <w:r/>
            <w:r>
              <w:rPr>
                <w:b w:val="0"/>
                <w:sz w:val="17"/>
              </w:rPr>
              <w:t>1</w:t>
            </w:r>
          </w:p>
        </w:tc>
        <w:tc>
          <w:tcPr>
            <w:tcW w:type="dxa" w:w="3552"/>
            <w:vAlign w:val="top"/>
          </w:tcPr>
          <w:p>
            <w:r/>
            <w:r>
              <w:rPr>
                <w:b w:val="0"/>
                <w:sz w:val="17"/>
              </w:rPr>
              <w:t>Review .env.example and run ./setup.sh with the target server host/IP if needed.</w:t>
            </w:r>
          </w:p>
        </w:tc>
        <w:tc>
          <w:tcPr>
            <w:tcW w:type="dxa" w:w="3552"/>
            <w:vAlign w:val="top"/>
          </w:tcPr>
          <w:p>
            <w:r/>
            <w:r>
              <w:rPr>
                <w:b w:val="0"/>
                <w:sz w:val="17"/>
              </w:rPr>
              <w:t>.env is created locally and first-run secrets are generated.</w:t>
            </w:r>
          </w:p>
        </w:tc>
      </w:tr>
      <w:tr>
        <w:trPr>
          <w:cantSplit/>
        </w:trPr>
        <w:tc>
          <w:tcPr>
            <w:tcW w:type="dxa" w:w="3552"/>
            <w:vAlign w:val="top"/>
          </w:tcPr>
          <w:p>
            <w:r/>
            <w:r>
              <w:rPr>
                <w:b w:val="0"/>
                <w:sz w:val="17"/>
              </w:rPr>
              <w:t>2</w:t>
            </w:r>
          </w:p>
        </w:tc>
        <w:tc>
          <w:tcPr>
            <w:tcW w:type="dxa" w:w="3552"/>
            <w:vAlign w:val="top"/>
          </w:tcPr>
          <w:p>
            <w:r/>
            <w:r>
              <w:rPr>
                <w:b w:val="0"/>
                <w:sz w:val="17"/>
              </w:rPr>
              <w:t>Run or confirm docker compose config --quiet.</w:t>
            </w:r>
          </w:p>
        </w:tc>
        <w:tc>
          <w:tcPr>
            <w:tcW w:type="dxa" w:w="3552"/>
            <w:vAlign w:val="top"/>
          </w:tcPr>
          <w:p>
            <w:r/>
            <w:r>
              <w:rPr>
                <w:b w:val="0"/>
                <w:sz w:val="17"/>
              </w:rPr>
              <w:t>Compose syntax and interpolation are valid.</w:t>
            </w:r>
          </w:p>
        </w:tc>
      </w:tr>
      <w:tr>
        <w:trPr>
          <w:cantSplit/>
        </w:trPr>
        <w:tc>
          <w:tcPr>
            <w:tcW w:type="dxa" w:w="3552"/>
            <w:vAlign w:val="top"/>
          </w:tcPr>
          <w:p>
            <w:r/>
            <w:r>
              <w:rPr>
                <w:b w:val="0"/>
                <w:sz w:val="17"/>
              </w:rPr>
              <w:t>3</w:t>
            </w:r>
          </w:p>
        </w:tc>
        <w:tc>
          <w:tcPr>
            <w:tcW w:type="dxa" w:w="3552"/>
            <w:vAlign w:val="top"/>
          </w:tcPr>
          <w:p>
            <w:r/>
            <w:r>
              <w:rPr>
                <w:b w:val="0"/>
                <w:sz w:val="17"/>
              </w:rPr>
              <w:t>Start the stack through setup.sh or docker compose up -d.</w:t>
            </w:r>
          </w:p>
        </w:tc>
        <w:tc>
          <w:tcPr>
            <w:tcW w:type="dxa" w:w="3552"/>
            <w:vAlign w:val="top"/>
          </w:tcPr>
          <w:p>
            <w:r/>
            <w:r>
              <w:rPr>
                <w:b w:val="0"/>
                <w:sz w:val="17"/>
              </w:rPr>
              <w:t>HumanEnerDIA services start on the configured network and ports.</w:t>
            </w:r>
          </w:p>
        </w:tc>
      </w:tr>
      <w:tr>
        <w:trPr>
          <w:cantSplit/>
        </w:trPr>
        <w:tc>
          <w:tcPr>
            <w:tcW w:type="dxa" w:w="3552"/>
            <w:vAlign w:val="top"/>
          </w:tcPr>
          <w:p>
            <w:r/>
            <w:r>
              <w:rPr>
                <w:b w:val="0"/>
                <w:sz w:val="17"/>
              </w:rPr>
              <w:t>4</w:t>
            </w:r>
          </w:p>
        </w:tc>
        <w:tc>
          <w:tcPr>
            <w:tcW w:type="dxa" w:w="3552"/>
            <w:vAlign w:val="top"/>
          </w:tcPr>
          <w:p>
            <w:r/>
            <w:r>
              <w:rPr>
                <w:b w:val="0"/>
                <w:sz w:val="17"/>
              </w:rPr>
              <w:t>Run docker compose ps and health checks.</w:t>
            </w:r>
          </w:p>
        </w:tc>
        <w:tc>
          <w:tcPr>
            <w:tcW w:type="dxa" w:w="3552"/>
            <w:vAlign w:val="top"/>
          </w:tcPr>
          <w:p>
            <w:r/>
            <w:r>
              <w:rPr>
                <w:b w:val="0"/>
                <w:sz w:val="17"/>
              </w:rPr>
              <w:t>Container status and basic service health are visible.</w:t>
            </w:r>
          </w:p>
        </w:tc>
      </w:tr>
      <w:tr>
        <w:trPr>
          <w:cantSplit/>
        </w:trPr>
        <w:tc>
          <w:tcPr>
            <w:tcW w:type="dxa" w:w="3552"/>
            <w:vAlign w:val="top"/>
          </w:tcPr>
          <w:p>
            <w:pPr>
              <w:keepNext/>
            </w:pPr>
            <w:r/>
            <w:r>
              <w:rPr>
                <w:b w:val="0"/>
                <w:sz w:val="17"/>
              </w:rPr>
              <w:t>5</w:t>
            </w:r>
          </w:p>
        </w:tc>
        <w:tc>
          <w:tcPr>
            <w:tcW w:type="dxa" w:w="3552"/>
            <w:vAlign w:val="top"/>
          </w:tcPr>
          <w:p>
            <w:pPr>
              <w:keepNext/>
            </w:pPr>
            <w:r/>
            <w:r>
              <w:rPr>
                <w:b w:val="0"/>
                <w:sz w:val="17"/>
              </w:rPr>
              <w:t>Run verify.sh when services are running.</w:t>
            </w:r>
          </w:p>
        </w:tc>
        <w:tc>
          <w:tcPr>
            <w:tcW w:type="dxa" w:w="3552"/>
            <w:vAlign w:val="top"/>
          </w:tcPr>
          <w:p>
            <w:pPr>
              <w:keepNext/>
            </w:pPr>
            <w:r/>
            <w:r>
              <w:rPr>
                <w:b w:val="0"/>
                <w:sz w:val="17"/>
              </w:rPr>
              <w:t>Gateway, analytics, and optional OVOS live checks are performed.</w:t>
            </w:r>
          </w:p>
        </w:tc>
      </w:tr>
      <w:tr>
        <w:trPr>
          <w:cantSplit/>
        </w:trPr>
        <w:tc>
          <w:tcPr>
            <w:tcW w:type="dxa" w:w="3552"/>
            <w:vAlign w:val="top"/>
          </w:tcPr>
          <w:p>
            <w:r/>
            <w:r>
              <w:rPr>
                <w:b w:val="0"/>
                <w:sz w:val="17"/>
              </w:rPr>
              <w:t>6</w:t>
            </w:r>
          </w:p>
        </w:tc>
        <w:tc>
          <w:tcPr>
            <w:tcW w:type="dxa" w:w="3552"/>
            <w:vAlign w:val="top"/>
          </w:tcPr>
          <w:p>
            <w:r/>
            <w:r>
              <w:rPr>
                <w:b w:val="0"/>
                <w:sz w:val="17"/>
              </w:rPr>
              <w:t>Open portal, Grafana, analytics UI/API docs, and assistant endpoints as needed.</w:t>
            </w:r>
          </w:p>
        </w:tc>
        <w:tc>
          <w:tcPr>
            <w:tcW w:type="dxa" w:w="3552"/>
            <w:vAlign w:val="top"/>
          </w:tcPr>
          <w:p>
            <w:r/>
            <w:r>
              <w:rPr>
                <w:b w:val="0"/>
                <w:sz w:val="17"/>
              </w:rPr>
              <w:t>Stakeholder/demo access points are ready for review.</w:t>
            </w:r>
          </w:p>
        </w:tc>
      </w:tr>
    </w:tbl>
    <w:p/>
    <w:p>
      <w:r>
        <w:t>The quick-start provides orientation only. Operators should still use the deployment report for detailed configuration, hardening, and recovery decisions.</w:t>
      </w:r>
    </w:p>
    <w:p>
      <w:pPr>
        <w:pStyle w:val="Heading1"/>
      </w:pPr>
      <w:r>
        <w:t>Installation And Access</w:t>
      </w:r>
    </w:p>
    <w:p>
      <w:r>
        <w:t>For a local or evaluation deployment, use the guided setup script from the production repository checkout or approved delivery bundle. For remote browser access, pass a server host or IP so generated URLs match the expected access path. Generated credentials are stored in .env and must be kept private.</w:t>
      </w:r>
    </w:p>
    <w:p>
      <w:r>
        <w:t>The access table shows the default endpoints readers can use after deployment and verification.</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Access point</w:t>
            </w:r>
          </w:p>
        </w:tc>
        <w:tc>
          <w:tcPr>
            <w:tcW w:type="dxa" w:w="3552"/>
            <w:vAlign w:val="top"/>
            <w:shd w:fill="D9EAF7"/>
          </w:tcPr>
          <w:p>
            <w:r/>
            <w:r>
              <w:rPr>
                <w:b/>
                <w:sz w:val="17"/>
              </w:rPr>
              <w:t>Default URL</w:t>
            </w:r>
          </w:p>
        </w:tc>
        <w:tc>
          <w:tcPr>
            <w:tcW w:type="dxa" w:w="3552"/>
            <w:vAlign w:val="top"/>
            <w:shd w:fill="D9EAF7"/>
          </w:tcPr>
          <w:p>
            <w:r/>
            <w:r>
              <w:rPr>
                <w:b/>
                <w:sz w:val="17"/>
              </w:rPr>
              <w:t>Notes</w:t>
            </w:r>
          </w:p>
        </w:tc>
      </w:tr>
      <w:tr>
        <w:trPr>
          <w:cantSplit/>
        </w:trPr>
        <w:tc>
          <w:tcPr>
            <w:tcW w:type="dxa" w:w="3552"/>
            <w:vAlign w:val="top"/>
          </w:tcPr>
          <w:p>
            <w:r/>
            <w:r>
              <w:rPr>
                <w:b w:val="0"/>
                <w:sz w:val="17"/>
              </w:rPr>
              <w:t>Unified portal</w:t>
            </w:r>
          </w:p>
        </w:tc>
        <w:tc>
          <w:tcPr>
            <w:tcW w:type="dxa" w:w="3552"/>
            <w:vAlign w:val="top"/>
          </w:tcPr>
          <w:p>
            <w:r/>
            <w:r>
              <w:rPr>
                <w:b w:val="0"/>
                <w:sz w:val="17"/>
              </w:rPr>
              <w:t>http://&lt;host&gt;:8080</w:t>
            </w:r>
          </w:p>
        </w:tc>
        <w:tc>
          <w:tcPr>
            <w:tcW w:type="dxa" w:w="3552"/>
            <w:vAlign w:val="top"/>
          </w:tcPr>
          <w:p>
            <w:r/>
            <w:r>
              <w:rPr>
                <w:b w:val="0"/>
                <w:sz w:val="17"/>
              </w:rPr>
              <w:t>Served by Nginx from portal/public</w:t>
            </w:r>
          </w:p>
        </w:tc>
      </w:tr>
      <w:tr>
        <w:trPr>
          <w:cantSplit/>
        </w:trPr>
        <w:tc>
          <w:tcPr>
            <w:tcW w:type="dxa" w:w="3552"/>
            <w:vAlign w:val="top"/>
          </w:tcPr>
          <w:p>
            <w:r/>
            <w:r>
              <w:rPr>
                <w:b w:val="0"/>
                <w:sz w:val="17"/>
              </w:rPr>
              <w:t>Grafana</w:t>
            </w:r>
          </w:p>
        </w:tc>
        <w:tc>
          <w:tcPr>
            <w:tcW w:type="dxa" w:w="3552"/>
            <w:vAlign w:val="top"/>
          </w:tcPr>
          <w:p>
            <w:r/>
            <w:r>
              <w:rPr>
                <w:b w:val="0"/>
                <w:sz w:val="17"/>
              </w:rPr>
              <w:t>http://&lt;host&gt;:8080/grafana</w:t>
            </w:r>
          </w:p>
        </w:tc>
        <w:tc>
          <w:tcPr>
            <w:tcW w:type="dxa" w:w="3552"/>
            <w:vAlign w:val="top"/>
          </w:tcPr>
          <w:p>
            <w:r/>
            <w:r>
              <w:rPr>
                <w:b w:val="0"/>
                <w:sz w:val="17"/>
              </w:rPr>
              <w:t>Sub-path proxy to Grafana with provisioned dashboards</w:t>
            </w:r>
          </w:p>
        </w:tc>
      </w:tr>
      <w:tr>
        <w:trPr>
          <w:cantSplit/>
        </w:trPr>
        <w:tc>
          <w:tcPr>
            <w:tcW w:type="dxa" w:w="3552"/>
            <w:vAlign w:val="top"/>
          </w:tcPr>
          <w:p>
            <w:r/>
            <w:r>
              <w:rPr>
                <w:b w:val="0"/>
                <w:sz w:val="17"/>
              </w:rPr>
              <w:t>Analytics UI</w:t>
            </w:r>
          </w:p>
        </w:tc>
        <w:tc>
          <w:tcPr>
            <w:tcW w:type="dxa" w:w="3552"/>
            <w:vAlign w:val="top"/>
          </w:tcPr>
          <w:p>
            <w:r/>
            <w:r>
              <w:rPr>
                <w:b w:val="0"/>
                <w:sz w:val="17"/>
              </w:rPr>
              <w:t>http://&lt;host&gt;:8080/analytics/ui/</w:t>
            </w:r>
          </w:p>
        </w:tc>
        <w:tc>
          <w:tcPr>
            <w:tcW w:type="dxa" w:w="3552"/>
            <w:vAlign w:val="top"/>
          </w:tcPr>
          <w:p>
            <w:r/>
            <w:r>
              <w:rPr>
                <w:b w:val="0"/>
                <w:sz w:val="17"/>
              </w:rPr>
              <w:t>FastAPI-rendered analytics templates</w:t>
            </w:r>
          </w:p>
        </w:tc>
      </w:tr>
      <w:tr>
        <w:trPr>
          <w:cantSplit/>
        </w:trPr>
        <w:tc>
          <w:tcPr>
            <w:tcW w:type="dxa" w:w="3552"/>
            <w:vAlign w:val="top"/>
          </w:tcPr>
          <w:p>
            <w:r/>
            <w:r>
              <w:rPr>
                <w:b w:val="0"/>
                <w:sz w:val="17"/>
              </w:rPr>
              <w:t>Analytics API docs</w:t>
            </w:r>
          </w:p>
        </w:tc>
        <w:tc>
          <w:tcPr>
            <w:tcW w:type="dxa" w:w="3552"/>
            <w:vAlign w:val="top"/>
          </w:tcPr>
          <w:p>
            <w:r/>
            <w:r>
              <w:rPr>
                <w:b w:val="0"/>
                <w:sz w:val="17"/>
              </w:rPr>
              <w:t>http://&lt;host&gt;:8080/api/analytics/docs</w:t>
            </w:r>
          </w:p>
        </w:tc>
        <w:tc>
          <w:tcPr>
            <w:tcW w:type="dxa" w:w="3552"/>
            <w:vAlign w:val="top"/>
          </w:tcPr>
          <w:p>
            <w:r/>
            <w:r>
              <w:rPr>
                <w:b w:val="0"/>
                <w:sz w:val="17"/>
              </w:rPr>
              <w:t>Nginx proxy to analytics OpenAPI docs</w:t>
            </w:r>
          </w:p>
        </w:tc>
      </w:tr>
      <w:tr>
        <w:trPr>
          <w:cantSplit/>
        </w:trPr>
        <w:tc>
          <w:tcPr>
            <w:tcW w:type="dxa" w:w="3552"/>
            <w:vAlign w:val="top"/>
          </w:tcPr>
          <w:p>
            <w:r/>
            <w:r>
              <w:rPr>
                <w:b w:val="0"/>
                <w:sz w:val="17"/>
              </w:rPr>
              <w:t>Simulator docs</w:t>
            </w:r>
          </w:p>
        </w:tc>
        <w:tc>
          <w:tcPr>
            <w:tcW w:type="dxa" w:w="3552"/>
            <w:vAlign w:val="top"/>
          </w:tcPr>
          <w:p>
            <w:r/>
            <w:r>
              <w:rPr>
                <w:b w:val="0"/>
                <w:sz w:val="17"/>
              </w:rPr>
              <w:t>http://&lt;host&gt;:8080/api/simulator/docs</w:t>
            </w:r>
          </w:p>
        </w:tc>
        <w:tc>
          <w:tcPr>
            <w:tcW w:type="dxa" w:w="3552"/>
            <w:vAlign w:val="top"/>
          </w:tcPr>
          <w:p>
            <w:r/>
            <w:r>
              <w:rPr>
                <w:b w:val="0"/>
                <w:sz w:val="17"/>
              </w:rPr>
              <w:t>Nginx proxy to simulator OpenAPI docs</w:t>
            </w:r>
          </w:p>
        </w:tc>
      </w:tr>
      <w:tr>
        <w:trPr>
          <w:cantSplit/>
        </w:trPr>
        <w:tc>
          <w:tcPr>
            <w:tcW w:type="dxa" w:w="3552"/>
            <w:vAlign w:val="top"/>
          </w:tcPr>
          <w:p>
            <w:pPr>
              <w:keepNext/>
            </w:pPr>
            <w:r/>
            <w:r>
              <w:rPr>
                <w:b w:val="0"/>
                <w:sz w:val="17"/>
              </w:rPr>
              <w:t>Node-RED</w:t>
            </w:r>
          </w:p>
        </w:tc>
        <w:tc>
          <w:tcPr>
            <w:tcW w:type="dxa" w:w="3552"/>
            <w:vAlign w:val="top"/>
          </w:tcPr>
          <w:p>
            <w:pPr>
              <w:keepNext/>
            </w:pPr>
            <w:r/>
            <w:r>
              <w:rPr>
                <w:b w:val="0"/>
                <w:sz w:val="17"/>
              </w:rPr>
              <w:t>http://&lt;host&gt;:1881 or http://&lt;host&gt;:8080/nodered/</w:t>
            </w:r>
          </w:p>
        </w:tc>
        <w:tc>
          <w:tcPr>
            <w:tcW w:type="dxa" w:w="3552"/>
            <w:vAlign w:val="top"/>
          </w:tcPr>
          <w:p>
            <w:pPr>
              <w:keepNext/>
            </w:pPr>
            <w:r/>
            <w:r>
              <w:rPr>
                <w:b w:val="0"/>
                <w:sz w:val="17"/>
              </w:rPr>
              <w:t>Admin UI protected by Node-RED credentials</w:t>
            </w:r>
          </w:p>
        </w:tc>
      </w:tr>
      <w:tr>
        <w:trPr>
          <w:cantSplit/>
        </w:trPr>
        <w:tc>
          <w:tcPr>
            <w:tcW w:type="dxa" w:w="3552"/>
            <w:vAlign w:val="top"/>
          </w:tcPr>
          <w:p>
            <w:r/>
            <w:r>
              <w:rPr>
                <w:b w:val="0"/>
                <w:sz w:val="17"/>
              </w:rPr>
              <w:t>OVOS bridge</w:t>
            </w:r>
          </w:p>
        </w:tc>
        <w:tc>
          <w:tcPr>
            <w:tcW w:type="dxa" w:w="3552"/>
            <w:vAlign w:val="top"/>
          </w:tcPr>
          <w:p>
            <w:r/>
            <w:r>
              <w:rPr>
                <w:b w:val="0"/>
                <w:sz w:val="17"/>
              </w:rPr>
              <w:t>http://&lt;host&gt;:5000/health</w:t>
            </w:r>
          </w:p>
        </w:tc>
        <w:tc>
          <w:tcPr>
            <w:tcW w:type="dxa" w:w="3552"/>
            <w:vAlign w:val="top"/>
          </w:tcPr>
          <w:p>
            <w:r/>
            <w:r>
              <w:rPr>
                <w:b w:val="0"/>
                <w:sz w:val="17"/>
              </w:rPr>
              <w:t>Available when the separate OVOS-EnMS runtime is deployed</w:t>
            </w:r>
          </w:p>
        </w:tc>
      </w:tr>
    </w:tbl>
    <w:p/>
    <w:p>
      <w:r>
        <w:t>Access endpoints should be verified after startup and adjusted for DNS, TLS, firewall, and target-host configuration in production.</w:t>
      </w:r>
    </w:p>
    <w:p>
      <w:pPr>
        <w:pStyle w:val="Heading1"/>
      </w:pPr>
      <w:r>
        <w:t>Main Workflows</w:t>
      </w:r>
    </w:p>
    <w:p>
      <w:r>
        <w:t>The workflow table summarizes the operational paths users and operators will exercise most often.</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Workflow</w:t>
            </w:r>
          </w:p>
        </w:tc>
        <w:tc>
          <w:tcPr>
            <w:tcW w:type="dxa" w:w="3552"/>
            <w:vAlign w:val="top"/>
            <w:shd w:fill="D9EAF7"/>
          </w:tcPr>
          <w:p>
            <w:r/>
            <w:r>
              <w:rPr>
                <w:b/>
                <w:sz w:val="17"/>
              </w:rPr>
              <w:t>Implementation path</w:t>
            </w:r>
          </w:p>
        </w:tc>
        <w:tc>
          <w:tcPr>
            <w:tcW w:type="dxa" w:w="3552"/>
            <w:vAlign w:val="top"/>
            <w:shd w:fill="D9EAF7"/>
          </w:tcPr>
          <w:p>
            <w:r/>
            <w:r>
              <w:rPr>
                <w:b/>
                <w:sz w:val="17"/>
              </w:rPr>
              <w:t>Result</w:t>
            </w:r>
          </w:p>
        </w:tc>
      </w:tr>
      <w:tr>
        <w:trPr>
          <w:cantSplit/>
        </w:trPr>
        <w:tc>
          <w:tcPr>
            <w:tcW w:type="dxa" w:w="3552"/>
            <w:vAlign w:val="top"/>
          </w:tcPr>
          <w:p>
            <w:r/>
            <w:r>
              <w:rPr>
                <w:b w:val="0"/>
                <w:sz w:val="17"/>
              </w:rPr>
              <w:t>Start system</w:t>
            </w:r>
          </w:p>
        </w:tc>
        <w:tc>
          <w:tcPr>
            <w:tcW w:type="dxa" w:w="3552"/>
            <w:vAlign w:val="top"/>
          </w:tcPr>
          <w:p>
            <w:r/>
            <w:r>
              <w:rPr>
                <w:b w:val="0"/>
                <w:sz w:val="17"/>
              </w:rPr>
              <w:t>./setup.sh or docker compose build/up</w:t>
            </w:r>
          </w:p>
        </w:tc>
        <w:tc>
          <w:tcPr>
            <w:tcW w:type="dxa" w:w="3552"/>
            <w:vAlign w:val="top"/>
          </w:tcPr>
          <w:p>
            <w:r/>
            <w:r>
              <w:rPr>
                <w:b w:val="0"/>
                <w:sz w:val="17"/>
              </w:rPr>
              <w:t>Services start with generated or configured environment values.</w:t>
            </w:r>
          </w:p>
        </w:tc>
      </w:tr>
      <w:tr>
        <w:trPr>
          <w:cantSplit/>
        </w:trPr>
        <w:tc>
          <w:tcPr>
            <w:tcW w:type="dxa" w:w="3552"/>
            <w:vAlign w:val="top"/>
          </w:tcPr>
          <w:p>
            <w:r/>
            <w:r>
              <w:rPr>
                <w:b w:val="0"/>
                <w:sz w:val="17"/>
              </w:rPr>
              <w:t>Generate telemetry</w:t>
            </w:r>
          </w:p>
        </w:tc>
        <w:tc>
          <w:tcPr>
            <w:tcW w:type="dxa" w:w="3552"/>
            <w:vAlign w:val="top"/>
          </w:tcPr>
          <w:p>
            <w:r/>
            <w:r>
              <w:rPr>
                <w:b w:val="0"/>
                <w:sz w:val="17"/>
              </w:rPr>
              <w:t>simulator -&gt; MQTT -&gt; Node-RED -&gt; PostgreSQL</w:t>
            </w:r>
          </w:p>
        </w:tc>
        <w:tc>
          <w:tcPr>
            <w:tcW w:type="dxa" w:w="3552"/>
            <w:vAlign w:val="top"/>
          </w:tcPr>
          <w:p>
            <w:r/>
            <w:r>
              <w:rPr>
                <w:b w:val="0"/>
                <w:sz w:val="17"/>
              </w:rPr>
              <w:t>Energy, production, environmental, status, and selected multi-energy data are stored.</w:t>
            </w:r>
          </w:p>
        </w:tc>
      </w:tr>
      <w:tr>
        <w:trPr>
          <w:cantSplit/>
        </w:trPr>
        <w:tc>
          <w:tcPr>
            <w:tcW w:type="dxa" w:w="3552"/>
            <w:vAlign w:val="top"/>
          </w:tcPr>
          <w:p>
            <w:r/>
            <w:r>
              <w:rPr>
                <w:b w:val="0"/>
                <w:sz w:val="17"/>
              </w:rPr>
              <w:t>View dashboards</w:t>
            </w:r>
          </w:p>
        </w:tc>
        <w:tc>
          <w:tcPr>
            <w:tcW w:type="dxa" w:w="3552"/>
            <w:vAlign w:val="top"/>
          </w:tcPr>
          <w:p>
            <w:r/>
            <w:r>
              <w:rPr>
                <w:b w:val="0"/>
                <w:sz w:val="17"/>
              </w:rPr>
              <w:t>Grafana through Nginx or direct port</w:t>
            </w:r>
          </w:p>
        </w:tc>
        <w:tc>
          <w:tcPr>
            <w:tcW w:type="dxa" w:w="3552"/>
            <w:vAlign w:val="top"/>
          </w:tcPr>
          <w:p>
            <w:r/>
            <w:r>
              <w:rPr>
                <w:b w:val="0"/>
                <w:sz w:val="17"/>
              </w:rPr>
              <w:t>Configured SOTA dashboard JSON views are available.</w:t>
            </w:r>
          </w:p>
        </w:tc>
      </w:tr>
      <w:tr>
        <w:trPr>
          <w:cantSplit/>
        </w:trPr>
        <w:tc>
          <w:tcPr>
            <w:tcW w:type="dxa" w:w="3552"/>
            <w:vAlign w:val="top"/>
          </w:tcPr>
          <w:p>
            <w:r/>
            <w:r>
              <w:rPr>
                <w:b w:val="0"/>
                <w:sz w:val="17"/>
              </w:rPr>
              <w:t>Use analytics APIs</w:t>
            </w:r>
          </w:p>
        </w:tc>
        <w:tc>
          <w:tcPr>
            <w:tcW w:type="dxa" w:w="3552"/>
            <w:vAlign w:val="top"/>
          </w:tcPr>
          <w:p>
            <w:r/>
            <w:r>
              <w:rPr>
                <w:b w:val="0"/>
                <w:sz w:val="17"/>
              </w:rPr>
              <w:t>FastAPI analytics service under /api/v1</w:t>
            </w:r>
          </w:p>
        </w:tc>
        <w:tc>
          <w:tcPr>
            <w:tcW w:type="dxa" w:w="3552"/>
            <w:vAlign w:val="top"/>
          </w:tcPr>
          <w:p>
            <w:r/>
            <w:r>
              <w:rPr>
                <w:b w:val="0"/>
                <w:sz w:val="17"/>
              </w:rPr>
              <w:t>KPIs, baselines, forecasts, anomalies, reports, and related data are exposed.</w:t>
            </w:r>
          </w:p>
        </w:tc>
      </w:tr>
      <w:tr>
        <w:trPr>
          <w:cantSplit/>
        </w:trPr>
        <w:tc>
          <w:tcPr>
            <w:tcW w:type="dxa" w:w="3552"/>
            <w:vAlign w:val="top"/>
          </w:tcPr>
          <w:p>
            <w:r/>
            <w:r>
              <w:rPr>
                <w:b w:val="0"/>
                <w:sz w:val="17"/>
              </w:rPr>
              <w:t>Authenticate/admin</w:t>
            </w:r>
          </w:p>
        </w:tc>
        <w:tc>
          <w:tcPr>
            <w:tcW w:type="dxa" w:w="3552"/>
            <w:vAlign w:val="top"/>
          </w:tcPr>
          <w:p>
            <w:r/>
            <w:r>
              <w:rPr>
                <w:b w:val="0"/>
                <w:sz w:val="17"/>
              </w:rPr>
              <w:t>auth-service through portal and /api/auth, /api/admin</w:t>
            </w:r>
          </w:p>
        </w:tc>
        <w:tc>
          <w:tcPr>
            <w:tcW w:type="dxa" w:w="3552"/>
            <w:vAlign w:val="top"/>
          </w:tcPr>
          <w:p>
            <w:r/>
            <w:r>
              <w:rPr>
                <w:b w:val="0"/>
                <w:sz w:val="17"/>
              </w:rPr>
              <w:t>Registration/login/admin/session flows use JWT and database tables.</w:t>
            </w:r>
          </w:p>
        </w:tc>
      </w:tr>
      <w:tr>
        <w:trPr>
          <w:cantSplit/>
        </w:trPr>
        <w:tc>
          <w:tcPr>
            <w:tcW w:type="dxa" w:w="3552"/>
            <w:vAlign w:val="top"/>
          </w:tcPr>
          <w:p>
            <w:r/>
            <w:r>
              <w:rPr>
                <w:b w:val="0"/>
                <w:sz w:val="17"/>
              </w:rPr>
              <w:t>Ask text help questions</w:t>
            </w:r>
          </w:p>
        </w:tc>
        <w:tc>
          <w:tcPr>
            <w:tcW w:type="dxa" w:w="3552"/>
            <w:vAlign w:val="top"/>
          </w:tcPr>
          <w:p>
            <w:r/>
            <w:r>
              <w:rPr>
                <w:b w:val="0"/>
                <w:sz w:val="17"/>
              </w:rPr>
              <w:t>chatbot Express proxy -&gt; Rasa -&gt; custom action QA retrieval</w:t>
            </w:r>
          </w:p>
        </w:tc>
        <w:tc>
          <w:tcPr>
            <w:tcW w:type="dxa" w:w="3552"/>
            <w:vAlign w:val="top"/>
          </w:tcPr>
          <w:p>
            <w:r/>
            <w:r>
              <w:rPr>
                <w:b w:val="0"/>
                <w:sz w:val="17"/>
              </w:rPr>
              <w:t>Knowledge/help answers from qa_data.json categories.</w:t>
            </w:r>
          </w:p>
        </w:tc>
      </w:tr>
      <w:tr>
        <w:trPr>
          <w:cantSplit/>
        </w:trPr>
        <w:tc>
          <w:tcPr>
            <w:tcW w:type="dxa" w:w="3552"/>
            <w:vAlign w:val="top"/>
          </w:tcPr>
          <w:p>
            <w:pPr>
              <w:keepNext/>
            </w:pPr>
            <w:r/>
            <w:r>
              <w:rPr>
                <w:b w:val="0"/>
                <w:sz w:val="17"/>
              </w:rPr>
              <w:t>Ask operational assistant questions</w:t>
            </w:r>
          </w:p>
        </w:tc>
        <w:tc>
          <w:tcPr>
            <w:tcW w:type="dxa" w:w="3552"/>
            <w:vAlign w:val="top"/>
          </w:tcPr>
          <w:p>
            <w:pPr>
              <w:keepNext/>
            </w:pPr>
            <w:r/>
            <w:r>
              <w:rPr>
                <w:b w:val="0"/>
                <w:sz w:val="17"/>
              </w:rPr>
              <w:t>OVOS REST bridge -&gt; messagebus -&gt; EnMS skill -&gt; analytics API</w:t>
            </w:r>
          </w:p>
        </w:tc>
        <w:tc>
          <w:tcPr>
            <w:tcW w:type="dxa" w:w="3552"/>
            <w:vAlign w:val="top"/>
          </w:tcPr>
          <w:p>
            <w:pPr>
              <w:keepNext/>
            </w:pPr>
            <w:r/>
            <w:r>
              <w:rPr>
                <w:b w:val="0"/>
                <w:sz w:val="17"/>
              </w:rPr>
              <w:t>Voice/text operational responses with structured data.</w:t>
            </w:r>
          </w:p>
        </w:tc>
      </w:tr>
      <w:tr>
        <w:trPr>
          <w:cantSplit/>
        </w:trPr>
        <w:tc>
          <w:tcPr>
            <w:tcW w:type="dxa" w:w="3552"/>
            <w:vAlign w:val="top"/>
          </w:tcPr>
          <w:p>
            <w:r/>
            <w:r>
              <w:rPr>
                <w:b w:val="0"/>
                <w:sz w:val="17"/>
              </w:rPr>
              <w:t>Generate reports</w:t>
            </w:r>
          </w:p>
        </w:tc>
        <w:tc>
          <w:tcPr>
            <w:tcW w:type="dxa" w:w="3552"/>
            <w:vAlign w:val="top"/>
          </w:tcPr>
          <w:p>
            <w:r/>
            <w:r>
              <w:rPr>
                <w:b w:val="0"/>
                <w:sz w:val="17"/>
              </w:rPr>
              <w:t>analytics report endpoints</w:t>
            </w:r>
          </w:p>
        </w:tc>
        <w:tc>
          <w:tcPr>
            <w:tcW w:type="dxa" w:w="3552"/>
            <w:vAlign w:val="top"/>
          </w:tcPr>
          <w:p>
            <w:r/>
            <w:r>
              <w:rPr>
                <w:b w:val="0"/>
                <w:sz w:val="17"/>
              </w:rPr>
              <w:t>Legacy monthly EnPI PDF and V2 PDF paths are available.</w:t>
            </w:r>
          </w:p>
        </w:tc>
      </w:tr>
    </w:tbl>
    <w:p/>
    <w:p>
      <w:r>
        <w:t>The workflows show how data and users move through the system, which is useful for demonstrations, support planning, and acceptance testing.</w:t>
      </w:r>
    </w:p>
    <w:p>
      <w:pPr>
        <w:pStyle w:val="Heading1"/>
      </w:pPr>
      <w:r>
        <w:t>Operator Guide</w:t>
      </w:r>
    </w:p>
    <w:p>
      <w:pPr>
        <w:pStyle w:val="ListBullet"/>
      </w:pPr>
      <w:r>
        <w:t>Use docker compose ps and service health endpoints for daily status checks.</w:t>
      </w:r>
    </w:p>
    <w:p>
      <w:pPr>
        <w:pStyle w:val="ListBullet"/>
      </w:pPr>
      <w:r>
        <w:t>Check Nginx first for browser routing issues, then the owning upstream service.</w:t>
      </w:r>
    </w:p>
    <w:p>
      <w:pPr>
        <w:pStyle w:val="ListBullet"/>
      </w:pPr>
      <w:r>
        <w:t>Inspect simulator, MQTT, Node-RED, and PostgreSQL together for data-ingestion issues.</w:t>
      </w:r>
    </w:p>
    <w:p>
      <w:pPr>
        <w:pStyle w:val="ListBullet"/>
      </w:pPr>
      <w:r>
        <w:t>Use the tracked JSON files under grafana/dashboards and Grafana provisioning files for dashboard review and controlled updates.</w:t>
      </w:r>
    </w:p>
    <w:p>
      <w:pPr>
        <w:pStyle w:val="ListBullet"/>
      </w:pPr>
      <w:r>
        <w:t>Use pg_dump or platform backup tooling for PostgreSQL; no generic tracked database backup script exists.</w:t>
      </w:r>
    </w:p>
    <w:p>
      <w:pPr>
        <w:pStyle w:val="ListBullet"/>
      </w:pPr>
      <w:r>
        <w:t>Avoid docker compose down -v unless the purpose is deliberate persistent data deletion.</w:t>
      </w:r>
    </w:p>
    <w:p>
      <w:pPr>
        <w:pStyle w:val="Heading1"/>
      </w:pPr>
      <w:r>
        <w:t>Analytics, Dashboards, Reports, And Assistants</w:t>
      </w:r>
    </w:p>
    <w:p>
      <w:r>
        <w:t>Analytics capabilities include baseline training/prediction/deviation, KPI functions, forecasting, anomaly detection/search, machine status and time series, comparison/visualization data, model performance, production metrics, performance analysis, ISO 50001/SEU endpoints, and report generation.</w:t>
      </w:r>
    </w:p>
    <w:p>
      <w:r>
        <w:t>Dashboards are configured in Grafana JSON and provisioned through the Grafana provisioning directory. The Rasa chatbot is a text help/knowledge assistant, while OVOS-EnMS is the operational natural-language assistant integrated with live backend APIs.</w:t>
      </w:r>
    </w:p>
    <w:p>
      <w:r>
        <w:t>This table distinguishes dashboards, analytics UI, text chatbot behavior, and OVOS operational assistant behavior.</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Dashboard or assistant</w:t>
            </w:r>
          </w:p>
        </w:tc>
        <w:tc>
          <w:tcPr>
            <w:tcW w:type="dxa" w:w="5328"/>
            <w:vAlign w:val="top"/>
            <w:shd w:fill="D9EAF7"/>
          </w:tcPr>
          <w:p>
            <w:r/>
            <w:r>
              <w:rPr>
                <w:b/>
                <w:sz w:val="17"/>
              </w:rPr>
              <w:t>Purpose</w:t>
            </w:r>
          </w:p>
        </w:tc>
      </w:tr>
      <w:tr>
        <w:trPr>
          <w:cantSplit/>
        </w:trPr>
        <w:tc>
          <w:tcPr>
            <w:tcW w:type="dxa" w:w="5328"/>
            <w:vAlign w:val="top"/>
          </w:tcPr>
          <w:p>
            <w:r/>
            <w:r>
              <w:rPr>
                <w:b w:val="0"/>
                <w:sz w:val="17"/>
              </w:rPr>
              <w:t>Grafana dashboards</w:t>
            </w:r>
          </w:p>
        </w:tc>
        <w:tc>
          <w:tcPr>
            <w:tcW w:type="dxa" w:w="5328"/>
            <w:vAlign w:val="top"/>
          </w:tcPr>
          <w:p>
            <w:r/>
            <w:r>
              <w:rPr>
                <w:b w:val="0"/>
                <w:sz w:val="17"/>
              </w:rPr>
              <w:t>Operational, executive, cost, carbon, ISO 50001, anomaly, model, production, and predictive views.</w:t>
            </w:r>
          </w:p>
        </w:tc>
      </w:tr>
      <w:tr>
        <w:trPr>
          <w:cantSplit/>
        </w:trPr>
        <w:tc>
          <w:tcPr>
            <w:tcW w:type="dxa" w:w="5328"/>
            <w:vAlign w:val="top"/>
          </w:tcPr>
          <w:p>
            <w:r/>
            <w:r>
              <w:rPr>
                <w:b w:val="0"/>
                <w:sz w:val="17"/>
              </w:rPr>
              <w:t>Analytics UI</w:t>
            </w:r>
          </w:p>
        </w:tc>
        <w:tc>
          <w:tcPr>
            <w:tcW w:type="dxa" w:w="5328"/>
            <w:vAlign w:val="top"/>
          </w:tcPr>
          <w:p>
            <w:r/>
            <w:r>
              <w:rPr>
                <w:b w:val="0"/>
                <w:sz w:val="17"/>
              </w:rPr>
              <w:t>FastAPI-rendered pages for dashboards, baselines, anomalies, KPIs, forecasts, Sankey, heatmap, comparison, and model performance.</w:t>
            </w:r>
          </w:p>
        </w:tc>
      </w:tr>
      <w:tr>
        <w:trPr>
          <w:cantSplit/>
        </w:trPr>
        <w:tc>
          <w:tcPr>
            <w:tcW w:type="dxa" w:w="5328"/>
            <w:vAlign w:val="top"/>
          </w:tcPr>
          <w:p>
            <w:pPr>
              <w:keepNext/>
            </w:pPr>
            <w:r/>
            <w:r>
              <w:rPr>
                <w:b w:val="0"/>
                <w:sz w:val="17"/>
              </w:rPr>
              <w:t>Rasa chatbot</w:t>
            </w:r>
          </w:p>
        </w:tc>
        <w:tc>
          <w:tcPr>
            <w:tcW w:type="dxa" w:w="5328"/>
            <w:vAlign w:val="top"/>
          </w:tcPr>
          <w:p>
            <w:pPr>
              <w:keepNext/>
            </w:pPr>
            <w:r/>
            <w:r>
              <w:rPr>
                <w:b w:val="0"/>
                <w:sz w:val="17"/>
              </w:rPr>
              <w:t>Text knowledge/help assistant using QA categories and custom retrieval action.</w:t>
            </w:r>
          </w:p>
        </w:tc>
      </w:tr>
      <w:tr>
        <w:trPr>
          <w:cantSplit/>
        </w:trPr>
        <w:tc>
          <w:tcPr>
            <w:tcW w:type="dxa" w:w="5328"/>
            <w:vAlign w:val="top"/>
          </w:tcPr>
          <w:p>
            <w:r/>
            <w:r>
              <w:rPr>
                <w:b w:val="0"/>
                <w:sz w:val="17"/>
              </w:rPr>
              <w:t>OVOS-EnMS</w:t>
            </w:r>
          </w:p>
        </w:tc>
        <w:tc>
          <w:tcPr>
            <w:tcW w:type="dxa" w:w="5328"/>
            <w:vAlign w:val="top"/>
          </w:tcPr>
          <w:p>
            <w:r/>
            <w:r>
              <w:rPr>
                <w:b w:val="0"/>
                <w:sz w:val="17"/>
              </w:rPr>
              <w:t>Operational assistant for energy, power, machine status, rankings, anomalies, forecasts, baselines, KPIs, reports, help, and health checks.</w:t>
            </w:r>
          </w:p>
        </w:tc>
      </w:tr>
    </w:tbl>
    <w:p/>
    <w:p>
      <w:r>
        <w:t>The table clarifies that dashboards, API views, Rasa help, and OVOS operational queries serve different user needs and have different validation requirements.</w:t>
      </w:r>
    </w:p>
    <w:p>
      <w:pPr>
        <w:pStyle w:val="Heading1"/>
      </w:pPr>
      <w:r>
        <w:t>Maintenance And Troubleshooting</w:t>
      </w:r>
    </w:p>
    <w:p>
      <w:r>
        <w:t>Maintenance should focus on credential rotation, backup verification, dashboard export/commit policy, disk usage, restart counts, recent errors, image/base dependency review, and firewall/public route review. Production hardening requires operator policy beyond the repository defaults.</w:t>
      </w:r>
    </w:p>
    <w:p>
      <w:r>
        <w:t>The maintenance table summarizes recurring operator responsibilities after installation.</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Maintenance area</w:t>
            </w:r>
          </w:p>
        </w:tc>
        <w:tc>
          <w:tcPr>
            <w:tcW w:type="dxa" w:w="5328"/>
            <w:vAlign w:val="top"/>
            <w:shd w:fill="D9EAF7"/>
          </w:tcPr>
          <w:p>
            <w:r/>
            <w:r>
              <w:rPr>
                <w:b/>
                <w:sz w:val="17"/>
              </w:rPr>
              <w:t>Recommended review</w:t>
            </w:r>
          </w:p>
        </w:tc>
      </w:tr>
      <w:tr>
        <w:trPr>
          <w:cantSplit/>
        </w:trPr>
        <w:tc>
          <w:tcPr>
            <w:tcW w:type="dxa" w:w="5328"/>
            <w:vAlign w:val="top"/>
          </w:tcPr>
          <w:p>
            <w:r/>
            <w:r>
              <w:rPr>
                <w:b w:val="0"/>
                <w:sz w:val="17"/>
              </w:rPr>
              <w:t>Credentials</w:t>
            </w:r>
          </w:p>
        </w:tc>
        <w:tc>
          <w:tcPr>
            <w:tcW w:type="dxa" w:w="5328"/>
            <w:vAlign w:val="top"/>
          </w:tcPr>
          <w:p>
            <w:r/>
            <w:r>
              <w:rPr>
                <w:b w:val="0"/>
                <w:sz w:val="17"/>
              </w:rPr>
              <w:t>Rotate generated first-run values and any exposed credentials.</w:t>
            </w:r>
          </w:p>
        </w:tc>
      </w:tr>
      <w:tr>
        <w:trPr>
          <w:cantSplit/>
        </w:trPr>
        <w:tc>
          <w:tcPr>
            <w:tcW w:type="dxa" w:w="5328"/>
            <w:vAlign w:val="top"/>
          </w:tcPr>
          <w:p>
            <w:r/>
            <w:r>
              <w:rPr>
                <w:b w:val="0"/>
                <w:sz w:val="17"/>
              </w:rPr>
              <w:t>Backups</w:t>
            </w:r>
          </w:p>
        </w:tc>
        <w:tc>
          <w:tcPr>
            <w:tcW w:type="dxa" w:w="5328"/>
            <w:vAlign w:val="top"/>
          </w:tcPr>
          <w:p>
            <w:r/>
            <w:r>
              <w:rPr>
                <w:b w:val="0"/>
                <w:sz w:val="17"/>
              </w:rPr>
              <w:t>Test PostgreSQL restore; back up Grafana dashboards and Docker volumes.</w:t>
            </w:r>
          </w:p>
        </w:tc>
      </w:tr>
      <w:tr>
        <w:trPr>
          <w:cantSplit/>
        </w:trPr>
        <w:tc>
          <w:tcPr>
            <w:tcW w:type="dxa" w:w="5328"/>
            <w:vAlign w:val="top"/>
          </w:tcPr>
          <w:p>
            <w:r/>
            <w:r>
              <w:rPr>
                <w:b w:val="0"/>
                <w:sz w:val="17"/>
              </w:rPr>
              <w:t>Dashboards</w:t>
            </w:r>
          </w:p>
        </w:tc>
        <w:tc>
          <w:tcPr>
            <w:tcW w:type="dxa" w:w="5328"/>
            <w:vAlign w:val="top"/>
          </w:tcPr>
          <w:p>
            <w:r/>
            <w:r>
              <w:rPr>
                <w:b w:val="0"/>
                <w:sz w:val="17"/>
              </w:rPr>
              <w:t>Commit intended Grafana JSON changes after backup/export.</w:t>
            </w:r>
          </w:p>
        </w:tc>
      </w:tr>
      <w:tr>
        <w:trPr>
          <w:cantSplit/>
        </w:trPr>
        <w:tc>
          <w:tcPr>
            <w:tcW w:type="dxa" w:w="5328"/>
            <w:vAlign w:val="top"/>
          </w:tcPr>
          <w:p>
            <w:r/>
            <w:r>
              <w:rPr>
                <w:b w:val="0"/>
                <w:sz w:val="17"/>
              </w:rPr>
              <w:t>Telemetry</w:t>
            </w:r>
          </w:p>
        </w:tc>
        <w:tc>
          <w:tcPr>
            <w:tcW w:type="dxa" w:w="5328"/>
            <w:vAlign w:val="top"/>
          </w:tcPr>
          <w:p>
            <w:r/>
            <w:r>
              <w:rPr>
                <w:b w:val="0"/>
                <w:sz w:val="17"/>
              </w:rPr>
              <w:t>Confirm simulator/MQTT/Node-RED/PostgreSQL are all healthy when data appears stale.</w:t>
            </w:r>
          </w:p>
        </w:tc>
      </w:tr>
      <w:tr>
        <w:trPr>
          <w:cantSplit/>
        </w:trPr>
        <w:tc>
          <w:tcPr>
            <w:tcW w:type="dxa" w:w="5328"/>
            <w:vAlign w:val="top"/>
          </w:tcPr>
          <w:p>
            <w:pPr>
              <w:keepNext/>
            </w:pPr>
            <w:r/>
            <w:r>
              <w:rPr>
                <w:b w:val="0"/>
                <w:sz w:val="17"/>
              </w:rPr>
              <w:t>OVOS</w:t>
            </w:r>
          </w:p>
        </w:tc>
        <w:tc>
          <w:tcPr>
            <w:tcW w:type="dxa" w:w="5328"/>
            <w:vAlign w:val="top"/>
          </w:tcPr>
          <w:p>
            <w:pPr>
              <w:keepNext/>
            </w:pPr>
            <w:r/>
            <w:r>
              <w:rPr>
                <w:b w:val="0"/>
                <w:sz w:val="17"/>
              </w:rPr>
              <w:t>Confirm /health messagebus_connected and smoke query when assistant is required.</w:t>
            </w:r>
          </w:p>
        </w:tc>
      </w:tr>
      <w:tr>
        <w:trPr>
          <w:cantSplit/>
        </w:trPr>
        <w:tc>
          <w:tcPr>
            <w:tcW w:type="dxa" w:w="5328"/>
            <w:vAlign w:val="top"/>
          </w:tcPr>
          <w:p>
            <w:r/>
            <w:r>
              <w:rPr>
                <w:b w:val="0"/>
                <w:sz w:val="17"/>
              </w:rPr>
              <w:t>Docs</w:t>
            </w:r>
          </w:p>
        </w:tc>
        <w:tc>
          <w:tcPr>
            <w:tcW w:type="dxa" w:w="5328"/>
            <w:vAlign w:val="top"/>
          </w:tcPr>
          <w:p>
            <w:r/>
            <w:r>
              <w:rPr>
                <w:b w:val="0"/>
                <w:sz w:val="17"/>
              </w:rPr>
              <w:t>Update final documents when route, schema, compose, or packaging behavior changes.</w:t>
            </w:r>
          </w:p>
        </w:tc>
      </w:tr>
    </w:tbl>
    <w:p/>
    <w:p>
      <w:r>
        <w:t>These responsibilities form the ongoing operating model after initial installation.</w:t>
      </w:r>
    </w:p>
    <w:p>
      <w:pPr>
        <w:pStyle w:val="Heading1"/>
      </w:pPr>
      <w:r>
        <w:t>Final Delivery Notes</w:t>
      </w:r>
    </w:p>
    <w:p>
      <w:pPr>
        <w:pStyle w:val="ListBullet"/>
      </w:pPr>
      <w:r>
        <w:t>The documentation package relies on the GitHub production source tree and the separate OVOS-EnMS repository, not on untracked local release artifacts.</w:t>
      </w:r>
    </w:p>
    <w:p>
      <w:pPr>
        <w:pStyle w:val="ListBullet"/>
      </w:pPr>
      <w:r>
        <w:t>.env is not shipped and must not be disclosed.</w:t>
      </w:r>
    </w:p>
    <w:p>
      <w:pPr>
        <w:pStyle w:val="ListBullet"/>
      </w:pPr>
      <w:r>
        <w:t>The optional Qwen GGUF model path and LLM fallback controls are documented from the OVOS-EnMS code/config; model availability must be verified in the deployed OVOS-EnMS runtime.</w:t>
      </w:r>
    </w:p>
    <w:p>
      <w:pPr>
        <w:pStyle w:val="ListBullet"/>
      </w:pPr>
      <w:r>
        <w:t>Runtime health verification belongs to the actual target deployment used for demonstration or handover.</w:t>
      </w:r>
    </w:p>
    <w:p>
      <w:pPr>
        <w:pStyle w:val="Heading1"/>
      </w:pPr>
      <w:r>
        <w:t>Acceptance Checklist</w:t>
      </w:r>
    </w:p>
    <w:p>
      <w:r>
        <w:t>The following checks summarize the deliverable acceptance state for the documentation set.</w:t>
      </w:r>
    </w:p>
    <w:p>
      <w:r>
        <w:t>The acceptance table records the deliverable and traceability checks used to confirm the documentation set.</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Check</w:t>
            </w:r>
          </w:p>
        </w:tc>
        <w:tc>
          <w:tcPr>
            <w:tcW w:type="dxa" w:w="5328"/>
            <w:vAlign w:val="top"/>
            <w:shd w:fill="D9EAF7"/>
          </w:tcPr>
          <w:p>
            <w:r/>
            <w:r>
              <w:rPr>
                <w:b/>
                <w:sz w:val="17"/>
              </w:rPr>
              <w:t>Expected result</w:t>
            </w:r>
          </w:p>
        </w:tc>
      </w:tr>
      <w:tr>
        <w:trPr>
          <w:cantSplit/>
        </w:trPr>
        <w:tc>
          <w:tcPr>
            <w:tcW w:type="dxa" w:w="5328"/>
            <w:vAlign w:val="top"/>
          </w:tcPr>
          <w:p>
            <w:r/>
            <w:r>
              <w:rPr>
                <w:b w:val="0"/>
                <w:sz w:val="17"/>
              </w:rPr>
              <w:t>Documentation files exist</w:t>
            </w:r>
          </w:p>
        </w:tc>
        <w:tc>
          <w:tcPr>
            <w:tcW w:type="dxa" w:w="5328"/>
            <w:vAlign w:val="top"/>
          </w:tcPr>
          <w:p>
            <w:r/>
            <w:r>
              <w:rPr>
                <w:b w:val="0"/>
                <w:sz w:val="17"/>
              </w:rPr>
              <w:t>All six required DOCX files are present under docs/final-delivery/.</w:t>
            </w:r>
          </w:p>
        </w:tc>
      </w:tr>
      <w:tr>
        <w:trPr>
          <w:cantSplit/>
        </w:trPr>
        <w:tc>
          <w:tcPr>
            <w:tcW w:type="dxa" w:w="5328"/>
            <w:vAlign w:val="top"/>
          </w:tcPr>
          <w:p>
            <w:r/>
            <w:r>
              <w:rPr>
                <w:b w:val="0"/>
                <w:sz w:val="17"/>
              </w:rPr>
              <w:t>Traceability</w:t>
            </w:r>
          </w:p>
        </w:tc>
        <w:tc>
          <w:tcPr>
            <w:tcW w:type="dxa" w:w="5328"/>
            <w:vAlign w:val="top"/>
          </w:tcPr>
          <w:p>
            <w:r/>
            <w:r>
              <w:rPr>
                <w:b w:val="0"/>
                <w:sz w:val="17"/>
              </w:rPr>
              <w:t>Source references point to tracked delivery files, implementation code, configuration, and validation evidence.</w:t>
            </w:r>
          </w:p>
        </w:tc>
      </w:tr>
      <w:tr>
        <w:trPr>
          <w:cantSplit/>
        </w:trPr>
        <w:tc>
          <w:tcPr>
            <w:tcW w:type="dxa" w:w="5328"/>
            <w:vAlign w:val="top"/>
          </w:tcPr>
          <w:p>
            <w:r/>
            <w:r>
              <w:rPr>
                <w:b w:val="0"/>
                <w:sz w:val="17"/>
              </w:rPr>
              <w:t>Compose validation</w:t>
            </w:r>
          </w:p>
        </w:tc>
        <w:tc>
          <w:tcPr>
            <w:tcW w:type="dxa" w:w="5328"/>
            <w:vAlign w:val="top"/>
          </w:tcPr>
          <w:p>
            <w:r/>
            <w:r>
              <w:rPr>
                <w:b w:val="0"/>
                <w:sz w:val="17"/>
              </w:rPr>
              <w:t>docker compose config --quiet passes for HumanEnerDIA production; OVOS-EnMS Compose validates separately.</w:t>
            </w:r>
          </w:p>
        </w:tc>
      </w:tr>
      <w:tr>
        <w:trPr>
          <w:cantSplit/>
        </w:trPr>
        <w:tc>
          <w:tcPr>
            <w:tcW w:type="dxa" w:w="5328"/>
            <w:vAlign w:val="top"/>
          </w:tcPr>
          <w:p>
            <w:r/>
            <w:r>
              <w:rPr>
                <w:b w:val="0"/>
                <w:sz w:val="17"/>
              </w:rPr>
              <w:t>DOCX integrity</w:t>
            </w:r>
          </w:p>
        </w:tc>
        <w:tc>
          <w:tcPr>
            <w:tcW w:type="dxa" w:w="5328"/>
            <w:vAlign w:val="top"/>
          </w:tcPr>
          <w:p>
            <w:r/>
            <w:r>
              <w:rPr>
                <w:b w:val="0"/>
                <w:sz w:val="17"/>
              </w:rPr>
              <w:t>All DOCX files open as valid ZIP/DOCX packages and contain embedded media where expected.</w:t>
            </w:r>
          </w:p>
        </w:tc>
      </w:tr>
      <w:tr>
        <w:trPr>
          <w:cantSplit/>
        </w:trPr>
        <w:tc>
          <w:tcPr>
            <w:tcW w:type="dxa" w:w="5328"/>
            <w:vAlign w:val="top"/>
          </w:tcPr>
          <w:p>
            <w:pPr>
              <w:keepNext/>
            </w:pPr>
            <w:r/>
            <w:r>
              <w:rPr>
                <w:b w:val="0"/>
                <w:sz w:val="17"/>
              </w:rPr>
              <w:t>Secrets hygiene</w:t>
            </w:r>
          </w:p>
        </w:tc>
        <w:tc>
          <w:tcPr>
            <w:tcW w:type="dxa" w:w="5328"/>
            <w:vAlign w:val="top"/>
          </w:tcPr>
          <w:p>
            <w:pPr>
              <w:keepNext/>
            </w:pPr>
            <w:r/>
            <w:r>
              <w:rPr>
                <w:b w:val="0"/>
                <w:sz w:val="17"/>
              </w:rPr>
              <w:t>Generated docs and sources are scanned for sensitive placeholders and private values.</w:t>
            </w:r>
          </w:p>
        </w:tc>
      </w:tr>
      <w:tr>
        <w:trPr>
          <w:cantSplit/>
        </w:trPr>
        <w:tc>
          <w:tcPr>
            <w:tcW w:type="dxa" w:w="5328"/>
            <w:vAlign w:val="top"/>
          </w:tcPr>
          <w:p>
            <w:r/>
            <w:r>
              <w:rPr>
                <w:b w:val="0"/>
                <w:sz w:val="17"/>
              </w:rPr>
              <w:t>Scope boundaries</w:t>
            </w:r>
          </w:p>
        </w:tc>
        <w:tc>
          <w:tcPr>
            <w:tcW w:type="dxa" w:w="5328"/>
            <w:vAlign w:val="top"/>
          </w:tcPr>
          <w:p>
            <w:r/>
            <w:r>
              <w:rPr>
                <w:b w:val="0"/>
                <w:sz w:val="17"/>
              </w:rPr>
              <w:t>Runtime validation, audit use, OVOS deployment, and production hardening are clearly defined.</w:t>
            </w:r>
          </w:p>
        </w:tc>
      </w:tr>
    </w:tbl>
    <w:p/>
    <w:p>
      <w:r>
        <w:t>The checklist confirms document completeness and traceability. Live runtime acceptance still depends on checks performed against the target deployment.</w:t>
      </w:r>
    </w:p>
    <w:p>
      <w:pPr>
        <w:pStyle w:val="Heading1"/>
      </w:pPr>
      <w:r>
        <w:t>Demo-Readiness Checklist</w:t>
      </w:r>
    </w:p>
    <w:p>
      <w:r>
        <w:t>For a live demonstration, use this checklist alongside the deployment report and verify.sh. These checks are operational and must be performed on the actual target deployment.</w:t>
      </w:r>
    </w:p>
    <w:p>
      <w:r>
        <w:t>The demo-readiness table lists live checks that must be completed on the actual target deployment before a demonstration.</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Area</w:t>
            </w:r>
          </w:p>
        </w:tc>
        <w:tc>
          <w:tcPr>
            <w:tcW w:type="dxa" w:w="5328"/>
            <w:vAlign w:val="top"/>
            <w:shd w:fill="D9EAF7"/>
          </w:tcPr>
          <w:p>
            <w:r/>
            <w:r>
              <w:rPr>
                <w:b/>
                <w:sz w:val="17"/>
              </w:rPr>
              <w:t>Readiness action</w:t>
            </w:r>
          </w:p>
        </w:tc>
      </w:tr>
      <w:tr>
        <w:trPr>
          <w:cantSplit/>
        </w:trPr>
        <w:tc>
          <w:tcPr>
            <w:tcW w:type="dxa" w:w="5328"/>
            <w:vAlign w:val="top"/>
          </w:tcPr>
          <w:p>
            <w:r/>
            <w:r>
              <w:rPr>
                <w:b w:val="0"/>
                <w:sz w:val="17"/>
              </w:rPr>
              <w:t>Before demo</w:t>
            </w:r>
          </w:p>
        </w:tc>
        <w:tc>
          <w:tcPr>
            <w:tcW w:type="dxa" w:w="5328"/>
            <w:vAlign w:val="top"/>
          </w:tcPr>
          <w:p>
            <w:r/>
            <w:r>
              <w:rPr>
                <w:b w:val="0"/>
                <w:sz w:val="17"/>
              </w:rPr>
              <w:t>Run docker compose ps, verify.sh, Nginx/analytics health checks, and OVOS /health if assistant demo is planned.</w:t>
            </w:r>
          </w:p>
        </w:tc>
      </w:tr>
      <w:tr>
        <w:trPr>
          <w:cantSplit/>
        </w:trPr>
        <w:tc>
          <w:tcPr>
            <w:tcW w:type="dxa" w:w="5328"/>
            <w:vAlign w:val="top"/>
          </w:tcPr>
          <w:p>
            <w:r/>
            <w:r>
              <w:rPr>
                <w:b w:val="0"/>
                <w:sz w:val="17"/>
              </w:rPr>
              <w:t>Data freshness</w:t>
            </w:r>
          </w:p>
        </w:tc>
        <w:tc>
          <w:tcPr>
            <w:tcW w:type="dxa" w:w="5328"/>
            <w:vAlign w:val="top"/>
          </w:tcPr>
          <w:p>
            <w:r/>
            <w:r>
              <w:rPr>
                <w:b w:val="0"/>
                <w:sz w:val="17"/>
              </w:rPr>
              <w:t>Confirm simulator or real ingestion is producing recent records before showing dashboards/KPIs.</w:t>
            </w:r>
          </w:p>
        </w:tc>
      </w:tr>
      <w:tr>
        <w:trPr>
          <w:cantSplit/>
        </w:trPr>
        <w:tc>
          <w:tcPr>
            <w:tcW w:type="dxa" w:w="5328"/>
            <w:vAlign w:val="top"/>
          </w:tcPr>
          <w:p>
            <w:r/>
            <w:r>
              <w:rPr>
                <w:b w:val="0"/>
                <w:sz w:val="17"/>
              </w:rPr>
              <w:t>Credentials</w:t>
            </w:r>
          </w:p>
        </w:tc>
        <w:tc>
          <w:tcPr>
            <w:tcW w:type="dxa" w:w="5328"/>
            <w:vAlign w:val="top"/>
          </w:tcPr>
          <w:p>
            <w:r/>
            <w:r>
              <w:rPr>
                <w:b w:val="0"/>
                <w:sz w:val="17"/>
              </w:rPr>
              <w:t>Use prepared demo/operator credentials without displaying .env or secrets.</w:t>
            </w:r>
          </w:p>
        </w:tc>
      </w:tr>
      <w:tr>
        <w:trPr>
          <w:cantSplit/>
        </w:trPr>
        <w:tc>
          <w:tcPr>
            <w:tcW w:type="dxa" w:w="5328"/>
            <w:vAlign w:val="top"/>
          </w:tcPr>
          <w:p>
            <w:r/>
            <w:r>
              <w:rPr>
                <w:b w:val="0"/>
                <w:sz w:val="17"/>
              </w:rPr>
              <w:t>Dashboards</w:t>
            </w:r>
          </w:p>
        </w:tc>
        <w:tc>
          <w:tcPr>
            <w:tcW w:type="dxa" w:w="5328"/>
            <w:vAlign w:val="top"/>
          </w:tcPr>
          <w:p>
            <w:r/>
            <w:r>
              <w:rPr>
                <w:b w:val="0"/>
                <w:sz w:val="17"/>
              </w:rPr>
              <w:t>Open Grafana dashboards and confirm panels load with current data.</w:t>
            </w:r>
          </w:p>
        </w:tc>
      </w:tr>
      <w:tr>
        <w:trPr>
          <w:cantSplit/>
        </w:trPr>
        <w:tc>
          <w:tcPr>
            <w:tcW w:type="dxa" w:w="5328"/>
            <w:vAlign w:val="top"/>
          </w:tcPr>
          <w:p>
            <w:pPr>
              <w:keepNext/>
            </w:pPr>
            <w:r/>
            <w:r>
              <w:rPr>
                <w:b w:val="0"/>
                <w:sz w:val="17"/>
              </w:rPr>
              <w:t>Assistant</w:t>
            </w:r>
          </w:p>
        </w:tc>
        <w:tc>
          <w:tcPr>
            <w:tcW w:type="dxa" w:w="5328"/>
            <w:vAlign w:val="top"/>
          </w:tcPr>
          <w:p>
            <w:pPr>
              <w:keepNext/>
            </w:pPr>
            <w:r/>
            <w:r>
              <w:rPr>
                <w:b w:val="0"/>
                <w:sz w:val="17"/>
              </w:rPr>
              <w:t>Run at least one machine status query and one KPI/report-style query through the OVOS bridge if OVOS is in scope.</w:t>
            </w:r>
          </w:p>
        </w:tc>
      </w:tr>
      <w:tr>
        <w:trPr>
          <w:cantSplit/>
        </w:trPr>
        <w:tc>
          <w:tcPr>
            <w:tcW w:type="dxa" w:w="5328"/>
            <w:vAlign w:val="top"/>
          </w:tcPr>
          <w:p>
            <w:r/>
            <w:r>
              <w:rPr>
                <w:b w:val="0"/>
                <w:sz w:val="17"/>
              </w:rPr>
              <w:t>Known cautions</w:t>
            </w:r>
          </w:p>
        </w:tc>
        <w:tc>
          <w:tcPr>
            <w:tcW w:type="dxa" w:w="5328"/>
            <w:vAlign w:val="top"/>
          </w:tcPr>
          <w:p>
            <w:r/>
            <w:r>
              <w:rPr>
                <w:b w:val="0"/>
                <w:sz w:val="17"/>
              </w:rPr>
              <w:t>Be ready to explain demo data, partial V2 report semantics, and production hardening steps.</w:t>
            </w:r>
          </w:p>
        </w:tc>
      </w:tr>
    </w:tbl>
    <w:p/>
    <w:p>
      <w:r>
        <w:t>These checks help ensure a demonstration uses current data, healthy services, and verified assistant behavior where OVOS is included.</w:t>
      </w:r>
    </w:p>
    <w:p>
      <w:pPr>
        <w:pStyle w:val="Heading1"/>
      </w:pPr>
      <w:r>
        <w:t>Limitations And Assumptions</w:t>
      </w:r>
    </w:p>
    <w:p>
      <w:r>
        <w:t>This section summarizes the current validation status, scope boundaries, and operational considerations for the delivered system.</w:t>
      </w:r>
    </w:p>
    <w:p>
      <w:r>
        <w:t>The limitations table defines scope boundaries that affect validation, audit use, optional assistant behavior, and production readiness.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Compose validation is confirmed where stated. Live health checks are deployment-specific and require a running target environment.</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 proportional, or placeholder values. Formal audit use requires independent validation of formulas, source data, tariff factors, carbon factors, and generated report semantics.</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r>
        <w:t>Together, these points define the verified scope of the current delivery and the operational responsibilities required before production use. They preserve a clear distinction between implemented capability, deployment configuration, and assurance activities that belong to the target operating environment.</w:t>
      </w:r>
    </w:p>
    <w:p>
      <w:pPr>
        <w:pStyle w:val="Heading1"/>
      </w:pPr>
      <w:r>
        <w:t>Source References</w:t>
      </w:r>
    </w:p>
    <w:p>
      <w:r>
        <w:t>The table below lists the main source material used for this document. It is not a full file inventory; it identifies the sources behind the material claims.</w:t>
      </w:r>
    </w:p>
    <w:p>
      <w:r>
        <w:t>The source reference table links the document's major claims to the tracked files or validation evidence used to support them.</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Overview/docs</w:t>
            </w:r>
          </w:p>
        </w:tc>
        <w:tc>
          <w:tcPr>
            <w:tcW w:type="dxa" w:w="5328"/>
            <w:vAlign w:val="top"/>
          </w:tcPr>
          <w:p>
            <w:r/>
            <w:r>
              <w:rPr>
                <w:b w:val="0"/>
                <w:sz w:val="17"/>
              </w:rPr>
              <w:t>README.md; docs/final-delivery/</w:t>
            </w:r>
          </w:p>
        </w:tc>
      </w:tr>
      <w:tr>
        <w:trPr>
          <w:cantSplit/>
        </w:trPr>
        <w:tc>
          <w:tcPr>
            <w:tcW w:type="dxa" w:w="5328"/>
            <w:vAlign w:val="top"/>
          </w:tcPr>
          <w:p>
            <w:r/>
            <w:r>
              <w:rPr>
                <w:b w:val="0"/>
                <w:sz w:val="17"/>
              </w:rPr>
              <w:t>Deployment</w:t>
            </w:r>
          </w:p>
        </w:tc>
        <w:tc>
          <w:tcPr>
            <w:tcW w:type="dxa" w:w="5328"/>
            <w:vAlign w:val="top"/>
          </w:tcPr>
          <w:p>
            <w:r/>
            <w:r>
              <w:rPr>
                <w:b w:val="0"/>
                <w:sz w:val="17"/>
              </w:rPr>
              <w:t>docker-compose.yml; setup.sh; verify.sh</w:t>
            </w:r>
          </w:p>
        </w:tc>
      </w:tr>
      <w:tr>
        <w:trPr>
          <w:cantSplit/>
        </w:trPr>
        <w:tc>
          <w:tcPr>
            <w:tcW w:type="dxa" w:w="5328"/>
            <w:vAlign w:val="top"/>
          </w:tcPr>
          <w:p>
            <w:r/>
            <w:r>
              <w:rPr>
                <w:b w:val="0"/>
                <w:sz w:val="17"/>
              </w:rPr>
              <w:t>Analytics/database</w:t>
            </w:r>
          </w:p>
        </w:tc>
        <w:tc>
          <w:tcPr>
            <w:tcW w:type="dxa" w:w="5328"/>
            <w:vAlign w:val="top"/>
          </w:tcPr>
          <w:p>
            <w:r/>
            <w:r>
              <w:rPr>
                <w:b w:val="0"/>
                <w:sz w:val="17"/>
              </w:rPr>
              <w:t>analytics/main.py; database/init/02-schema.sql; database/init/03-timescaledb-setup.sql; database/init/04-functions.sql</w:t>
            </w:r>
          </w:p>
        </w:tc>
      </w:tr>
      <w:tr>
        <w:trPr>
          <w:cantSplit/>
        </w:trPr>
        <w:tc>
          <w:tcPr>
            <w:tcW w:type="dxa" w:w="5328"/>
            <w:vAlign w:val="top"/>
          </w:tcPr>
          <w:p>
            <w:r/>
            <w:r>
              <w:rPr>
                <w:b w:val="0"/>
                <w:sz w:val="17"/>
              </w:rPr>
              <w:t>Dashboards and reports</w:t>
            </w:r>
          </w:p>
        </w:tc>
        <w:tc>
          <w:tcPr>
            <w:tcW w:type="dxa" w:w="5328"/>
            <w:vAlign w:val="top"/>
          </w:tcPr>
          <w:p>
            <w:r/>
            <w:r>
              <w:rPr>
                <w:b w:val="0"/>
                <w:sz w:val="17"/>
              </w:rPr>
              <w:t>grafana/provisioning/; grafana/dashboards/; analytics/api/routes/reports.py; analytics/reports/; analytics/reports_v2/</w:t>
            </w:r>
          </w:p>
        </w:tc>
      </w:tr>
      <w:tr>
        <w:trPr>
          <w:cantSplit/>
        </w:trPr>
        <w:tc>
          <w:tcPr>
            <w:tcW w:type="dxa" w:w="5328"/>
            <w:vAlign w:val="top"/>
          </w:tcPr>
          <w:p>
            <w:pPr>
              <w:keepNext/>
            </w:pPr>
            <w:r/>
            <w:r>
              <w:rPr>
                <w:b w:val="0"/>
                <w:sz w:val="17"/>
              </w:rPr>
              <w:t>OVOS-EnMS</w:t>
            </w:r>
          </w:p>
        </w:tc>
        <w:tc>
          <w:tcPr>
            <w:tcW w:type="dxa" w:w="5328"/>
            <w:vAlign w:val="top"/>
          </w:tcPr>
          <w:p>
            <w:pPr>
              <w:keepNext/>
            </w:pPr>
            <w:r/>
            <w:r>
              <w:rPr>
                <w:b w:val="0"/>
                <w:sz w:val="17"/>
              </w:rPr>
              <w:t>OVOS-EnMS repository: README.md; enms-ovos-skill/README.md; enms-ovos-skill/bridge/ovos_rest_bridge.py; enms-ovos-skill/enms_ovos_skill/__init__.py</w:t>
            </w:r>
          </w:p>
        </w:tc>
      </w:tr>
      <w:tr>
        <w:trPr>
          <w:cantSplit/>
        </w:trPr>
        <w:tc>
          <w:tcPr>
            <w:tcW w:type="dxa" w:w="5328"/>
            <w:vAlign w:val="top"/>
          </w:tcPr>
          <w:p>
            <w:r/>
            <w:r>
              <w:rPr>
                <w:b w:val="0"/>
                <w:sz w:val="17"/>
              </w:rPr>
              <w:t>Delivery package sources</w:t>
            </w:r>
          </w:p>
        </w:tc>
        <w:tc>
          <w:tcPr>
            <w:tcW w:type="dxa" w:w="5328"/>
            <w:vAlign w:val="top"/>
          </w:tcPr>
          <w:p>
            <w:r/>
            <w:r>
              <w:rPr>
                <w:b w:val="0"/>
                <w:sz w:val="17"/>
              </w:rPr>
              <w:t>docs/final-delivery/source/; docs/final-delivery/assets/</w:t>
            </w:r>
          </w:p>
        </w:tc>
      </w:tr>
    </w:tbl>
    <w:p/>
    <w:p>
      <w:r>
        <w:t>These references provide traceability for technical claims. They are intended to support maintenance and verification without exposing secrets or local runtime state.</w:t>
      </w:r>
    </w:p>
    <w:sectPr w:rsidR="00FC693F" w:rsidRPr="0006063C" w:rsidSect="00034616">
      <w:footerReference w:type="default" r:id="rId10"/>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Final System Documentation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