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System Architecture Report</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Describe the implemented HumanEnerDIA / EnMS architecture and the OVOS-EnMS integration boundary.</w:t>
            </w:r>
          </w:p>
        </w:tc>
      </w:tr>
      <w:tr>
        <w:tc>
          <w:tcPr>
            <w:tcW w:type="dxa" w:w="5328"/>
            <w:vAlign w:val="top"/>
            <w:shd w:fill="E2E8F0"/>
          </w:tcPr>
          <w:p>
            <w:r/>
            <w:r>
              <w:rPr>
                <w:b/>
                <w:sz w:val="17"/>
              </w:rPr>
              <w:t>Intended audience</w:t>
            </w:r>
          </w:p>
        </w:tc>
        <w:tc>
          <w:tcPr>
            <w:tcW w:type="dxa" w:w="5328"/>
            <w:vAlign w:val="top"/>
          </w:tcPr>
          <w:p>
            <w:r/>
            <w:r>
              <w:rPr>
                <w:b w:val="0"/>
                <w:sz w:val="17"/>
              </w:rPr>
              <w:t>Project managers, technical reviewers, deployment stakeholders, and external partners.</w:t>
            </w:r>
          </w:p>
        </w:tc>
      </w:tr>
    </w:tbl>
    <w:p/>
    <w:p>
      <w:pPr>
        <w:jc w:val="center"/>
      </w:pPr>
      <w:r>
        <w:rPr>
          <w:b/>
        </w:rPr>
        <w:t xml:space="preserve">Source basis: </w:t>
      </w:r>
      <w:r>
        <w:t>Claims are tied to tracked source code, Docker configuration, SQL initialization files, and verified compose validation.</w:t>
      </w:r>
    </w:p>
    <w:p>
      <w:r>
        <w:br w:type="page"/>
      </w:r>
    </w:p>
    <w:p>
      <w:pPr>
        <w:pStyle w:val="Heading1"/>
      </w:pPr>
      <w:r>
        <w:t>Table of Contents</w:t>
      </w:r>
    </w:p>
    <w:p>
      <w:r>
        <w:t>1. Executive Summary</w:t>
      </w:r>
    </w:p>
    <w:p>
      <w:r>
        <w:t>2. System Context</w:t>
      </w:r>
    </w:p>
    <w:p>
      <w:r>
        <w:t>3. Component Responsibilities</w:t>
      </w:r>
    </w:p>
    <w:p>
      <w:r>
        <w:t>4. Runtime Services</w:t>
      </w:r>
    </w:p>
    <w:p>
      <w:r>
        <w:t>5. Dependency And Request Flow</w:t>
      </w:r>
    </w:p>
    <w:p>
      <w:r>
        <w:t>6. Data And Message Flow</w:t>
      </w:r>
    </w:p>
    <w:p>
      <w:r>
        <w:t>7. External And Internal Interfaces</w:t>
      </w:r>
    </w:p>
    <w:p>
      <w:r>
        <w:t>8. OVOS-EnMS Integration</w:t>
      </w:r>
    </w:p>
    <w:p>
      <w:r>
        <w:t>9. Deployment Variants And Boundaries</w:t>
      </w:r>
    </w:p>
    <w:p>
      <w:r>
        <w:t>10. Security And Network Boundaries</w:t>
      </w:r>
    </w:p>
    <w:p>
      <w:r>
        <w:t>11. Operational Risks</w:t>
      </w:r>
    </w:p>
    <w:p>
      <w:r>
        <w:t>12. Limitations And Assumptions</w:t>
      </w:r>
    </w:p>
    <w:p>
      <w:r>
        <w:t>13. Source References</w:t>
      </w:r>
    </w:p>
    <w:p>
      <w:r>
        <w:br w:type="page"/>
      </w:r>
    </w:p>
    <w:p>
      <w:pPr>
        <w:pStyle w:val="Heading1"/>
      </w:pPr>
      <w:r>
        <w:t>Executive Summary</w:t>
      </w:r>
    </w:p>
    <w:p>
      <w:r>
        <w:t>HumanEnerDIA is implemented as a Docker Compose based industrial energy management stack. It combines an Nginx gateway, a static portal, FastAPI analytics APIs, PostgreSQL/TimescaleDB storage, MQTT telemetry, Node-RED ingestion, Grafana dashboards, a simulator, authentication services, a Rasa text chatbot path, and an optional OVOS-EnMS voice/natural-language assistant layer.</w:t>
      </w:r>
    </w:p>
    <w:p>
      <w:r>
        <w:t>The OVOS-EnMS component is a separate assistant runtime that connects to the HumanEnerDIA-compatible analytics API. Its REST bridge does not calculate energy answers by itself; it forwards user queries to the OVOS messagebus, where the EnMS skill parses, validates, executes API calls, and formats responses.</w:t>
      </w:r>
    </w:p>
    <w:p>
      <w:r>
        <w:rPr>
          <w:b/>
        </w:rPr>
        <w:t>Observed in code/config:</w:t>
      </w:r>
      <w:r>
        <w:t xml:space="preserve"> The GitHub production base stack is defined in docker-compose.yml and does not include an OVOS service. The separate OVOS-EnMS repository provides the OVOS Compose file, bridge, skill, parser, validator, API client, and response formatting source.</w:t>
      </w:r>
    </w:p>
    <w:p>
      <w:pPr>
        <w:pStyle w:val="Heading1"/>
      </w:pPr>
      <w:r>
        <w:t>System Context</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System context and product boundaries.</w:t>
      </w:r>
    </w:p>
    <w:p>
      <w:r>
        <w:t>The system has three boundaries that must remain distinct in delivery documentation. HumanEnerDIA / EnMS is the energy management backend and visualization stack. OVOS-EnMS is the voice/natural-language assistant layer that integrates with the analytics API. The Rasa chatbot is a text-oriented help and knowledge path, not the same runtime as the OVOS skill.</w:t>
      </w:r>
    </w:p>
    <w:p>
      <w:r>
        <w:t>The table below defines the delivery boundaries so readers can distinguish the EnMS platform, the companion OVOS runtime, and the external users or integrators that interact with them.</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Boundary</w:t>
            </w:r>
          </w:p>
        </w:tc>
        <w:tc>
          <w:tcPr>
            <w:tcW w:type="dxa" w:w="3552"/>
            <w:vAlign w:val="top"/>
            <w:shd w:fill="D9EAF7"/>
          </w:tcPr>
          <w:p>
            <w:r/>
            <w:r>
              <w:rPr>
                <w:b/>
                <w:sz w:val="17"/>
              </w:rPr>
              <w:t>Included components</w:t>
            </w:r>
          </w:p>
        </w:tc>
        <w:tc>
          <w:tcPr>
            <w:tcW w:type="dxa" w:w="3552"/>
            <w:vAlign w:val="top"/>
            <w:shd w:fill="D9EAF7"/>
          </w:tcPr>
          <w:p>
            <w:r/>
            <w:r>
              <w:rPr>
                <w:b/>
                <w:sz w:val="17"/>
              </w:rPr>
              <w:t>Evidence</w:t>
            </w:r>
          </w:p>
        </w:tc>
      </w:tr>
      <w:tr>
        <w:trPr>
          <w:cantSplit/>
        </w:trPr>
        <w:tc>
          <w:tcPr>
            <w:tcW w:type="dxa" w:w="3552"/>
            <w:vAlign w:val="top"/>
          </w:tcPr>
          <w:p>
            <w:r/>
            <w:r>
              <w:rPr>
                <w:b w:val="0"/>
                <w:sz w:val="17"/>
              </w:rPr>
              <w:t>HumanEnerDIA / EnMS</w:t>
            </w:r>
          </w:p>
        </w:tc>
        <w:tc>
          <w:tcPr>
            <w:tcW w:type="dxa" w:w="3552"/>
            <w:vAlign w:val="top"/>
          </w:tcPr>
          <w:p>
            <w:r/>
            <w:r>
              <w:rPr>
                <w:b w:val="0"/>
                <w:sz w:val="17"/>
              </w:rPr>
              <w:t>Nginx, portal, analytics, PostgreSQL/TimescaleDB, MQTT, Node-RED, Grafana, simulator, auth-service, Rasa/chatbot services</w:t>
            </w:r>
          </w:p>
        </w:tc>
        <w:tc>
          <w:tcPr>
            <w:tcW w:type="dxa" w:w="3552"/>
            <w:vAlign w:val="top"/>
          </w:tcPr>
          <w:p>
            <w:r/>
            <w:r>
              <w:rPr>
                <w:b w:val="0"/>
                <w:sz w:val="17"/>
              </w:rPr>
              <w:t>docker-compose.yml</w:t>
            </w:r>
          </w:p>
        </w:tc>
      </w:tr>
      <w:tr>
        <w:trPr>
          <w:cantSplit/>
        </w:trPr>
        <w:tc>
          <w:tcPr>
            <w:tcW w:type="dxa" w:w="3552"/>
            <w:vAlign w:val="top"/>
          </w:tcPr>
          <w:p>
            <w:pPr>
              <w:keepNext/>
            </w:pPr>
            <w:r/>
            <w:r>
              <w:rPr>
                <w:b w:val="0"/>
                <w:sz w:val="17"/>
              </w:rPr>
              <w:t>OVOS-EnMS</w:t>
            </w:r>
          </w:p>
        </w:tc>
        <w:tc>
          <w:tcPr>
            <w:tcW w:type="dxa" w:w="3552"/>
            <w:vAlign w:val="top"/>
          </w:tcPr>
          <w:p>
            <w:pPr>
              <w:keepNext/>
            </w:pPr>
            <w:r/>
            <w:r>
              <w:rPr>
                <w:b w:val="0"/>
                <w:sz w:val="17"/>
              </w:rPr>
              <w:t>OVOS runtime, REST bridge, messagebus, EnMS skill, parser, validator, API client, response formatter</w:t>
            </w:r>
          </w:p>
        </w:tc>
        <w:tc>
          <w:tcPr>
            <w:tcW w:type="dxa" w:w="3552"/>
            <w:vAlign w:val="top"/>
          </w:tcPr>
          <w:p>
            <w:pPr>
              <w:keepNext/>
            </w:pPr>
            <w:r/>
            <w:r>
              <w:rPr>
                <w:b w:val="0"/>
                <w:sz w:val="17"/>
              </w:rPr>
              <w:t>OVOS-EnMS repository: enms-ovos-skill/enms_ovos_skill/__init__.py</w:t>
            </w:r>
          </w:p>
        </w:tc>
      </w:tr>
      <w:tr>
        <w:trPr>
          <w:cantSplit/>
        </w:trPr>
        <w:tc>
          <w:tcPr>
            <w:tcW w:type="dxa" w:w="3552"/>
            <w:vAlign w:val="top"/>
          </w:tcPr>
          <w:p>
            <w:r/>
            <w:r>
              <w:rPr>
                <w:b w:val="0"/>
                <w:sz w:val="17"/>
              </w:rPr>
              <w:t>External users/integrators</w:t>
            </w:r>
          </w:p>
        </w:tc>
        <w:tc>
          <w:tcPr>
            <w:tcW w:type="dxa" w:w="3552"/>
            <w:vAlign w:val="top"/>
          </w:tcPr>
          <w:p>
            <w:r/>
            <w:r>
              <w:rPr>
                <w:b w:val="0"/>
                <w:sz w:val="17"/>
              </w:rPr>
              <w:t>Browser users, API clients, OVOS clients, operators, WASABI reviewers</w:t>
            </w:r>
          </w:p>
        </w:tc>
        <w:tc>
          <w:tcPr>
            <w:tcW w:type="dxa" w:w="3552"/>
            <w:vAlign w:val="top"/>
          </w:tcPr>
          <w:p>
            <w:r/>
            <w:r>
              <w:rPr>
                <w:b w:val="0"/>
                <w:sz w:val="17"/>
              </w:rPr>
              <w:t>README.md; verify.sh; docs/final-delivery/</w:t>
            </w:r>
          </w:p>
        </w:tc>
      </w:tr>
    </w:tbl>
    <w:p/>
    <w:p>
      <w:r>
        <w:t>Operationally, this boundary view prevents the EnMS platform, text chatbot, and OVOS assistant from being described as one inseparable runtime. That distinction matters when deploying only EnMS, only OVOS, or the full stack.</w:t>
      </w:r>
    </w:p>
    <w:p>
      <w:pPr>
        <w:pStyle w:val="Heading1"/>
      </w:pPr>
      <w:r>
        <w:t>Component Responsibilities</w:t>
      </w:r>
    </w:p>
    <w:p>
      <w:r>
        <w:t>The architecture separates gateway, domain API, storage, ingestion, visualization, simulation, authentication, text-help chatbot, and voice/natural-language assistant concerns. This separation is visible in the Compose service list and in the route/service/module layout.</w:t>
      </w:r>
    </w:p>
    <w:p>
      <w:r>
        <w:t>Read this table as a responsibility map: each row identifies the architectural owner for a capability and the source material that supports that assignment.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Component</w:t>
            </w:r>
          </w:p>
        </w:tc>
        <w:tc>
          <w:tcPr>
            <w:tcW w:type="dxa" w:w="3552"/>
            <w:vAlign w:val="top"/>
            <w:shd w:fill="D9EAF7"/>
          </w:tcPr>
          <w:p>
            <w:r/>
            <w:r>
              <w:rPr>
                <w:b/>
                <w:sz w:val="17"/>
              </w:rPr>
              <w:t>Responsibility</w:t>
            </w:r>
          </w:p>
        </w:tc>
        <w:tc>
          <w:tcPr>
            <w:tcW w:type="dxa" w:w="3552"/>
            <w:vAlign w:val="top"/>
            <w:shd w:fill="D9EAF7"/>
          </w:tcPr>
          <w:p>
            <w:r/>
            <w:r>
              <w:rPr>
                <w:b/>
                <w:sz w:val="17"/>
              </w:rPr>
              <w:t>Source basis</w:t>
            </w:r>
          </w:p>
        </w:tc>
      </w:tr>
      <w:tr>
        <w:trPr>
          <w:cantSplit/>
        </w:trPr>
        <w:tc>
          <w:tcPr>
            <w:tcW w:type="dxa" w:w="3552"/>
            <w:vAlign w:val="top"/>
          </w:tcPr>
          <w:p>
            <w:r/>
            <w:r>
              <w:rPr>
                <w:b w:val="0"/>
                <w:sz w:val="17"/>
              </w:rPr>
              <w:t>Nginx</w:t>
            </w:r>
          </w:p>
        </w:tc>
        <w:tc>
          <w:tcPr>
            <w:tcW w:type="dxa" w:w="3552"/>
            <w:vAlign w:val="top"/>
          </w:tcPr>
          <w:p>
            <w:r/>
            <w:r>
              <w:rPr>
                <w:b w:val="0"/>
                <w:sz w:val="17"/>
              </w:rPr>
              <w:t>Public HTTP gateway, static portal host, reverse proxy, and health endpoint.</w:t>
            </w:r>
          </w:p>
        </w:tc>
        <w:tc>
          <w:tcPr>
            <w:tcW w:type="dxa" w:w="3552"/>
            <w:vAlign w:val="top"/>
          </w:tcPr>
          <w:p>
            <w:r/>
            <w:r>
              <w:rPr>
                <w:b w:val="0"/>
                <w:sz w:val="17"/>
              </w:rPr>
              <w:t>Configured service and routing rules in docker-compose.yml and nginx/conf.d/default.conf.</w:t>
            </w:r>
          </w:p>
        </w:tc>
      </w:tr>
      <w:tr>
        <w:trPr>
          <w:cantSplit/>
        </w:trPr>
        <w:tc>
          <w:tcPr>
            <w:tcW w:type="dxa" w:w="3552"/>
            <w:vAlign w:val="top"/>
          </w:tcPr>
          <w:p>
            <w:r/>
            <w:r>
              <w:rPr>
                <w:b w:val="0"/>
                <w:sz w:val="17"/>
              </w:rPr>
              <w:t>Analytics</w:t>
            </w:r>
          </w:p>
        </w:tc>
        <w:tc>
          <w:tcPr>
            <w:tcW w:type="dxa" w:w="3552"/>
            <w:vAlign w:val="top"/>
          </w:tcPr>
          <w:p>
            <w:r/>
            <w:r>
              <w:rPr>
                <w:b w:val="0"/>
                <w:sz w:val="17"/>
              </w:rPr>
              <w:t>Primary EnMS domain API: KPIs, baselines, forecasts, anomalies, reports, ISO 50001, machine/time-series data, OVOS proxy paths.</w:t>
            </w:r>
          </w:p>
        </w:tc>
        <w:tc>
          <w:tcPr>
            <w:tcW w:type="dxa" w:w="3552"/>
            <w:vAlign w:val="top"/>
          </w:tcPr>
          <w:p>
            <w:r/>
            <w:r>
              <w:rPr>
                <w:b w:val="0"/>
                <w:sz w:val="17"/>
              </w:rPr>
              <w:t>FastAPI application and router registrations in analytics/main.py.</w:t>
            </w:r>
          </w:p>
        </w:tc>
      </w:tr>
      <w:tr>
        <w:trPr>
          <w:cantSplit/>
        </w:trPr>
        <w:tc>
          <w:tcPr>
            <w:tcW w:type="dxa" w:w="3552"/>
            <w:vAlign w:val="top"/>
          </w:tcPr>
          <w:p>
            <w:r/>
            <w:r>
              <w:rPr>
                <w:b w:val="0"/>
                <w:sz w:val="17"/>
              </w:rPr>
              <w:t>PostgreSQL/TimescaleDB</w:t>
            </w:r>
          </w:p>
        </w:tc>
        <w:tc>
          <w:tcPr>
            <w:tcW w:type="dxa" w:w="3552"/>
            <w:vAlign w:val="top"/>
          </w:tcPr>
          <w:p>
            <w:r/>
            <w:r>
              <w:rPr>
                <w:b w:val="0"/>
                <w:sz w:val="17"/>
              </w:rPr>
              <w:t>Persistent relational and time-series storage, hypertables, continuous aggregates, SQL KPI functions, seed data.</w:t>
            </w:r>
          </w:p>
        </w:tc>
        <w:tc>
          <w:tcPr>
            <w:tcW w:type="dxa" w:w="3552"/>
            <w:vAlign w:val="top"/>
          </w:tcPr>
          <w:p>
            <w:r/>
            <w:r>
              <w:rPr>
                <w:b w:val="0"/>
                <w:sz w:val="17"/>
              </w:rPr>
              <w:t>database/init/*.sql.</w:t>
            </w:r>
          </w:p>
        </w:tc>
      </w:tr>
      <w:tr>
        <w:trPr>
          <w:cantSplit/>
        </w:trPr>
        <w:tc>
          <w:tcPr>
            <w:tcW w:type="dxa" w:w="3552"/>
            <w:vAlign w:val="top"/>
          </w:tcPr>
          <w:p>
            <w:r/>
            <w:r>
              <w:rPr>
                <w:b w:val="0"/>
                <w:sz w:val="17"/>
              </w:rPr>
              <w:t>MQTT</w:t>
            </w:r>
          </w:p>
        </w:tc>
        <w:tc>
          <w:tcPr>
            <w:tcW w:type="dxa" w:w="3552"/>
            <w:vAlign w:val="top"/>
          </w:tcPr>
          <w:p>
            <w:r/>
            <w:r>
              <w:rPr>
                <w:b w:val="0"/>
                <w:sz w:val="17"/>
              </w:rPr>
              <w:t>Telemetry broker for simulator/device payloads and Node-RED ingestion.</w:t>
            </w:r>
          </w:p>
        </w:tc>
        <w:tc>
          <w:tcPr>
            <w:tcW w:type="dxa" w:w="3552"/>
            <w:vAlign w:val="top"/>
          </w:tcPr>
          <w:p>
            <w:r/>
            <w:r>
              <w:rPr>
                <w:b w:val="0"/>
                <w:sz w:val="17"/>
              </w:rPr>
              <w:t>mqtt service in docker-compose.yml and simulator MQTT publisher.</w:t>
            </w:r>
          </w:p>
        </w:tc>
      </w:tr>
      <w:tr>
        <w:trPr>
          <w:cantSplit/>
        </w:trPr>
        <w:tc>
          <w:tcPr>
            <w:tcW w:type="dxa" w:w="3552"/>
            <w:vAlign w:val="top"/>
          </w:tcPr>
          <w:p>
            <w:r/>
            <w:r>
              <w:rPr>
                <w:b w:val="0"/>
                <w:sz w:val="17"/>
              </w:rPr>
              <w:t>Node-RED</w:t>
            </w:r>
          </w:p>
        </w:tc>
        <w:tc>
          <w:tcPr>
            <w:tcW w:type="dxa" w:w="3552"/>
            <w:vAlign w:val="top"/>
          </w:tcPr>
          <w:p>
            <w:r/>
            <w:r>
              <w:rPr>
                <w:b w:val="0"/>
                <w:sz w:val="17"/>
              </w:rPr>
              <w:t>MQTT topic parsing, payload validation, routing by data type, PostgreSQL writes, and simple ingestion monitoring.</w:t>
            </w:r>
          </w:p>
        </w:tc>
        <w:tc>
          <w:tcPr>
            <w:tcW w:type="dxa" w:w="3552"/>
            <w:vAlign w:val="top"/>
          </w:tcPr>
          <w:p>
            <w:r/>
            <w:r>
              <w:rPr>
                <w:b w:val="0"/>
                <w:sz w:val="17"/>
              </w:rPr>
              <w:t>nodered/data/flows.json.</w:t>
            </w:r>
          </w:p>
        </w:tc>
      </w:tr>
      <w:tr>
        <w:trPr>
          <w:cantSplit/>
        </w:trPr>
        <w:tc>
          <w:tcPr>
            <w:tcW w:type="dxa" w:w="3552"/>
            <w:vAlign w:val="top"/>
          </w:tcPr>
          <w:p>
            <w:r/>
            <w:r>
              <w:rPr>
                <w:b w:val="0"/>
                <w:sz w:val="17"/>
              </w:rPr>
              <w:t>Grafana</w:t>
            </w:r>
          </w:p>
        </w:tc>
        <w:tc>
          <w:tcPr>
            <w:tcW w:type="dxa" w:w="3552"/>
            <w:vAlign w:val="top"/>
          </w:tcPr>
          <w:p>
            <w:r/>
            <w:r>
              <w:rPr>
                <w:b w:val="0"/>
                <w:sz w:val="17"/>
              </w:rPr>
              <w:t>Provisioned dashboard runtime for operational, cost, carbon, EnPI, anomaly, forecast, model, and executive views.</w:t>
            </w:r>
          </w:p>
        </w:tc>
        <w:tc>
          <w:tcPr>
            <w:tcW w:type="dxa" w:w="3552"/>
            <w:vAlign w:val="top"/>
          </w:tcPr>
          <w:p>
            <w:r/>
            <w:r>
              <w:rPr>
                <w:b w:val="0"/>
                <w:sz w:val="17"/>
              </w:rPr>
              <w:t>grafana/provisioning and grafana/dashboards JSON.</w:t>
            </w:r>
          </w:p>
        </w:tc>
      </w:tr>
      <w:tr>
        <w:trPr>
          <w:cantSplit/>
        </w:trPr>
        <w:tc>
          <w:tcPr>
            <w:tcW w:type="dxa" w:w="3552"/>
            <w:vAlign w:val="top"/>
          </w:tcPr>
          <w:p>
            <w:r/>
            <w:r>
              <w:rPr>
                <w:b w:val="0"/>
                <w:sz w:val="17"/>
              </w:rPr>
              <w:t>Simulator</w:t>
            </w:r>
          </w:p>
        </w:tc>
        <w:tc>
          <w:tcPr>
            <w:tcW w:type="dxa" w:w="3552"/>
            <w:vAlign w:val="top"/>
          </w:tcPr>
          <w:p>
            <w:r/>
            <w:r>
              <w:rPr>
                <w:b w:val="0"/>
                <w:sz w:val="17"/>
              </w:rPr>
              <w:t>Synthetic factory telemetry service with configurable machine simulators and anomaly injection.</w:t>
            </w:r>
          </w:p>
        </w:tc>
        <w:tc>
          <w:tcPr>
            <w:tcW w:type="dxa" w:w="3552"/>
            <w:vAlign w:val="top"/>
          </w:tcPr>
          <w:p>
            <w:r/>
            <w:r>
              <w:rPr>
                <w:b w:val="0"/>
                <w:sz w:val="17"/>
              </w:rPr>
              <w:t>simulator/main.py; simulator/simulator_manager.py; simulator/api/routes.py.</w:t>
            </w:r>
          </w:p>
        </w:tc>
      </w:tr>
      <w:tr>
        <w:trPr>
          <w:cantSplit/>
        </w:trPr>
        <w:tc>
          <w:tcPr>
            <w:tcW w:type="dxa" w:w="3552"/>
            <w:vAlign w:val="top"/>
          </w:tcPr>
          <w:p>
            <w:r/>
            <w:r>
              <w:rPr>
                <w:b w:val="0"/>
                <w:sz w:val="17"/>
              </w:rPr>
              <w:t>auth-service</w:t>
            </w:r>
          </w:p>
        </w:tc>
        <w:tc>
          <w:tcPr>
            <w:tcW w:type="dxa" w:w="3552"/>
            <w:vAlign w:val="top"/>
          </w:tcPr>
          <w:p>
            <w:r/>
            <w:r>
              <w:rPr>
                <w:b w:val="0"/>
                <w:sz w:val="17"/>
              </w:rPr>
              <w:t>Registration, login, JWT verification, email verification/reset, admin APIs, contact and pilot factory forms.</w:t>
            </w:r>
          </w:p>
        </w:tc>
        <w:tc>
          <w:tcPr>
            <w:tcW w:type="dxa" w:w="3552"/>
            <w:vAlign w:val="top"/>
          </w:tcPr>
          <w:p>
            <w:r/>
            <w:r>
              <w:rPr>
                <w:b w:val="0"/>
                <w:sz w:val="17"/>
              </w:rPr>
              <w:t>auth-service/app.py; auth-service/auth_service.py.</w:t>
            </w:r>
          </w:p>
        </w:tc>
      </w:tr>
      <w:tr>
        <w:trPr>
          <w:cantSplit/>
        </w:trPr>
        <w:tc>
          <w:tcPr>
            <w:tcW w:type="dxa" w:w="3552"/>
            <w:vAlign w:val="top"/>
          </w:tcPr>
          <w:p>
            <w:pPr>
              <w:keepNext/>
            </w:pPr>
            <w:r/>
            <w:r>
              <w:rPr>
                <w:b w:val="0"/>
                <w:sz w:val="17"/>
              </w:rPr>
              <w:t>chatbot/Rasa</w:t>
            </w:r>
          </w:p>
        </w:tc>
        <w:tc>
          <w:tcPr>
            <w:tcW w:type="dxa" w:w="3552"/>
            <w:vAlign w:val="top"/>
          </w:tcPr>
          <w:p>
            <w:pPr>
              <w:keepNext/>
            </w:pPr>
            <w:r/>
            <w:r>
              <w:rPr>
                <w:b w:val="0"/>
                <w:sz w:val="17"/>
              </w:rPr>
              <w:t>Text help chatbot and custom Rasa action backed by qa_data.json.</w:t>
            </w:r>
          </w:p>
        </w:tc>
        <w:tc>
          <w:tcPr>
            <w:tcW w:type="dxa" w:w="3552"/>
            <w:vAlign w:val="top"/>
          </w:tcPr>
          <w:p>
            <w:pPr>
              <w:keepNext/>
            </w:pPr>
            <w:r/>
            <w:r>
              <w:rPr>
                <w:b w:val="0"/>
                <w:sz w:val="17"/>
              </w:rPr>
              <w:t>chatbot/server/index.js; chatbot/rasa/actions/actions.py.</w:t>
            </w:r>
          </w:p>
        </w:tc>
      </w:tr>
      <w:tr>
        <w:trPr>
          <w:cantSplit/>
        </w:trPr>
        <w:tc>
          <w:tcPr>
            <w:tcW w:type="dxa" w:w="3552"/>
            <w:vAlign w:val="top"/>
          </w:tcPr>
          <w:p>
            <w:r/>
            <w:r>
              <w:rPr>
                <w:b w:val="0"/>
                <w:sz w:val="17"/>
              </w:rPr>
              <w:t>OVOS-EnMS</w:t>
            </w:r>
          </w:p>
        </w:tc>
        <w:tc>
          <w:tcPr>
            <w:tcW w:type="dxa" w:w="3552"/>
            <w:vAlign w:val="top"/>
          </w:tcPr>
          <w:p>
            <w:r/>
            <w:r>
              <w:rPr>
                <w:b w:val="0"/>
                <w:sz w:val="17"/>
              </w:rPr>
              <w:t>Separate natural-language/voice assistant runtime that calls a HumanEnerDIA-compatible API.</w:t>
            </w:r>
          </w:p>
        </w:tc>
        <w:tc>
          <w:tcPr>
            <w:tcW w:type="dxa" w:w="3552"/>
            <w:vAlign w:val="top"/>
          </w:tcPr>
          <w:p>
            <w:r/>
            <w:r>
              <w:rPr>
                <w:b w:val="0"/>
                <w:sz w:val="17"/>
              </w:rPr>
              <w:t>OVOS-EnMS repository: bridge, skill, parser, validator, API client, formatter.</w:t>
            </w:r>
          </w:p>
        </w:tc>
      </w:tr>
    </w:tbl>
    <w:p/>
    <w:p>
      <w:r>
        <w:t>The responsibilities show that HumanEnerDIA is modular: gateway, storage, ingestion, analytics, visualization, authentication, chatbot, and assistant functions can be discussed and verified separately.</w:t>
      </w:r>
    </w:p>
    <w:p>
      <w:pPr>
        <w:pStyle w:val="Heading1"/>
      </w:pPr>
      <w:r>
        <w:t>Runtime Services</w:t>
      </w:r>
    </w:p>
    <w:p>
      <w:r>
        <w:t>The base runtime service inventory below is taken from docker-compose.yml and validated with docker compose config --quiet for the current delivery state.</w:t>
      </w:r>
    </w:p>
    <w:p>
      <w:r>
        <w:t>The service inventory explains what runs in the base Compose deployment and what role each service plays in the operational stack.</w:t>
      </w:r>
    </w:p>
    <w:tbl>
      <w:tblPr>
        <w:tblStyle w:val="TableGrid"/>
        <w:tblW w:type="auto" w:w="0"/>
        <w:jc w:val="center"/>
        <w:tblLook w:firstColumn="1" w:firstRow="1" w:lastColumn="0" w:lastRow="0" w:noHBand="0" w:noVBand="1" w:val="04A0"/>
      </w:tblPr>
      <w:tblGrid>
        <w:gridCol w:w="2131"/>
        <w:gridCol w:w="2131"/>
        <w:gridCol w:w="2131"/>
        <w:gridCol w:w="2131"/>
        <w:gridCol w:w="2131"/>
      </w:tblGrid>
      <w:tr>
        <w:trPr>
          <w:tblHeader w:val="true"/>
          <w:cantSplit/>
        </w:trPr>
        <w:tc>
          <w:tcPr>
            <w:tcW w:type="dxa" w:w="2131"/>
            <w:vAlign w:val="top"/>
            <w:shd w:fill="D9EAF7"/>
          </w:tcPr>
          <w:p>
            <w:r/>
            <w:r>
              <w:rPr>
                <w:b/>
                <w:sz w:val="17"/>
              </w:rPr>
              <w:t>Service</w:t>
            </w:r>
          </w:p>
        </w:tc>
        <w:tc>
          <w:tcPr>
            <w:tcW w:type="dxa" w:w="2131"/>
            <w:vAlign w:val="top"/>
            <w:shd w:fill="D9EAF7"/>
          </w:tcPr>
          <w:p>
            <w:r/>
            <w:r>
              <w:rPr>
                <w:b/>
                <w:sz w:val="17"/>
              </w:rPr>
              <w:t>Image or build context</w:t>
            </w:r>
          </w:p>
        </w:tc>
        <w:tc>
          <w:tcPr>
            <w:tcW w:type="dxa" w:w="2131"/>
            <w:vAlign w:val="top"/>
            <w:shd w:fill="D9EAF7"/>
          </w:tcPr>
          <w:p>
            <w:r/>
            <w:r>
              <w:rPr>
                <w:b/>
                <w:sz w:val="17"/>
              </w:rPr>
              <w:t>External port/path</w:t>
            </w:r>
          </w:p>
        </w:tc>
        <w:tc>
          <w:tcPr>
            <w:tcW w:type="dxa" w:w="2131"/>
            <w:vAlign w:val="top"/>
            <w:shd w:fill="D9EAF7"/>
          </w:tcPr>
          <w:p>
            <w:r/>
            <w:r>
              <w:rPr>
                <w:b/>
                <w:sz w:val="17"/>
              </w:rPr>
              <w:t>Responsibility</w:t>
            </w:r>
          </w:p>
        </w:tc>
        <w:tc>
          <w:tcPr>
            <w:tcW w:type="dxa" w:w="2131"/>
            <w:vAlign w:val="top"/>
            <w:shd w:fill="D9EAF7"/>
          </w:tcPr>
          <w:p>
            <w:r/>
            <w:r>
              <w:rPr>
                <w:b/>
                <w:sz w:val="17"/>
              </w:rPr>
              <w:t>Healthcheck</w:t>
            </w:r>
          </w:p>
        </w:tc>
      </w:tr>
      <w:tr>
        <w:trPr>
          <w:cantSplit/>
        </w:trPr>
        <w:tc>
          <w:tcPr>
            <w:tcW w:type="dxa" w:w="2131"/>
            <w:vAlign w:val="top"/>
          </w:tcPr>
          <w:p>
            <w:r/>
            <w:r>
              <w:rPr>
                <w:b w:val="0"/>
                <w:sz w:val="17"/>
              </w:rPr>
              <w:t>nginx</w:t>
            </w:r>
          </w:p>
        </w:tc>
        <w:tc>
          <w:tcPr>
            <w:tcW w:type="dxa" w:w="2131"/>
            <w:vAlign w:val="top"/>
          </w:tcPr>
          <w:p>
            <w:r/>
            <w:r>
              <w:rPr>
                <w:b w:val="0"/>
                <w:sz w:val="17"/>
              </w:rPr>
              <w:t>nginx:1.25-alpine</w:t>
            </w:r>
          </w:p>
        </w:tc>
        <w:tc>
          <w:tcPr>
            <w:tcW w:type="dxa" w:w="2131"/>
            <w:vAlign w:val="top"/>
          </w:tcPr>
          <w:p>
            <w:r/>
            <w:r>
              <w:rPr>
                <w:b w:val="0"/>
                <w:sz w:val="17"/>
              </w:rPr>
              <w:t>8080; 8443 mapped but HTTPS server block is optional/commented until certificates are configured</w:t>
            </w:r>
          </w:p>
        </w:tc>
        <w:tc>
          <w:tcPr>
            <w:tcW w:type="dxa" w:w="2131"/>
            <w:vAlign w:val="top"/>
          </w:tcPr>
          <w:p>
            <w:r/>
            <w:r>
              <w:rPr>
                <w:b w:val="0"/>
                <w:sz w:val="17"/>
              </w:rPr>
              <w:t>Public gateway, portal/static hosting, reverse proxy</w:t>
            </w:r>
          </w:p>
        </w:tc>
        <w:tc>
          <w:tcPr>
            <w:tcW w:type="dxa" w:w="2131"/>
            <w:vAlign w:val="top"/>
          </w:tcPr>
          <w:p>
            <w:r/>
            <w:r>
              <w:rPr>
                <w:b w:val="0"/>
                <w:sz w:val="17"/>
              </w:rPr>
              <w:t>Yes</w:t>
            </w:r>
          </w:p>
        </w:tc>
      </w:tr>
      <w:tr>
        <w:trPr>
          <w:cantSplit/>
        </w:trPr>
        <w:tc>
          <w:tcPr>
            <w:tcW w:type="dxa" w:w="2131"/>
            <w:vAlign w:val="top"/>
          </w:tcPr>
          <w:p>
            <w:r/>
            <w:r>
              <w:rPr>
                <w:b w:val="0"/>
                <w:sz w:val="17"/>
              </w:rPr>
              <w:t>postgres</w:t>
            </w:r>
          </w:p>
        </w:tc>
        <w:tc>
          <w:tcPr>
            <w:tcW w:type="dxa" w:w="2131"/>
            <w:vAlign w:val="top"/>
          </w:tcPr>
          <w:p>
            <w:r/>
            <w:r>
              <w:rPr>
                <w:b w:val="0"/>
                <w:sz w:val="17"/>
              </w:rPr>
              <w:t>timescale/timescaledb:latest-pg16</w:t>
            </w:r>
          </w:p>
        </w:tc>
        <w:tc>
          <w:tcPr>
            <w:tcW w:type="dxa" w:w="2131"/>
            <w:vAlign w:val="top"/>
          </w:tcPr>
          <w:p>
            <w:r/>
            <w:r>
              <w:rPr>
                <w:b w:val="0"/>
                <w:sz w:val="17"/>
              </w:rPr>
              <w:t>5433</w:t>
            </w:r>
          </w:p>
        </w:tc>
        <w:tc>
          <w:tcPr>
            <w:tcW w:type="dxa" w:w="2131"/>
            <w:vAlign w:val="top"/>
          </w:tcPr>
          <w:p>
            <w:r/>
            <w:r>
              <w:rPr>
                <w:b w:val="0"/>
                <w:sz w:val="17"/>
              </w:rPr>
              <w:t>PostgreSQL with TimescaleDB extension and persistent data volume</w:t>
            </w:r>
          </w:p>
        </w:tc>
        <w:tc>
          <w:tcPr>
            <w:tcW w:type="dxa" w:w="2131"/>
            <w:vAlign w:val="top"/>
          </w:tcPr>
          <w:p>
            <w:r/>
            <w:r>
              <w:rPr>
                <w:b w:val="0"/>
                <w:sz w:val="17"/>
              </w:rPr>
              <w:t>Yes</w:t>
            </w:r>
          </w:p>
        </w:tc>
      </w:tr>
      <w:tr>
        <w:trPr>
          <w:cantSplit/>
        </w:trPr>
        <w:tc>
          <w:tcPr>
            <w:tcW w:type="dxa" w:w="2131"/>
            <w:vAlign w:val="top"/>
          </w:tcPr>
          <w:p>
            <w:r/>
            <w:r>
              <w:rPr>
                <w:b w:val="0"/>
                <w:sz w:val="17"/>
              </w:rPr>
              <w:t>mqtt</w:t>
            </w:r>
          </w:p>
        </w:tc>
        <w:tc>
          <w:tcPr>
            <w:tcW w:type="dxa" w:w="2131"/>
            <w:vAlign w:val="top"/>
          </w:tcPr>
          <w:p>
            <w:r/>
            <w:r>
              <w:rPr>
                <w:b w:val="0"/>
                <w:sz w:val="17"/>
              </w:rPr>
              <w:t>build ./mqtt</w:t>
            </w:r>
          </w:p>
        </w:tc>
        <w:tc>
          <w:tcPr>
            <w:tcW w:type="dxa" w:w="2131"/>
            <w:vAlign w:val="top"/>
          </w:tcPr>
          <w:p>
            <w:r/>
            <w:r>
              <w:rPr>
                <w:b w:val="0"/>
                <w:sz w:val="17"/>
              </w:rPr>
              <w:t>1883, 9001</w:t>
            </w:r>
          </w:p>
        </w:tc>
        <w:tc>
          <w:tcPr>
            <w:tcW w:type="dxa" w:w="2131"/>
            <w:vAlign w:val="top"/>
          </w:tcPr>
          <w:p>
            <w:r/>
            <w:r>
              <w:rPr>
                <w:b w:val="0"/>
                <w:sz w:val="17"/>
              </w:rPr>
              <w:t>Mosquitto telemetry broker with configured credentials</w:t>
            </w:r>
          </w:p>
        </w:tc>
        <w:tc>
          <w:tcPr>
            <w:tcW w:type="dxa" w:w="2131"/>
            <w:vAlign w:val="top"/>
          </w:tcPr>
          <w:p>
            <w:r/>
            <w:r>
              <w:rPr>
                <w:b w:val="0"/>
                <w:sz w:val="17"/>
              </w:rPr>
              <w:t>Yes</w:t>
            </w:r>
          </w:p>
        </w:tc>
      </w:tr>
      <w:tr>
        <w:trPr>
          <w:cantSplit/>
        </w:trPr>
        <w:tc>
          <w:tcPr>
            <w:tcW w:type="dxa" w:w="2131"/>
            <w:vAlign w:val="top"/>
          </w:tcPr>
          <w:p>
            <w:r/>
            <w:r>
              <w:rPr>
                <w:b w:val="0"/>
                <w:sz w:val="17"/>
              </w:rPr>
              <w:t>redis</w:t>
            </w:r>
          </w:p>
        </w:tc>
        <w:tc>
          <w:tcPr>
            <w:tcW w:type="dxa" w:w="2131"/>
            <w:vAlign w:val="top"/>
          </w:tcPr>
          <w:p>
            <w:r/>
            <w:r>
              <w:rPr>
                <w:b w:val="0"/>
                <w:sz w:val="17"/>
              </w:rPr>
              <w:t>redis:7-alpine</w:t>
            </w:r>
          </w:p>
        </w:tc>
        <w:tc>
          <w:tcPr>
            <w:tcW w:type="dxa" w:w="2131"/>
            <w:vAlign w:val="top"/>
          </w:tcPr>
          <w:p>
            <w:r/>
            <w:r>
              <w:rPr>
                <w:b w:val="0"/>
                <w:sz w:val="17"/>
              </w:rPr>
              <w:t>6380</w:t>
            </w:r>
          </w:p>
        </w:tc>
        <w:tc>
          <w:tcPr>
            <w:tcW w:type="dxa" w:w="2131"/>
            <w:vAlign w:val="top"/>
          </w:tcPr>
          <w:p>
            <w:r/>
            <w:r>
              <w:rPr>
                <w:b w:val="0"/>
                <w:sz w:val="17"/>
              </w:rPr>
              <w:t>Redis cache and Pub/Sub support for analytics event paths</w:t>
            </w:r>
          </w:p>
        </w:tc>
        <w:tc>
          <w:tcPr>
            <w:tcW w:type="dxa" w:w="2131"/>
            <w:vAlign w:val="top"/>
          </w:tcPr>
          <w:p>
            <w:r/>
            <w:r>
              <w:rPr>
                <w:b w:val="0"/>
                <w:sz w:val="17"/>
              </w:rPr>
              <w:t>Yes</w:t>
            </w:r>
          </w:p>
        </w:tc>
      </w:tr>
      <w:tr>
        <w:trPr>
          <w:cantSplit/>
        </w:trPr>
        <w:tc>
          <w:tcPr>
            <w:tcW w:type="dxa" w:w="2131"/>
            <w:vAlign w:val="top"/>
          </w:tcPr>
          <w:p>
            <w:r/>
            <w:r>
              <w:rPr>
                <w:b w:val="0"/>
                <w:sz w:val="17"/>
              </w:rPr>
              <w:t>simulator</w:t>
            </w:r>
          </w:p>
        </w:tc>
        <w:tc>
          <w:tcPr>
            <w:tcW w:type="dxa" w:w="2131"/>
            <w:vAlign w:val="top"/>
          </w:tcPr>
          <w:p>
            <w:r/>
            <w:r>
              <w:rPr>
                <w:b w:val="0"/>
                <w:sz w:val="17"/>
              </w:rPr>
              <w:t>build ./simulator</w:t>
            </w:r>
          </w:p>
        </w:tc>
        <w:tc>
          <w:tcPr>
            <w:tcW w:type="dxa" w:w="2131"/>
            <w:vAlign w:val="top"/>
          </w:tcPr>
          <w:p>
            <w:r/>
            <w:r>
              <w:rPr>
                <w:b w:val="0"/>
                <w:sz w:val="17"/>
              </w:rPr>
              <w:t>internal 8003</w:t>
            </w:r>
          </w:p>
        </w:tc>
        <w:tc>
          <w:tcPr>
            <w:tcW w:type="dxa" w:w="2131"/>
            <w:vAlign w:val="top"/>
          </w:tcPr>
          <w:p>
            <w:r/>
            <w:r>
              <w:rPr>
                <w:b w:val="0"/>
                <w:sz w:val="17"/>
              </w:rPr>
              <w:t>FastAPI synthetic telemetry generator loaded from database machines</w:t>
            </w:r>
          </w:p>
        </w:tc>
        <w:tc>
          <w:tcPr>
            <w:tcW w:type="dxa" w:w="2131"/>
            <w:vAlign w:val="top"/>
          </w:tcPr>
          <w:p>
            <w:r/>
            <w:r>
              <w:rPr>
                <w:b w:val="0"/>
                <w:sz w:val="17"/>
              </w:rPr>
              <w:t>Yes</w:t>
            </w:r>
          </w:p>
        </w:tc>
      </w:tr>
      <w:tr>
        <w:trPr>
          <w:cantSplit/>
        </w:trPr>
        <w:tc>
          <w:tcPr>
            <w:tcW w:type="dxa" w:w="2131"/>
            <w:vAlign w:val="top"/>
          </w:tcPr>
          <w:p>
            <w:r/>
            <w:r>
              <w:rPr>
                <w:b w:val="0"/>
                <w:sz w:val="17"/>
              </w:rPr>
              <w:t>nodered</w:t>
            </w:r>
          </w:p>
        </w:tc>
        <w:tc>
          <w:tcPr>
            <w:tcW w:type="dxa" w:w="2131"/>
            <w:vAlign w:val="top"/>
          </w:tcPr>
          <w:p>
            <w:r/>
            <w:r>
              <w:rPr>
                <w:b w:val="0"/>
                <w:sz w:val="17"/>
              </w:rPr>
              <w:t>build ./nodered</w:t>
            </w:r>
          </w:p>
        </w:tc>
        <w:tc>
          <w:tcPr>
            <w:tcW w:type="dxa" w:w="2131"/>
            <w:vAlign w:val="top"/>
          </w:tcPr>
          <w:p>
            <w:r/>
            <w:r>
              <w:rPr>
                <w:b w:val="0"/>
                <w:sz w:val="17"/>
              </w:rPr>
              <w:t>1881</w:t>
            </w:r>
          </w:p>
        </w:tc>
        <w:tc>
          <w:tcPr>
            <w:tcW w:type="dxa" w:w="2131"/>
            <w:vAlign w:val="top"/>
          </w:tcPr>
          <w:p>
            <w:r/>
            <w:r>
              <w:rPr>
                <w:b w:val="0"/>
                <w:sz w:val="17"/>
              </w:rPr>
              <w:t>MQTT-to-database ingestion and automation flow runtime</w:t>
            </w:r>
          </w:p>
        </w:tc>
        <w:tc>
          <w:tcPr>
            <w:tcW w:type="dxa" w:w="2131"/>
            <w:vAlign w:val="top"/>
          </w:tcPr>
          <w:p>
            <w:r/>
            <w:r>
              <w:rPr>
                <w:b w:val="0"/>
                <w:sz w:val="17"/>
              </w:rPr>
              <w:t>Yes</w:t>
            </w:r>
          </w:p>
        </w:tc>
      </w:tr>
      <w:tr>
        <w:trPr>
          <w:cantSplit/>
        </w:trPr>
        <w:tc>
          <w:tcPr>
            <w:tcW w:type="dxa" w:w="2131"/>
            <w:vAlign w:val="top"/>
          </w:tcPr>
          <w:p>
            <w:r/>
            <w:r>
              <w:rPr>
                <w:b w:val="0"/>
                <w:sz w:val="17"/>
              </w:rPr>
              <w:t>grafana</w:t>
            </w:r>
          </w:p>
        </w:tc>
        <w:tc>
          <w:tcPr>
            <w:tcW w:type="dxa" w:w="2131"/>
            <w:vAlign w:val="top"/>
          </w:tcPr>
          <w:p>
            <w:r/>
            <w:r>
              <w:rPr>
                <w:b w:val="0"/>
                <w:sz w:val="17"/>
              </w:rPr>
              <w:t>grafana/grafana:10.2.0</w:t>
            </w:r>
          </w:p>
        </w:tc>
        <w:tc>
          <w:tcPr>
            <w:tcW w:type="dxa" w:w="2131"/>
            <w:vAlign w:val="top"/>
          </w:tcPr>
          <w:p>
            <w:r/>
            <w:r>
              <w:rPr>
                <w:b w:val="0"/>
                <w:sz w:val="17"/>
              </w:rPr>
              <w:t>3001, /grafana</w:t>
            </w:r>
          </w:p>
        </w:tc>
        <w:tc>
          <w:tcPr>
            <w:tcW w:type="dxa" w:w="2131"/>
            <w:vAlign w:val="top"/>
          </w:tcPr>
          <w:p>
            <w:r/>
            <w:r>
              <w:rPr>
                <w:b w:val="0"/>
                <w:sz w:val="17"/>
              </w:rPr>
              <w:t>Provisioned dashboards backed by PostgreSQL/TimescaleDB</w:t>
            </w:r>
          </w:p>
        </w:tc>
        <w:tc>
          <w:tcPr>
            <w:tcW w:type="dxa" w:w="2131"/>
            <w:vAlign w:val="top"/>
          </w:tcPr>
          <w:p>
            <w:r/>
            <w:r>
              <w:rPr>
                <w:b w:val="0"/>
                <w:sz w:val="17"/>
              </w:rPr>
              <w:t>Yes</w:t>
            </w:r>
          </w:p>
        </w:tc>
      </w:tr>
      <w:tr>
        <w:trPr>
          <w:cantSplit/>
        </w:trPr>
        <w:tc>
          <w:tcPr>
            <w:tcW w:type="dxa" w:w="2131"/>
            <w:vAlign w:val="top"/>
          </w:tcPr>
          <w:p>
            <w:r/>
            <w:r>
              <w:rPr>
                <w:b w:val="0"/>
                <w:sz w:val="17"/>
              </w:rPr>
              <w:t>analytics</w:t>
            </w:r>
          </w:p>
        </w:tc>
        <w:tc>
          <w:tcPr>
            <w:tcW w:type="dxa" w:w="2131"/>
            <w:vAlign w:val="top"/>
          </w:tcPr>
          <w:p>
            <w:r/>
            <w:r>
              <w:rPr>
                <w:b w:val="0"/>
                <w:sz w:val="17"/>
              </w:rPr>
              <w:t>build ./analytics</w:t>
            </w:r>
          </w:p>
        </w:tc>
        <w:tc>
          <w:tcPr>
            <w:tcW w:type="dxa" w:w="2131"/>
            <w:vAlign w:val="top"/>
          </w:tcPr>
          <w:p>
            <w:r/>
            <w:r>
              <w:rPr>
                <w:b w:val="0"/>
                <w:sz w:val="17"/>
              </w:rPr>
              <w:t>8001, /api/analytics</w:t>
            </w:r>
          </w:p>
        </w:tc>
        <w:tc>
          <w:tcPr>
            <w:tcW w:type="dxa" w:w="2131"/>
            <w:vAlign w:val="top"/>
          </w:tcPr>
          <w:p>
            <w:r/>
            <w:r>
              <w:rPr>
                <w:b w:val="0"/>
                <w:sz w:val="17"/>
              </w:rPr>
              <w:t>FastAPI analytics, KPI, reports, ISO 50001, and OVOS proxy APIs</w:t>
            </w:r>
          </w:p>
        </w:tc>
        <w:tc>
          <w:tcPr>
            <w:tcW w:type="dxa" w:w="2131"/>
            <w:vAlign w:val="top"/>
          </w:tcPr>
          <w:p>
            <w:r/>
            <w:r>
              <w:rPr>
                <w:b w:val="0"/>
                <w:sz w:val="17"/>
              </w:rPr>
              <w:t>Yes</w:t>
            </w:r>
          </w:p>
        </w:tc>
      </w:tr>
      <w:tr>
        <w:trPr>
          <w:cantSplit/>
        </w:trPr>
        <w:tc>
          <w:tcPr>
            <w:tcW w:type="dxa" w:w="2131"/>
            <w:vAlign w:val="top"/>
          </w:tcPr>
          <w:p>
            <w:r/>
            <w:r>
              <w:rPr>
                <w:b w:val="0"/>
                <w:sz w:val="17"/>
              </w:rPr>
              <w:t>auth-service</w:t>
            </w:r>
          </w:p>
        </w:tc>
        <w:tc>
          <w:tcPr>
            <w:tcW w:type="dxa" w:w="2131"/>
            <w:vAlign w:val="top"/>
          </w:tcPr>
          <w:p>
            <w:r/>
            <w:r>
              <w:rPr>
                <w:b w:val="0"/>
                <w:sz w:val="17"/>
              </w:rPr>
              <w:t>build ./auth-service</w:t>
            </w:r>
          </w:p>
        </w:tc>
        <w:tc>
          <w:tcPr>
            <w:tcW w:type="dxa" w:w="2131"/>
            <w:vAlign w:val="top"/>
          </w:tcPr>
          <w:p>
            <w:r/>
            <w:r>
              <w:rPr>
                <w:b w:val="0"/>
                <w:sz w:val="17"/>
              </w:rPr>
              <w:t>5500</w:t>
            </w:r>
          </w:p>
        </w:tc>
        <w:tc>
          <w:tcPr>
            <w:tcW w:type="dxa" w:w="2131"/>
            <w:vAlign w:val="top"/>
          </w:tcPr>
          <w:p>
            <w:r/>
            <w:r>
              <w:rPr>
                <w:b w:val="0"/>
                <w:sz w:val="17"/>
              </w:rPr>
              <w:t>Flask auth, admin, contact, pilot/application APIs</w:t>
            </w:r>
          </w:p>
        </w:tc>
        <w:tc>
          <w:tcPr>
            <w:tcW w:type="dxa" w:w="2131"/>
            <w:vAlign w:val="top"/>
          </w:tcPr>
          <w:p>
            <w:r/>
            <w:r>
              <w:rPr>
                <w:b w:val="0"/>
                <w:sz w:val="17"/>
              </w:rPr>
              <w:t>Yes</w:t>
            </w:r>
          </w:p>
        </w:tc>
      </w:tr>
      <w:tr>
        <w:trPr>
          <w:cantSplit/>
        </w:trPr>
        <w:tc>
          <w:tcPr>
            <w:tcW w:type="dxa" w:w="2131"/>
            <w:vAlign w:val="top"/>
          </w:tcPr>
          <w:p>
            <w:r/>
            <w:r>
              <w:rPr>
                <w:b w:val="0"/>
                <w:sz w:val="17"/>
              </w:rPr>
              <w:t>rasa-actions</w:t>
            </w:r>
          </w:p>
        </w:tc>
        <w:tc>
          <w:tcPr>
            <w:tcW w:type="dxa" w:w="2131"/>
            <w:vAlign w:val="top"/>
          </w:tcPr>
          <w:p>
            <w:r/>
            <w:r>
              <w:rPr>
                <w:b w:val="0"/>
                <w:sz w:val="17"/>
              </w:rPr>
              <w:t>build ./chatbot/rasa</w:t>
            </w:r>
          </w:p>
        </w:tc>
        <w:tc>
          <w:tcPr>
            <w:tcW w:type="dxa" w:w="2131"/>
            <w:vAlign w:val="top"/>
          </w:tcPr>
          <w:p>
            <w:r/>
            <w:r>
              <w:rPr>
                <w:b w:val="0"/>
                <w:sz w:val="17"/>
              </w:rPr>
              <w:t>5055</w:t>
            </w:r>
          </w:p>
        </w:tc>
        <w:tc>
          <w:tcPr>
            <w:tcW w:type="dxa" w:w="2131"/>
            <w:vAlign w:val="top"/>
          </w:tcPr>
          <w:p>
            <w:r/>
            <w:r>
              <w:rPr>
                <w:b w:val="0"/>
                <w:sz w:val="17"/>
              </w:rPr>
              <w:t>Rasa custom action server</w:t>
            </w:r>
          </w:p>
        </w:tc>
        <w:tc>
          <w:tcPr>
            <w:tcW w:type="dxa" w:w="2131"/>
            <w:vAlign w:val="top"/>
          </w:tcPr>
          <w:p>
            <w:r/>
            <w:r>
              <w:rPr>
                <w:b w:val="0"/>
                <w:sz w:val="17"/>
              </w:rPr>
              <w:t>Yes</w:t>
            </w:r>
          </w:p>
        </w:tc>
      </w:tr>
      <w:tr>
        <w:trPr>
          <w:cantSplit/>
        </w:trPr>
        <w:tc>
          <w:tcPr>
            <w:tcW w:type="dxa" w:w="2131"/>
            <w:vAlign w:val="top"/>
          </w:tcPr>
          <w:p>
            <w:pPr>
              <w:keepNext/>
            </w:pPr>
            <w:r/>
            <w:r>
              <w:rPr>
                <w:b w:val="0"/>
                <w:sz w:val="17"/>
              </w:rPr>
              <w:t>rasa</w:t>
            </w:r>
          </w:p>
        </w:tc>
        <w:tc>
          <w:tcPr>
            <w:tcW w:type="dxa" w:w="2131"/>
            <w:vAlign w:val="top"/>
          </w:tcPr>
          <w:p>
            <w:pPr>
              <w:keepNext/>
            </w:pPr>
            <w:r/>
            <w:r>
              <w:rPr>
                <w:b w:val="0"/>
                <w:sz w:val="17"/>
              </w:rPr>
              <w:t>build ./chatbot/rasa</w:t>
            </w:r>
          </w:p>
        </w:tc>
        <w:tc>
          <w:tcPr>
            <w:tcW w:type="dxa" w:w="2131"/>
            <w:vAlign w:val="top"/>
          </w:tcPr>
          <w:p>
            <w:pPr>
              <w:keepNext/>
            </w:pPr>
            <w:r/>
            <w:r>
              <w:rPr>
                <w:b w:val="0"/>
                <w:sz w:val="17"/>
              </w:rPr>
              <w:t>5005</w:t>
            </w:r>
          </w:p>
        </w:tc>
        <w:tc>
          <w:tcPr>
            <w:tcW w:type="dxa" w:w="2131"/>
            <w:vAlign w:val="top"/>
          </w:tcPr>
          <w:p>
            <w:pPr>
              <w:keepNext/>
            </w:pPr>
            <w:r/>
            <w:r>
              <w:rPr>
                <w:b w:val="0"/>
                <w:sz w:val="17"/>
              </w:rPr>
              <w:t>Rasa NLU text chatbot server</w:t>
            </w:r>
          </w:p>
        </w:tc>
        <w:tc>
          <w:tcPr>
            <w:tcW w:type="dxa" w:w="2131"/>
            <w:vAlign w:val="top"/>
          </w:tcPr>
          <w:p>
            <w:pPr>
              <w:keepNext/>
            </w:pPr>
            <w:r/>
            <w:r>
              <w:rPr>
                <w:b w:val="0"/>
                <w:sz w:val="17"/>
              </w:rPr>
              <w:t>Yes</w:t>
            </w:r>
          </w:p>
        </w:tc>
      </w:tr>
      <w:tr>
        <w:trPr>
          <w:cantSplit/>
        </w:trPr>
        <w:tc>
          <w:tcPr>
            <w:tcW w:type="dxa" w:w="2131"/>
            <w:vAlign w:val="top"/>
          </w:tcPr>
          <w:p>
            <w:r/>
            <w:r>
              <w:rPr>
                <w:b w:val="0"/>
                <w:sz w:val="17"/>
              </w:rPr>
              <w:t>chatbot</w:t>
            </w:r>
          </w:p>
        </w:tc>
        <w:tc>
          <w:tcPr>
            <w:tcW w:type="dxa" w:w="2131"/>
            <w:vAlign w:val="top"/>
          </w:tcPr>
          <w:p>
            <w:r/>
            <w:r>
              <w:rPr>
                <w:b w:val="0"/>
                <w:sz w:val="17"/>
              </w:rPr>
              <w:t>build ./chatbot</w:t>
            </w:r>
          </w:p>
        </w:tc>
        <w:tc>
          <w:tcPr>
            <w:tcW w:type="dxa" w:w="2131"/>
            <w:vAlign w:val="top"/>
          </w:tcPr>
          <w:p>
            <w:r/>
            <w:r>
              <w:rPr>
                <w:b w:val="0"/>
                <w:sz w:val="17"/>
              </w:rPr>
              <w:t>5006</w:t>
            </w:r>
          </w:p>
        </w:tc>
        <w:tc>
          <w:tcPr>
            <w:tcW w:type="dxa" w:w="2131"/>
            <w:vAlign w:val="top"/>
          </w:tcPr>
          <w:p>
            <w:r/>
            <w:r>
              <w:rPr>
                <w:b w:val="0"/>
                <w:sz w:val="17"/>
              </w:rPr>
              <w:t>Express backend and built chatbot frontend proxying to Rasa and OVOS</w:t>
            </w:r>
          </w:p>
        </w:tc>
        <w:tc>
          <w:tcPr>
            <w:tcW w:type="dxa" w:w="2131"/>
            <w:vAlign w:val="top"/>
          </w:tcPr>
          <w:p>
            <w:r/>
            <w:r>
              <w:rPr>
                <w:b w:val="0"/>
                <w:sz w:val="17"/>
              </w:rPr>
              <w:t>Yes</w:t>
            </w:r>
          </w:p>
        </w:tc>
      </w:tr>
    </w:tbl>
    <w:p/>
    <w:p>
      <w:r>
        <w:t>This inventory confirms that the base EnMS deployment is a multi-service stack. Operators should use it to plan resource allocation, health checks, firewall policy, and troubleshooting ownership.</w:t>
      </w:r>
    </w:p>
    <w:p>
      <w:pPr>
        <w:pStyle w:val="Heading1"/>
      </w:pPr>
      <w:r>
        <w:t>Dependency And Request Flow</w:t>
      </w:r>
    </w:p>
    <w:p>
      <w:r>
        <w:t>The main runtime dependencies are directional: clients enter through gateway or assistant bridge paths, domain services call databases and supporting middleware, and telemetry flows from producers into storage before it is consumed by dashboards, APIs, reports, and assistants.</w:t>
      </w:r>
    </w:p>
    <w:p>
      <w:r>
        <w:t>The dependency flows show how requests and data move through the stack from the point of entry to storage, analytics, dashboards, and assistant responses.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Flow</w:t>
            </w:r>
          </w:p>
        </w:tc>
        <w:tc>
          <w:tcPr>
            <w:tcW w:type="dxa" w:w="5328"/>
            <w:vAlign w:val="top"/>
            <w:shd w:fill="D9EAF7"/>
          </w:tcPr>
          <w:p>
            <w:r/>
            <w:r>
              <w:rPr>
                <w:b/>
                <w:sz w:val="17"/>
              </w:rPr>
              <w:t>Dependency chain</w:t>
            </w:r>
          </w:p>
        </w:tc>
      </w:tr>
      <w:tr>
        <w:trPr>
          <w:cantSplit/>
        </w:trPr>
        <w:tc>
          <w:tcPr>
            <w:tcW w:type="dxa" w:w="5328"/>
            <w:vAlign w:val="top"/>
          </w:tcPr>
          <w:p>
            <w:r/>
            <w:r>
              <w:rPr>
                <w:b w:val="0"/>
                <w:sz w:val="17"/>
              </w:rPr>
              <w:t>Telemetry path</w:t>
            </w:r>
          </w:p>
        </w:tc>
        <w:tc>
          <w:tcPr>
            <w:tcW w:type="dxa" w:w="5328"/>
            <w:vAlign w:val="top"/>
          </w:tcPr>
          <w:p>
            <w:r/>
            <w:r>
              <w:rPr>
                <w:b w:val="0"/>
                <w:sz w:val="17"/>
              </w:rPr>
              <w:t>simulator or external devices -&gt; MQTT -&gt; Node-RED -&gt; PostgreSQL/TimescaleDB -&gt; analytics/Grafana/reports/assistants</w:t>
            </w:r>
          </w:p>
        </w:tc>
      </w:tr>
      <w:tr>
        <w:trPr>
          <w:cantSplit/>
        </w:trPr>
        <w:tc>
          <w:tcPr>
            <w:tcW w:type="dxa" w:w="5328"/>
            <w:vAlign w:val="top"/>
          </w:tcPr>
          <w:p>
            <w:r/>
            <w:r>
              <w:rPr>
                <w:b w:val="0"/>
                <w:sz w:val="17"/>
              </w:rPr>
              <w:t>Dashboard path</w:t>
            </w:r>
          </w:p>
        </w:tc>
        <w:tc>
          <w:tcPr>
            <w:tcW w:type="dxa" w:w="5328"/>
            <w:vAlign w:val="top"/>
          </w:tcPr>
          <w:p>
            <w:r/>
            <w:r>
              <w:rPr>
                <w:b w:val="0"/>
                <w:sz w:val="17"/>
              </w:rPr>
              <w:t>browser -&gt; Nginx -&gt; Grafana -&gt; PostgreSQL/TimescaleDB datasource</w:t>
            </w:r>
          </w:p>
        </w:tc>
      </w:tr>
      <w:tr>
        <w:trPr>
          <w:cantSplit/>
        </w:trPr>
        <w:tc>
          <w:tcPr>
            <w:tcW w:type="dxa" w:w="5328"/>
            <w:vAlign w:val="top"/>
          </w:tcPr>
          <w:p>
            <w:r/>
            <w:r>
              <w:rPr>
                <w:b w:val="0"/>
                <w:sz w:val="17"/>
              </w:rPr>
              <w:t>Analytics path</w:t>
            </w:r>
          </w:p>
        </w:tc>
        <w:tc>
          <w:tcPr>
            <w:tcW w:type="dxa" w:w="5328"/>
            <w:vAlign w:val="top"/>
          </w:tcPr>
          <w:p>
            <w:r/>
            <w:r>
              <w:rPr>
                <w:b w:val="0"/>
                <w:sz w:val="17"/>
              </w:rPr>
              <w:t>browser/API client -&gt; Nginx -&gt; analytics -&gt; PostgreSQL/TimescaleDB and optional Redis</w:t>
            </w:r>
          </w:p>
        </w:tc>
      </w:tr>
      <w:tr>
        <w:trPr>
          <w:cantSplit/>
        </w:trPr>
        <w:tc>
          <w:tcPr>
            <w:tcW w:type="dxa" w:w="5328"/>
            <w:vAlign w:val="top"/>
          </w:tcPr>
          <w:p>
            <w:r/>
            <w:r>
              <w:rPr>
                <w:b w:val="0"/>
                <w:sz w:val="17"/>
              </w:rPr>
              <w:t>Authentication path</w:t>
            </w:r>
          </w:p>
        </w:tc>
        <w:tc>
          <w:tcPr>
            <w:tcW w:type="dxa" w:w="5328"/>
            <w:vAlign w:val="top"/>
          </w:tcPr>
          <w:p>
            <w:r/>
            <w:r>
              <w:rPr>
                <w:b w:val="0"/>
                <w:sz w:val="17"/>
              </w:rPr>
              <w:t>portal/auth pages -&gt; Nginx -&gt; auth-service -&gt; PostgreSQL auth tables; SMTP is optional/configured through environment</w:t>
            </w:r>
          </w:p>
        </w:tc>
      </w:tr>
      <w:tr>
        <w:trPr>
          <w:cantSplit/>
        </w:trPr>
        <w:tc>
          <w:tcPr>
            <w:tcW w:type="dxa" w:w="5328"/>
            <w:vAlign w:val="top"/>
          </w:tcPr>
          <w:p>
            <w:pPr>
              <w:keepNext/>
            </w:pPr>
            <w:r/>
            <w:r>
              <w:rPr>
                <w:b w:val="0"/>
                <w:sz w:val="17"/>
              </w:rPr>
              <w:t>Rasa help path</w:t>
            </w:r>
          </w:p>
        </w:tc>
        <w:tc>
          <w:tcPr>
            <w:tcW w:type="dxa" w:w="5328"/>
            <w:vAlign w:val="top"/>
          </w:tcPr>
          <w:p>
            <w:pPr>
              <w:keepNext/>
            </w:pPr>
            <w:r/>
            <w:r>
              <w:rPr>
                <w:b w:val="0"/>
                <w:sz w:val="17"/>
              </w:rPr>
              <w:t>portal chatbot -&gt; chatbot Express backend -&gt; Rasa server -&gt; Rasa action server -&gt; qa_data.json</w:t>
            </w:r>
          </w:p>
        </w:tc>
      </w:tr>
      <w:tr>
        <w:trPr>
          <w:cantSplit/>
        </w:trPr>
        <w:tc>
          <w:tcPr>
            <w:tcW w:type="dxa" w:w="5328"/>
            <w:vAlign w:val="top"/>
          </w:tcPr>
          <w:p>
            <w:r/>
            <w:r>
              <w:rPr>
                <w:b w:val="0"/>
                <w:sz w:val="17"/>
              </w:rPr>
              <w:t>OVOS operational path</w:t>
            </w:r>
          </w:p>
        </w:tc>
        <w:tc>
          <w:tcPr>
            <w:tcW w:type="dxa" w:w="5328"/>
            <w:vAlign w:val="top"/>
          </w:tcPr>
          <w:p>
            <w:r/>
            <w:r>
              <w:rPr>
                <w:b w:val="0"/>
                <w:sz w:val="17"/>
              </w:rPr>
              <w:t>REST bridge or portal proxy -&gt; OVOS messagebus -&gt; EnMS skill -&gt; HumanEnerDIA-compatible analytics API -&gt; structured response</w:t>
            </w:r>
          </w:p>
        </w:tc>
      </w:tr>
    </w:tbl>
    <w:p/>
    <w:p>
      <w:r>
        <w:t>The flow relationships show where failures will propagate. For example, stale telemetry affects dashboards and assistant answers, while gateway routing issues can affect multiple browser-facing paths.</w:t>
      </w:r>
    </w:p>
    <w:p>
      <w:pPr>
        <w:pStyle w:val="Heading1"/>
      </w:pPr>
      <w:r>
        <w:t>Data And Message Flow</w:t>
      </w:r>
    </w:p>
    <w:p>
      <w:r>
        <w:drawing>
          <wp:inline xmlns:a="http://schemas.openxmlformats.org/drawingml/2006/main" xmlns:pic="http://schemas.openxmlformats.org/drawingml/2006/picture">
            <wp:extent cx="6583680" cy="3950208"/>
            <wp:docPr id="2" name="Picture 2"/>
            <wp:cNvGraphicFramePr>
              <a:graphicFrameLocks noChangeAspect="1"/>
            </wp:cNvGraphicFramePr>
            <a:graphic>
              <a:graphicData uri="http://schemas.openxmlformats.org/drawingml/2006/picture">
                <pic:pic>
                  <pic:nvPicPr>
                    <pic:cNvPr id="0" name="telemetry-data-flow.png"/>
                    <pic:cNvPicPr/>
                  </pic:nvPicPr>
                  <pic:blipFill>
                    <a:blip r:embed="rId10"/>
                    <a:stretch>
                      <a:fillRect/>
                    </a:stretch>
                  </pic:blipFill>
                  <pic:spPr>
                    <a:xfrm>
                      <a:off x="0" y="0"/>
                      <a:ext cx="6583680" cy="3950208"/>
                    </a:xfrm>
                    <a:prstGeom prst="rect"/>
                  </pic:spPr>
                </pic:pic>
              </a:graphicData>
            </a:graphic>
          </wp:inline>
        </w:drawing>
      </w:r>
    </w:p>
    <w:p>
      <w:pPr>
        <w:jc w:val="center"/>
      </w:pPr>
      <w:r>
        <w:rPr>
          <w:i/>
          <w:sz w:val="17"/>
        </w:rPr>
        <w:t>Figure 2. Telemetry ingestion and analytics data flow.</w:t>
      </w:r>
    </w:p>
    <w:p>
      <w:r>
        <w:t>Synthetic factory data or external device data enters through MQTT. Node-RED subscribes to factory/#, parses the topic structure, routes by payload type, validates required fields, and writes energy, production, environmental, and status data into PostgreSQL.</w:t>
      </w:r>
    </w:p>
    <w:p>
      <w:r>
        <w:t>TimescaleDB hypertables and continuous aggregates provide raw and aggregated time-series views. The analytics service reads from those tables and aggregate views to support KPIs, baselines, forecasts, anomalies, reports, Grafana dashboards, and OVOS-facing responses.</w:t>
      </w:r>
    </w:p>
    <w:p>
      <w:r>
        <w:t>This table follows telemetry through each processing stage, from publication to storage and then to downstream consumers.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Stage</w:t>
            </w:r>
          </w:p>
        </w:tc>
        <w:tc>
          <w:tcPr>
            <w:tcW w:type="dxa" w:w="3552"/>
            <w:vAlign w:val="top"/>
            <w:shd w:fill="D9EAF7"/>
          </w:tcPr>
          <w:p>
            <w:r/>
            <w:r>
              <w:rPr>
                <w:b/>
                <w:sz w:val="17"/>
              </w:rPr>
              <w:t>Observed implementation</w:t>
            </w:r>
          </w:p>
        </w:tc>
        <w:tc>
          <w:tcPr>
            <w:tcW w:type="dxa" w:w="3552"/>
            <w:vAlign w:val="top"/>
            <w:shd w:fill="D9EAF7"/>
          </w:tcPr>
          <w:p>
            <w:r/>
            <w:r>
              <w:rPr>
                <w:b/>
                <w:sz w:val="17"/>
              </w:rPr>
              <w:t>Evidence</w:t>
            </w:r>
          </w:p>
        </w:tc>
      </w:tr>
      <w:tr>
        <w:trPr>
          <w:cantSplit/>
        </w:trPr>
        <w:tc>
          <w:tcPr>
            <w:tcW w:type="dxa" w:w="3552"/>
            <w:vAlign w:val="top"/>
          </w:tcPr>
          <w:p>
            <w:r/>
            <w:r>
              <w:rPr>
                <w:b w:val="0"/>
                <w:sz w:val="17"/>
              </w:rPr>
              <w:t>Telemetry source</w:t>
            </w:r>
          </w:p>
        </w:tc>
        <w:tc>
          <w:tcPr>
            <w:tcW w:type="dxa" w:w="3552"/>
            <w:vAlign w:val="top"/>
          </w:tcPr>
          <w:p>
            <w:r/>
            <w:r>
              <w:rPr>
                <w:b w:val="0"/>
                <w:sz w:val="17"/>
              </w:rPr>
              <w:t>simulator loads active machines from PostgreSQL and publishes MQTT messages for energy, production, environmental, status, and multi-energy boiler topics</w:t>
            </w:r>
          </w:p>
        </w:tc>
        <w:tc>
          <w:tcPr>
            <w:tcW w:type="dxa" w:w="3552"/>
            <w:vAlign w:val="top"/>
          </w:tcPr>
          <w:p>
            <w:r/>
            <w:r>
              <w:rPr>
                <w:b w:val="0"/>
                <w:sz w:val="17"/>
              </w:rPr>
              <w:t>simulator/main.py; simulator/api/routes.py; simulator/simulator_manager.py; simulator/mqtt_publisher.py</w:t>
            </w:r>
          </w:p>
        </w:tc>
      </w:tr>
      <w:tr>
        <w:trPr>
          <w:cantSplit/>
        </w:trPr>
        <w:tc>
          <w:tcPr>
            <w:tcW w:type="dxa" w:w="3552"/>
            <w:vAlign w:val="top"/>
          </w:tcPr>
          <w:p>
            <w:r/>
            <w:r>
              <w:rPr>
                <w:b w:val="0"/>
                <w:sz w:val="17"/>
              </w:rPr>
              <w:t>Broker</w:t>
            </w:r>
          </w:p>
        </w:tc>
        <w:tc>
          <w:tcPr>
            <w:tcW w:type="dxa" w:w="3552"/>
            <w:vAlign w:val="top"/>
          </w:tcPr>
          <w:p>
            <w:r/>
            <w:r>
              <w:rPr>
                <w:b w:val="0"/>
                <w:sz w:val="17"/>
              </w:rPr>
              <w:t>mqtt service exposes 1883 and websocket 9001 with credentials supplied through environment variables</w:t>
            </w:r>
          </w:p>
        </w:tc>
        <w:tc>
          <w:tcPr>
            <w:tcW w:type="dxa" w:w="3552"/>
            <w:vAlign w:val="top"/>
          </w:tcPr>
          <w:p>
            <w:r/>
            <w:r>
              <w:rPr>
                <w:b w:val="0"/>
                <w:sz w:val="17"/>
              </w:rPr>
              <w:t>docker-compose.yml</w:t>
            </w:r>
          </w:p>
        </w:tc>
      </w:tr>
      <w:tr>
        <w:trPr>
          <w:cantSplit/>
        </w:trPr>
        <w:tc>
          <w:tcPr>
            <w:tcW w:type="dxa" w:w="3552"/>
            <w:vAlign w:val="top"/>
          </w:tcPr>
          <w:p>
            <w:r/>
            <w:r>
              <w:rPr>
                <w:b w:val="0"/>
                <w:sz w:val="17"/>
              </w:rPr>
              <w:t>Ingestion</w:t>
            </w:r>
          </w:p>
        </w:tc>
        <w:tc>
          <w:tcPr>
            <w:tcW w:type="dxa" w:w="3552"/>
            <w:vAlign w:val="top"/>
          </w:tcPr>
          <w:p>
            <w:r/>
            <w:r>
              <w:rPr>
                <w:b w:val="0"/>
                <w:sz w:val="17"/>
              </w:rPr>
              <w:t>Node-RED flow includes Subscribe: factory/#, Parse Topic, Route by Type, Process Energy/Production/Environmental/Status, and PostgreSQL output nodes</w:t>
            </w:r>
          </w:p>
        </w:tc>
        <w:tc>
          <w:tcPr>
            <w:tcW w:type="dxa" w:w="3552"/>
            <w:vAlign w:val="top"/>
          </w:tcPr>
          <w:p>
            <w:r/>
            <w:r>
              <w:rPr>
                <w:b w:val="0"/>
                <w:sz w:val="17"/>
              </w:rPr>
              <w:t>nodered/data/flows.json; nodered/settings.js; nodered/package.json</w:t>
            </w:r>
          </w:p>
        </w:tc>
      </w:tr>
      <w:tr>
        <w:trPr>
          <w:cantSplit/>
        </w:trPr>
        <w:tc>
          <w:tcPr>
            <w:tcW w:type="dxa" w:w="3552"/>
            <w:vAlign w:val="top"/>
          </w:tcPr>
          <w:p>
            <w:pPr>
              <w:keepNext/>
            </w:pPr>
            <w:r/>
            <w:r>
              <w:rPr>
                <w:b w:val="0"/>
                <w:sz w:val="17"/>
              </w:rPr>
              <w:t>Storage</w:t>
            </w:r>
          </w:p>
        </w:tc>
        <w:tc>
          <w:tcPr>
            <w:tcW w:type="dxa" w:w="3552"/>
            <w:vAlign w:val="top"/>
          </w:tcPr>
          <w:p>
            <w:pPr>
              <w:keepNext/>
            </w:pPr>
            <w:r/>
            <w:r>
              <w:rPr>
                <w:b w:val="0"/>
                <w:sz w:val="17"/>
              </w:rPr>
              <w:t>energy_readings, production_data, and environmental_data are converted to TimescaleDB hypertables with continuous aggregates</w:t>
            </w:r>
          </w:p>
        </w:tc>
        <w:tc>
          <w:tcPr>
            <w:tcW w:type="dxa" w:w="3552"/>
            <w:vAlign w:val="top"/>
          </w:tcPr>
          <w:p>
            <w:pPr>
              <w:keepNext/>
            </w:pPr>
            <w:r/>
            <w:r>
              <w:rPr>
                <w:b w:val="0"/>
                <w:sz w:val="17"/>
              </w:rPr>
              <w:t>database/init/02-schema.sql; database/init/03-timescaledb-setup.sql; database/init/04-functions.sql</w:t>
            </w:r>
          </w:p>
        </w:tc>
      </w:tr>
      <w:tr>
        <w:trPr>
          <w:cantSplit/>
        </w:trPr>
        <w:tc>
          <w:tcPr>
            <w:tcW w:type="dxa" w:w="3552"/>
            <w:vAlign w:val="top"/>
          </w:tcPr>
          <w:p>
            <w:r/>
            <w:r>
              <w:rPr>
                <w:b w:val="0"/>
                <w:sz w:val="17"/>
              </w:rPr>
              <w:t>Consumption</w:t>
            </w:r>
          </w:p>
        </w:tc>
        <w:tc>
          <w:tcPr>
            <w:tcW w:type="dxa" w:w="3552"/>
            <w:vAlign w:val="top"/>
          </w:tcPr>
          <w:p>
            <w:r/>
            <w:r>
              <w:rPr>
                <w:b w:val="0"/>
                <w:sz w:val="17"/>
              </w:rPr>
              <w:t>Analytics API, Grafana dashboards, portal, chatbot, and OVOS integration consume database-backed data</w:t>
            </w:r>
          </w:p>
        </w:tc>
        <w:tc>
          <w:tcPr>
            <w:tcW w:type="dxa" w:w="3552"/>
            <w:vAlign w:val="top"/>
          </w:tcPr>
          <w:p>
            <w:r/>
            <w:r>
              <w:rPr>
                <w:b w:val="0"/>
                <w:sz w:val="17"/>
              </w:rPr>
              <w:t>analytics/main.py</w:t>
            </w:r>
          </w:p>
        </w:tc>
      </w:tr>
    </w:tbl>
    <w:p/>
    <w:p>
      <w:r>
        <w:t>The data flow emphasizes that KPIs and reports depend on successful ingestion, storage, and aggregate refresh. It also clarifies where external device integration would connect.</w:t>
      </w:r>
    </w:p>
    <w:p>
      <w:pPr>
        <w:pStyle w:val="Heading1"/>
      </w:pPr>
      <w:r>
        <w:t>External And Internal Interfaces</w:t>
      </w:r>
    </w:p>
    <w:p>
      <w:r>
        <w:t>External browser access normally enters through Nginx. Direct service ports are exposed for operations and development; production exposure should be restricted by firewall or reverse proxy policy.</w:t>
      </w:r>
    </w:p>
    <w:p>
      <w:r>
        <w:t>The interface list identifies the main access routes and clarifies which paths are intended for browsers, APIs, operations tools, or the optional assistant bridge.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Interface</w:t>
            </w:r>
          </w:p>
        </w:tc>
        <w:tc>
          <w:tcPr>
            <w:tcW w:type="dxa" w:w="3552"/>
            <w:vAlign w:val="top"/>
            <w:shd w:fill="D9EAF7"/>
          </w:tcPr>
          <w:p>
            <w:r/>
            <w:r>
              <w:rPr>
                <w:b/>
                <w:sz w:val="17"/>
              </w:rPr>
              <w:t>Route or endpoint</w:t>
            </w:r>
          </w:p>
        </w:tc>
        <w:tc>
          <w:tcPr>
            <w:tcW w:type="dxa" w:w="3552"/>
            <w:vAlign w:val="top"/>
            <w:shd w:fill="D9EAF7"/>
          </w:tcPr>
          <w:p>
            <w:r/>
            <w:r>
              <w:rPr>
                <w:b/>
                <w:sz w:val="17"/>
              </w:rPr>
              <w:t>Evidence/notes</w:t>
            </w:r>
          </w:p>
        </w:tc>
      </w:tr>
      <w:tr>
        <w:trPr>
          <w:cantSplit/>
        </w:trPr>
        <w:tc>
          <w:tcPr>
            <w:tcW w:type="dxa" w:w="3552"/>
            <w:vAlign w:val="top"/>
          </w:tcPr>
          <w:p>
            <w:r/>
            <w:r>
              <w:rPr>
                <w:b w:val="0"/>
                <w:sz w:val="17"/>
              </w:rPr>
              <w:t>Unified portal</w:t>
            </w:r>
          </w:p>
        </w:tc>
        <w:tc>
          <w:tcPr>
            <w:tcW w:type="dxa" w:w="3552"/>
            <w:vAlign w:val="top"/>
          </w:tcPr>
          <w:p>
            <w:r/>
            <w:r>
              <w:rPr>
                <w:b w:val="0"/>
                <w:sz w:val="17"/>
              </w:rPr>
              <w:t>http://&lt;host&gt;:8080</w:t>
            </w:r>
          </w:p>
        </w:tc>
        <w:tc>
          <w:tcPr>
            <w:tcW w:type="dxa" w:w="3552"/>
            <w:vAlign w:val="top"/>
          </w:tcPr>
          <w:p>
            <w:r/>
            <w:r>
              <w:rPr>
                <w:b w:val="0"/>
                <w:sz w:val="17"/>
              </w:rPr>
              <w:t>Served by Nginx from portal/public</w:t>
            </w:r>
          </w:p>
        </w:tc>
      </w:tr>
      <w:tr>
        <w:trPr>
          <w:cantSplit/>
        </w:trPr>
        <w:tc>
          <w:tcPr>
            <w:tcW w:type="dxa" w:w="3552"/>
            <w:vAlign w:val="top"/>
          </w:tcPr>
          <w:p>
            <w:r/>
            <w:r>
              <w:rPr>
                <w:b w:val="0"/>
                <w:sz w:val="17"/>
              </w:rPr>
              <w:t>Grafana</w:t>
            </w:r>
          </w:p>
        </w:tc>
        <w:tc>
          <w:tcPr>
            <w:tcW w:type="dxa" w:w="3552"/>
            <w:vAlign w:val="top"/>
          </w:tcPr>
          <w:p>
            <w:r/>
            <w:r>
              <w:rPr>
                <w:b w:val="0"/>
                <w:sz w:val="17"/>
              </w:rPr>
              <w:t>http://&lt;host&gt;:8080/grafana</w:t>
            </w:r>
          </w:p>
        </w:tc>
        <w:tc>
          <w:tcPr>
            <w:tcW w:type="dxa" w:w="3552"/>
            <w:vAlign w:val="top"/>
          </w:tcPr>
          <w:p>
            <w:r/>
            <w:r>
              <w:rPr>
                <w:b w:val="0"/>
                <w:sz w:val="17"/>
              </w:rPr>
              <w:t>Sub-path proxy to Grafana with provisioned dashboards</w:t>
            </w:r>
          </w:p>
        </w:tc>
      </w:tr>
      <w:tr>
        <w:trPr>
          <w:cantSplit/>
        </w:trPr>
        <w:tc>
          <w:tcPr>
            <w:tcW w:type="dxa" w:w="3552"/>
            <w:vAlign w:val="top"/>
          </w:tcPr>
          <w:p>
            <w:r/>
            <w:r>
              <w:rPr>
                <w:b w:val="0"/>
                <w:sz w:val="17"/>
              </w:rPr>
              <w:t>Analytics UI</w:t>
            </w:r>
          </w:p>
        </w:tc>
        <w:tc>
          <w:tcPr>
            <w:tcW w:type="dxa" w:w="3552"/>
            <w:vAlign w:val="top"/>
          </w:tcPr>
          <w:p>
            <w:r/>
            <w:r>
              <w:rPr>
                <w:b w:val="0"/>
                <w:sz w:val="17"/>
              </w:rPr>
              <w:t>http://&lt;host&gt;:8080/analytics/ui/</w:t>
            </w:r>
          </w:p>
        </w:tc>
        <w:tc>
          <w:tcPr>
            <w:tcW w:type="dxa" w:w="3552"/>
            <w:vAlign w:val="top"/>
          </w:tcPr>
          <w:p>
            <w:r/>
            <w:r>
              <w:rPr>
                <w:b w:val="0"/>
                <w:sz w:val="17"/>
              </w:rPr>
              <w:t>FastAPI-rendered analytics templates</w:t>
            </w:r>
          </w:p>
        </w:tc>
      </w:tr>
      <w:tr>
        <w:trPr>
          <w:cantSplit/>
        </w:trPr>
        <w:tc>
          <w:tcPr>
            <w:tcW w:type="dxa" w:w="3552"/>
            <w:vAlign w:val="top"/>
          </w:tcPr>
          <w:p>
            <w:r/>
            <w:r>
              <w:rPr>
                <w:b w:val="0"/>
                <w:sz w:val="17"/>
              </w:rPr>
              <w:t>Analytics API docs</w:t>
            </w:r>
          </w:p>
        </w:tc>
        <w:tc>
          <w:tcPr>
            <w:tcW w:type="dxa" w:w="3552"/>
            <w:vAlign w:val="top"/>
          </w:tcPr>
          <w:p>
            <w:r/>
            <w:r>
              <w:rPr>
                <w:b w:val="0"/>
                <w:sz w:val="17"/>
              </w:rPr>
              <w:t>http://&lt;host&gt;:8080/api/analytics/docs</w:t>
            </w:r>
          </w:p>
        </w:tc>
        <w:tc>
          <w:tcPr>
            <w:tcW w:type="dxa" w:w="3552"/>
            <w:vAlign w:val="top"/>
          </w:tcPr>
          <w:p>
            <w:r/>
            <w:r>
              <w:rPr>
                <w:b w:val="0"/>
                <w:sz w:val="17"/>
              </w:rPr>
              <w:t>Nginx proxy to analytics OpenAPI docs</w:t>
            </w:r>
          </w:p>
        </w:tc>
      </w:tr>
      <w:tr>
        <w:trPr>
          <w:cantSplit/>
        </w:trPr>
        <w:tc>
          <w:tcPr>
            <w:tcW w:type="dxa" w:w="3552"/>
            <w:vAlign w:val="top"/>
          </w:tcPr>
          <w:p>
            <w:r/>
            <w:r>
              <w:rPr>
                <w:b w:val="0"/>
                <w:sz w:val="17"/>
              </w:rPr>
              <w:t>Simulator docs</w:t>
            </w:r>
          </w:p>
        </w:tc>
        <w:tc>
          <w:tcPr>
            <w:tcW w:type="dxa" w:w="3552"/>
            <w:vAlign w:val="top"/>
          </w:tcPr>
          <w:p>
            <w:r/>
            <w:r>
              <w:rPr>
                <w:b w:val="0"/>
                <w:sz w:val="17"/>
              </w:rPr>
              <w:t>http://&lt;host&gt;:8080/api/simulator/docs</w:t>
            </w:r>
          </w:p>
        </w:tc>
        <w:tc>
          <w:tcPr>
            <w:tcW w:type="dxa" w:w="3552"/>
            <w:vAlign w:val="top"/>
          </w:tcPr>
          <w:p>
            <w:r/>
            <w:r>
              <w:rPr>
                <w:b w:val="0"/>
                <w:sz w:val="17"/>
              </w:rPr>
              <w:t>Nginx proxy to simulator OpenAPI docs</w:t>
            </w:r>
          </w:p>
        </w:tc>
      </w:tr>
      <w:tr>
        <w:trPr>
          <w:cantSplit/>
        </w:trPr>
        <w:tc>
          <w:tcPr>
            <w:tcW w:type="dxa" w:w="3552"/>
            <w:vAlign w:val="top"/>
          </w:tcPr>
          <w:p>
            <w:r/>
            <w:r>
              <w:rPr>
                <w:b w:val="0"/>
                <w:sz w:val="17"/>
              </w:rPr>
              <w:t>Node-RED</w:t>
            </w:r>
          </w:p>
        </w:tc>
        <w:tc>
          <w:tcPr>
            <w:tcW w:type="dxa" w:w="3552"/>
            <w:vAlign w:val="top"/>
          </w:tcPr>
          <w:p>
            <w:r/>
            <w:r>
              <w:rPr>
                <w:b w:val="0"/>
                <w:sz w:val="17"/>
              </w:rPr>
              <w:t>http://&lt;host&gt;:1881 or http://&lt;host&gt;:8080/nodered/</w:t>
            </w:r>
          </w:p>
        </w:tc>
        <w:tc>
          <w:tcPr>
            <w:tcW w:type="dxa" w:w="3552"/>
            <w:vAlign w:val="top"/>
          </w:tcPr>
          <w:p>
            <w:r/>
            <w:r>
              <w:rPr>
                <w:b w:val="0"/>
                <w:sz w:val="17"/>
              </w:rPr>
              <w:t>Admin UI protected by Node-RED credentials</w:t>
            </w:r>
          </w:p>
        </w:tc>
      </w:tr>
      <w:tr>
        <w:trPr>
          <w:cantSplit/>
        </w:trPr>
        <w:tc>
          <w:tcPr>
            <w:tcW w:type="dxa" w:w="3552"/>
            <w:vAlign w:val="top"/>
          </w:tcPr>
          <w:p>
            <w:r/>
            <w:r>
              <w:rPr>
                <w:b w:val="0"/>
                <w:sz w:val="17"/>
              </w:rPr>
              <w:t>OVOS bridge</w:t>
            </w:r>
          </w:p>
        </w:tc>
        <w:tc>
          <w:tcPr>
            <w:tcW w:type="dxa" w:w="3552"/>
            <w:vAlign w:val="top"/>
          </w:tcPr>
          <w:p>
            <w:r/>
            <w:r>
              <w:rPr>
                <w:b w:val="0"/>
                <w:sz w:val="17"/>
              </w:rPr>
              <w:t>http://&lt;host&gt;:5000/health</w:t>
            </w:r>
          </w:p>
        </w:tc>
        <w:tc>
          <w:tcPr>
            <w:tcW w:type="dxa" w:w="3552"/>
            <w:vAlign w:val="top"/>
          </w:tcPr>
          <w:p>
            <w:r/>
            <w:r>
              <w:rPr>
                <w:b w:val="0"/>
                <w:sz w:val="17"/>
              </w:rPr>
              <w:t>Available when the separate OVOS-EnMS runtime is deployed</w:t>
            </w:r>
          </w:p>
        </w:tc>
      </w:tr>
      <w:tr>
        <w:trPr>
          <w:cantSplit/>
        </w:trPr>
        <w:tc>
          <w:tcPr>
            <w:tcW w:type="dxa" w:w="3552"/>
            <w:vAlign w:val="top"/>
          </w:tcPr>
          <w:p>
            <w:r/>
            <w:r>
              <w:rPr>
                <w:b w:val="0"/>
                <w:sz w:val="17"/>
              </w:rPr>
              <w:t>Analytics health</w:t>
            </w:r>
          </w:p>
        </w:tc>
        <w:tc>
          <w:tcPr>
            <w:tcW w:type="dxa" w:w="3552"/>
            <w:vAlign w:val="top"/>
          </w:tcPr>
          <w:p>
            <w:r/>
            <w:r>
              <w:rPr>
                <w:b w:val="0"/>
                <w:sz w:val="17"/>
              </w:rPr>
              <w:t>Direct service path /api/v1/health; through Nginx analytics proxy /api/analytics/api/v1/health</w:t>
            </w:r>
          </w:p>
        </w:tc>
        <w:tc>
          <w:tcPr>
            <w:tcW w:type="dxa" w:w="3552"/>
            <w:vAlign w:val="top"/>
          </w:tcPr>
          <w:p>
            <w:r/>
            <w:r>
              <w:rPr>
                <w:b w:val="0"/>
                <w:sz w:val="17"/>
              </w:rPr>
              <w:t>analytics/main.py; nginx/conf.d/default.conf</w:t>
            </w:r>
          </w:p>
        </w:tc>
      </w:tr>
      <w:tr>
        <w:trPr>
          <w:cantSplit/>
        </w:trPr>
        <w:tc>
          <w:tcPr>
            <w:tcW w:type="dxa" w:w="3552"/>
            <w:vAlign w:val="top"/>
          </w:tcPr>
          <w:p>
            <w:pPr>
              <w:keepNext/>
            </w:pPr>
            <w:r/>
            <w:r>
              <w:rPr>
                <w:b w:val="0"/>
                <w:sz w:val="17"/>
              </w:rPr>
              <w:t>OVOS proxy via EnMS</w:t>
            </w:r>
          </w:p>
        </w:tc>
        <w:tc>
          <w:tcPr>
            <w:tcW w:type="dxa" w:w="3552"/>
            <w:vAlign w:val="top"/>
          </w:tcPr>
          <w:p>
            <w:pPr>
              <w:keepNext/>
            </w:pPr>
            <w:r/>
            <w:r>
              <w:rPr>
                <w:b w:val="0"/>
                <w:sz w:val="17"/>
              </w:rPr>
              <w:t>/api/ovos/* -&gt; /api/v1/ovos/*</w:t>
            </w:r>
          </w:p>
        </w:tc>
        <w:tc>
          <w:tcPr>
            <w:tcW w:type="dxa" w:w="3552"/>
            <w:vAlign w:val="top"/>
          </w:tcPr>
          <w:p>
            <w:pPr>
              <w:keepNext/>
            </w:pPr>
            <w:r/>
            <w:r>
              <w:rPr>
                <w:b w:val="0"/>
                <w:sz w:val="17"/>
              </w:rPr>
              <w:t>nginx/conf.d/default.conf; analytics/api/routes/ovos_voice.py</w:t>
            </w:r>
          </w:p>
        </w:tc>
      </w:tr>
      <w:tr>
        <w:trPr>
          <w:cantSplit/>
        </w:trPr>
        <w:tc>
          <w:tcPr>
            <w:tcW w:type="dxa" w:w="3552"/>
            <w:vAlign w:val="top"/>
          </w:tcPr>
          <w:p>
            <w:r/>
            <w:r>
              <w:rPr>
                <w:b w:val="0"/>
                <w:sz w:val="17"/>
              </w:rPr>
              <w:t>OVOS direct bridge</w:t>
            </w:r>
          </w:p>
        </w:tc>
        <w:tc>
          <w:tcPr>
            <w:tcW w:type="dxa" w:w="3552"/>
            <w:vAlign w:val="top"/>
          </w:tcPr>
          <w:p>
            <w:r/>
            <w:r>
              <w:rPr>
                <w:b w:val="0"/>
                <w:sz w:val="17"/>
              </w:rPr>
              <w:t>POST /query, POST /query/voice, GET /health</w:t>
            </w:r>
          </w:p>
        </w:tc>
        <w:tc>
          <w:tcPr>
            <w:tcW w:type="dxa" w:w="3552"/>
            <w:vAlign w:val="top"/>
          </w:tcPr>
          <w:p>
            <w:r/>
            <w:r>
              <w:rPr>
                <w:b w:val="0"/>
                <w:sz w:val="17"/>
              </w:rPr>
              <w:t>OVOS-EnMS repository: enms-ovos-skill/bridge/ovos_rest_bridge.py</w:t>
            </w:r>
          </w:p>
        </w:tc>
      </w:tr>
    </w:tbl>
    <w:p/>
    <w:p>
      <w:r>
        <w:t>The interface list supports access planning. Public deployments should prefer controlled gateway routes and restrict direct service ports unless an operational need is approved.</w:t>
      </w:r>
    </w:p>
    <w:p>
      <w:pPr>
        <w:pStyle w:val="Heading1"/>
      </w:pPr>
      <w:r>
        <w:t>OVOS-EnMS Integration</w:t>
      </w:r>
    </w:p>
    <w:p>
      <w:r>
        <w:drawing>
          <wp:inline xmlns:a="http://schemas.openxmlformats.org/drawingml/2006/main" xmlns:pic="http://schemas.openxmlformats.org/drawingml/2006/picture">
            <wp:extent cx="6583680" cy="3950208"/>
            <wp:docPr id="3" name="Picture 3"/>
            <wp:cNvGraphicFramePr>
              <a:graphicFrameLocks noChangeAspect="1"/>
            </wp:cNvGraphicFramePr>
            <a:graphic>
              <a:graphicData uri="http://schemas.openxmlformats.org/drawingml/2006/picture">
                <pic:pic>
                  <pic:nvPicPr>
                    <pic:cNvPr id="0" name="ovos-query-lifecycle.png"/>
                    <pic:cNvPicPr/>
                  </pic:nvPicPr>
                  <pic:blipFill>
                    <a:blip r:embed="rId11"/>
                    <a:stretch>
                      <a:fillRect/>
                    </a:stretch>
                  </pic:blipFill>
                  <pic:spPr>
                    <a:xfrm>
                      <a:off x="0" y="0"/>
                      <a:ext cx="6583680" cy="3950208"/>
                    </a:xfrm>
                    <a:prstGeom prst="rect"/>
                  </pic:spPr>
                </pic:pic>
              </a:graphicData>
            </a:graphic>
          </wp:inline>
        </w:drawing>
      </w:r>
    </w:p>
    <w:p>
      <w:pPr>
        <w:jc w:val="center"/>
      </w:pPr>
      <w:r>
        <w:rPr>
          <w:i/>
          <w:sz w:val="17"/>
        </w:rPr>
        <w:t>Figure 3. OVOS request and response lifecycle.</w:t>
      </w:r>
    </w:p>
    <w:p>
      <w:r>
        <w:t>The OVOS bridge receives text queries through /query or /query/voice. It emits recognizer_loop:utterance to the OVOS messagebus and listens for speak and enms.skill.response events. The skill handles intent routing, context, validation, backend API calls, and deterministic response formatting.</w:t>
      </w:r>
    </w:p>
    <w:p>
      <w:r>
        <w:t>HumanEnerDIA also exposes /api/v1/ovos/voice/query and /api/v1/ovos/voice/health as a proxy route from the analytics service to the OVOS bridge. This supports portal-side integration without making the portal responsible for OVOS messagebus details.</w:t>
      </w:r>
    </w:p>
    <w:p>
      <w:pPr>
        <w:pStyle w:val="Heading1"/>
      </w:pPr>
      <w:r>
        <w:t>Deployment Variants And Boundaries</w:t>
      </w:r>
    </w:p>
    <w:p>
      <w:r>
        <w:t>The GitHub production tree supports a HumanEnerDIA base deployment. OVOS-EnMS should be described as a companion runtime sourced from its own repository unless and until a production Compose overlay is tracked in the HumanEnerDIA production repository.</w:t>
      </w:r>
    </w:p>
    <w:p>
      <w:r>
        <w:t>The deployment variants table separates evaluation, base production, companion OVOS, and hardened production responsibilities.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Variant</w:t>
            </w:r>
          </w:p>
        </w:tc>
        <w:tc>
          <w:tcPr>
            <w:tcW w:type="dxa" w:w="3552"/>
            <w:vAlign w:val="top"/>
            <w:shd w:fill="D9EAF7"/>
          </w:tcPr>
          <w:p>
            <w:r/>
            <w:r>
              <w:rPr>
                <w:b/>
                <w:sz w:val="17"/>
              </w:rPr>
              <w:t>Source</w:t>
            </w:r>
          </w:p>
        </w:tc>
        <w:tc>
          <w:tcPr>
            <w:tcW w:type="dxa" w:w="3552"/>
            <w:vAlign w:val="top"/>
            <w:shd w:fill="D9EAF7"/>
          </w:tcPr>
          <w:p>
            <w:r/>
            <w:r>
              <w:rPr>
                <w:b/>
                <w:sz w:val="17"/>
              </w:rPr>
              <w:t>Boundary statement</w:t>
            </w:r>
          </w:p>
        </w:tc>
      </w:tr>
      <w:tr>
        <w:trPr>
          <w:cantSplit/>
        </w:trPr>
        <w:tc>
          <w:tcPr>
            <w:tcW w:type="dxa" w:w="3552"/>
            <w:vAlign w:val="top"/>
          </w:tcPr>
          <w:p>
            <w:r/>
            <w:r>
              <w:rPr>
                <w:b w:val="0"/>
                <w:sz w:val="17"/>
              </w:rPr>
              <w:t>Base production Compose</w:t>
            </w:r>
          </w:p>
        </w:tc>
        <w:tc>
          <w:tcPr>
            <w:tcW w:type="dxa" w:w="3552"/>
            <w:vAlign w:val="top"/>
          </w:tcPr>
          <w:p>
            <w:r/>
            <w:r>
              <w:rPr>
                <w:b w:val="0"/>
                <w:sz w:val="17"/>
              </w:rPr>
              <w:t>docker-compose.yml in GitHub production</w:t>
            </w:r>
          </w:p>
        </w:tc>
        <w:tc>
          <w:tcPr>
            <w:tcW w:type="dxa" w:w="3552"/>
            <w:vAlign w:val="top"/>
          </w:tcPr>
          <w:p>
            <w:r/>
            <w:r>
              <w:rPr>
                <w:b w:val="0"/>
                <w:sz w:val="17"/>
              </w:rPr>
              <w:t>HumanEnerDIA services only. No OVOS service appears in the current production service list.</w:t>
            </w:r>
          </w:p>
        </w:tc>
      </w:tr>
      <w:tr>
        <w:trPr>
          <w:cantSplit/>
        </w:trPr>
        <w:tc>
          <w:tcPr>
            <w:tcW w:type="dxa" w:w="3552"/>
            <w:vAlign w:val="top"/>
          </w:tcPr>
          <w:p>
            <w:r/>
            <w:r>
              <w:rPr>
                <w:b w:val="0"/>
                <w:sz w:val="17"/>
              </w:rPr>
              <w:t>Separate OVOS-EnMS runtime</w:t>
            </w:r>
          </w:p>
        </w:tc>
        <w:tc>
          <w:tcPr>
            <w:tcW w:type="dxa" w:w="3552"/>
            <w:vAlign w:val="top"/>
          </w:tcPr>
          <w:p>
            <w:r/>
            <w:r>
              <w:rPr>
                <w:b w:val="0"/>
                <w:sz w:val="17"/>
              </w:rPr>
              <w:t>OVOS-EnMS repository docker-compose.yml</w:t>
            </w:r>
          </w:p>
        </w:tc>
        <w:tc>
          <w:tcPr>
            <w:tcW w:type="dxa" w:w="3552"/>
            <w:vAlign w:val="top"/>
          </w:tcPr>
          <w:p>
            <w:r/>
            <w:r>
              <w:rPr>
                <w:b w:val="0"/>
                <w:sz w:val="17"/>
              </w:rPr>
              <w:t>Companion assistant runtime exposing bridge/messagebus ports and connecting to a HumanEnerDIA-compatible API.</w:t>
            </w:r>
          </w:p>
        </w:tc>
      </w:tr>
      <w:tr>
        <w:trPr>
          <w:cantSplit/>
        </w:trPr>
        <w:tc>
          <w:tcPr>
            <w:tcW w:type="dxa" w:w="3552"/>
            <w:vAlign w:val="top"/>
          </w:tcPr>
          <w:p>
            <w:pPr>
              <w:keepNext/>
            </w:pPr>
            <w:r/>
            <w:r>
              <w:rPr>
                <w:b w:val="0"/>
                <w:sz w:val="17"/>
              </w:rPr>
              <w:t>Evaluation/demo deployment</w:t>
            </w:r>
          </w:p>
        </w:tc>
        <w:tc>
          <w:tcPr>
            <w:tcW w:type="dxa" w:w="3552"/>
            <w:vAlign w:val="top"/>
          </w:tcPr>
          <w:p>
            <w:pPr>
              <w:keepNext/>
            </w:pPr>
            <w:r/>
            <w:r>
              <w:rPr>
                <w:b w:val="0"/>
                <w:sz w:val="17"/>
              </w:rPr>
              <w:t>setup.sh with generated first-run secrets and simulator auto-start</w:t>
            </w:r>
          </w:p>
        </w:tc>
        <w:tc>
          <w:tcPr>
            <w:tcW w:type="dxa" w:w="3552"/>
            <w:vAlign w:val="top"/>
          </w:tcPr>
          <w:p>
            <w:pPr>
              <w:keepNext/>
            </w:pPr>
            <w:r/>
            <w:r>
              <w:rPr>
                <w:b w:val="0"/>
                <w:sz w:val="17"/>
              </w:rPr>
              <w:t>Suitable for review and demonstration after health checks pass; production hardening remains a separate deployment responsibility.</w:t>
            </w:r>
          </w:p>
        </w:tc>
      </w:tr>
      <w:tr>
        <w:trPr>
          <w:cantSplit/>
        </w:trPr>
        <w:tc>
          <w:tcPr>
            <w:tcW w:type="dxa" w:w="3552"/>
            <w:vAlign w:val="top"/>
          </w:tcPr>
          <w:p>
            <w:r/>
            <w:r>
              <w:rPr>
                <w:b w:val="0"/>
                <w:sz w:val="17"/>
              </w:rPr>
              <w:t>Production-hardened deployment</w:t>
            </w:r>
          </w:p>
        </w:tc>
        <w:tc>
          <w:tcPr>
            <w:tcW w:type="dxa" w:w="3552"/>
            <w:vAlign w:val="top"/>
          </w:tcPr>
          <w:p>
            <w:r/>
            <w:r>
              <w:rPr>
                <w:b w:val="0"/>
                <w:sz w:val="17"/>
              </w:rPr>
              <w:t>Operator-controlled DNS/TLS/firewall/backups/monitoring</w:t>
            </w:r>
          </w:p>
        </w:tc>
        <w:tc>
          <w:tcPr>
            <w:tcW w:type="dxa" w:w="3552"/>
            <w:vAlign w:val="top"/>
          </w:tcPr>
          <w:p>
            <w:r/>
            <w:r>
              <w:rPr>
                <w:b w:val="0"/>
                <w:sz w:val="17"/>
              </w:rPr>
              <w:t>Supported by configuration hooks but not automatically completed by the repository.</w:t>
            </w:r>
          </w:p>
        </w:tc>
      </w:tr>
    </w:tbl>
    <w:p/>
    <w:p>
      <w:r>
        <w:t>These variants allow WASABI stakeholders and operators to choose the correct package without assuming that OVOS is always bundled into the EnMS runtime.</w:t>
      </w:r>
    </w:p>
    <w:p>
      <w:pPr>
        <w:pStyle w:val="Heading1"/>
      </w:pPr>
      <w:r>
        <w:t>Security And Network Boundaries</w:t>
      </w:r>
    </w:p>
    <w:p>
      <w:r>
        <w:t>The repository supports several operational controls, but public production hardening remains an operator responsibility. The setup helper creates .env from .env.example when needed and generates first-run secrets for database, Grafana, Node-RED, Redis, MQTT, JWT, and API key values.</w:t>
      </w:r>
    </w:p>
    <w:p>
      <w:r>
        <w:t>Authentication is implemented by auth-service using bcrypt password hashing, JWT sessions, email verification and password reset flows, admin allow-listing from environment variables, session tracking, and audit tables. Node-RED has admin authentication configured through environment-provided credentials.</w:t>
      </w:r>
    </w:p>
    <w:p>
      <w:pPr>
        <w:pStyle w:val="ListBullet"/>
      </w:pPr>
      <w:r>
        <w:t>Do not commit .env, generated secrets, runtime logs, database dumps, model caches, or Docker volumes.</w:t>
      </w:r>
    </w:p>
    <w:p>
      <w:pPr>
        <w:pStyle w:val="ListBullet"/>
      </w:pPr>
      <w:r>
        <w:t>Restrict direct exposure of PostgreSQL, Redis, MQTT, Grafana, Node-RED, and service debug ports in production.</w:t>
      </w:r>
    </w:p>
    <w:p>
      <w:pPr>
        <w:pStyle w:val="ListBullet"/>
      </w:pPr>
      <w:r>
        <w:t>Terminate TLS at Nginx or an upstream reverse proxy before internet-facing deployment.</w:t>
      </w:r>
    </w:p>
    <w:p>
      <w:pPr>
        <w:pStyle w:val="ListBullet"/>
      </w:pPr>
      <w:r>
        <w:t>Rotate credentials before public use, especially any generated first-run secrets.</w:t>
      </w:r>
    </w:p>
    <w:p>
      <w:pPr>
        <w:pStyle w:val="Heading1"/>
      </w:pPr>
      <w:r>
        <w:t>Operational Risks</w:t>
      </w:r>
    </w:p>
    <w:p>
      <w:r>
        <w:t>The following risks are not defects in the documentation package; they are deployment and governance points that should remain visible in stakeholder handover material.</w:t>
      </w:r>
    </w:p>
    <w:p>
      <w:r>
        <w:t>The operational risk table summarizes deployment choices that require operator governance in a production environment.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Risk area</w:t>
            </w:r>
          </w:p>
        </w:tc>
        <w:tc>
          <w:tcPr>
            <w:tcW w:type="dxa" w:w="3552"/>
            <w:vAlign w:val="top"/>
            <w:shd w:fill="D9EAF7"/>
          </w:tcPr>
          <w:p>
            <w:r/>
            <w:r>
              <w:rPr>
                <w:b/>
                <w:sz w:val="17"/>
              </w:rPr>
              <w:t>Observed source basis</w:t>
            </w:r>
          </w:p>
        </w:tc>
        <w:tc>
          <w:tcPr>
            <w:tcW w:type="dxa" w:w="3552"/>
            <w:vAlign w:val="top"/>
            <w:shd w:fill="D9EAF7"/>
          </w:tcPr>
          <w:p>
            <w:r/>
            <w:r>
              <w:rPr>
                <w:b/>
                <w:sz w:val="17"/>
              </w:rPr>
              <w:t>Operational action</w:t>
            </w:r>
          </w:p>
        </w:tc>
      </w:tr>
      <w:tr>
        <w:trPr>
          <w:cantSplit/>
        </w:trPr>
        <w:tc>
          <w:tcPr>
            <w:tcW w:type="dxa" w:w="3552"/>
            <w:vAlign w:val="top"/>
          </w:tcPr>
          <w:p>
            <w:r/>
            <w:r>
              <w:rPr>
                <w:b w:val="0"/>
                <w:sz w:val="17"/>
              </w:rPr>
              <w:t>Directly mapped internal ports</w:t>
            </w:r>
          </w:p>
        </w:tc>
        <w:tc>
          <w:tcPr>
            <w:tcW w:type="dxa" w:w="3552"/>
            <w:vAlign w:val="top"/>
          </w:tcPr>
          <w:p>
            <w:r/>
            <w:r>
              <w:rPr>
                <w:b w:val="0"/>
                <w:sz w:val="17"/>
              </w:rPr>
              <w:t>PostgreSQL, MQTT, Redis, Grafana, Node-RED, analytics, auth, Rasa, chatbot, simulator ports are mapped for access/operations.</w:t>
            </w:r>
          </w:p>
        </w:tc>
        <w:tc>
          <w:tcPr>
            <w:tcW w:type="dxa" w:w="3552"/>
            <w:vAlign w:val="top"/>
          </w:tcPr>
          <w:p>
            <w:r/>
            <w:r>
              <w:rPr>
                <w:b w:val="0"/>
                <w:sz w:val="17"/>
              </w:rPr>
              <w:t>Restrict with firewall or upstream network policy before public exposure.</w:t>
            </w:r>
          </w:p>
        </w:tc>
      </w:tr>
      <w:tr>
        <w:trPr>
          <w:cantSplit/>
        </w:trPr>
        <w:tc>
          <w:tcPr>
            <w:tcW w:type="dxa" w:w="3552"/>
            <w:vAlign w:val="top"/>
          </w:tcPr>
          <w:p>
            <w:r/>
            <w:r>
              <w:rPr>
                <w:b w:val="0"/>
                <w:sz w:val="17"/>
              </w:rPr>
              <w:t>Runtime data persistence</w:t>
            </w:r>
          </w:p>
        </w:tc>
        <w:tc>
          <w:tcPr>
            <w:tcW w:type="dxa" w:w="3552"/>
            <w:vAlign w:val="top"/>
          </w:tcPr>
          <w:p>
            <w:r/>
            <w:r>
              <w:rPr>
                <w:b w:val="0"/>
                <w:sz w:val="17"/>
              </w:rPr>
              <w:t>Named Docker volumes retain database, Grafana, MQTT, Redis, and Node-RED data.</w:t>
            </w:r>
          </w:p>
        </w:tc>
        <w:tc>
          <w:tcPr>
            <w:tcW w:type="dxa" w:w="3552"/>
            <w:vAlign w:val="top"/>
          </w:tcPr>
          <w:p>
            <w:r/>
            <w:r>
              <w:rPr>
                <w:b w:val="0"/>
                <w:sz w:val="17"/>
              </w:rPr>
              <w:t>Back up before destructive redeployments or volume removal.</w:t>
            </w:r>
          </w:p>
        </w:tc>
      </w:tr>
      <w:tr>
        <w:trPr>
          <w:cantSplit/>
        </w:trPr>
        <w:tc>
          <w:tcPr>
            <w:tcW w:type="dxa" w:w="3552"/>
            <w:vAlign w:val="top"/>
          </w:tcPr>
          <w:p>
            <w:r/>
            <w:r>
              <w:rPr>
                <w:b w:val="0"/>
                <w:sz w:val="17"/>
              </w:rPr>
              <w:t>Credentials</w:t>
            </w:r>
          </w:p>
        </w:tc>
        <w:tc>
          <w:tcPr>
            <w:tcW w:type="dxa" w:w="3552"/>
            <w:vAlign w:val="top"/>
          </w:tcPr>
          <w:p>
            <w:r/>
            <w:r>
              <w:rPr>
                <w:b w:val="0"/>
                <w:sz w:val="17"/>
              </w:rPr>
              <w:t>.env is generated locally and ignored; .env.example contains placeholders.</w:t>
            </w:r>
          </w:p>
        </w:tc>
        <w:tc>
          <w:tcPr>
            <w:tcW w:type="dxa" w:w="3552"/>
            <w:vAlign w:val="top"/>
          </w:tcPr>
          <w:p>
            <w:r/>
            <w:r>
              <w:rPr>
                <w:b w:val="0"/>
                <w:sz w:val="17"/>
              </w:rPr>
              <w:t>Rotate generated credentials and never disclose .env values.</w:t>
            </w:r>
          </w:p>
        </w:tc>
      </w:tr>
      <w:tr>
        <w:trPr>
          <w:cantSplit/>
        </w:trPr>
        <w:tc>
          <w:tcPr>
            <w:tcW w:type="dxa" w:w="3552"/>
            <w:vAlign w:val="top"/>
          </w:tcPr>
          <w:p>
            <w:pPr>
              <w:keepNext/>
            </w:pPr>
            <w:r/>
            <w:r>
              <w:rPr>
                <w:b w:val="0"/>
                <w:sz w:val="17"/>
              </w:rPr>
              <w:t>Report semantics</w:t>
            </w:r>
          </w:p>
        </w:tc>
        <w:tc>
          <w:tcPr>
            <w:tcW w:type="dxa" w:w="3552"/>
            <w:vAlign w:val="top"/>
          </w:tcPr>
          <w:p>
            <w:pPr>
              <w:keepNext/>
            </w:pPr>
            <w:r/>
            <w:r>
              <w:rPr>
                <w:b w:val="0"/>
                <w:sz w:val="17"/>
              </w:rPr>
              <w:t>Some V2 report calculations use estimates/placeholders.</w:t>
            </w:r>
          </w:p>
        </w:tc>
        <w:tc>
          <w:tcPr>
            <w:tcW w:type="dxa" w:w="3552"/>
            <w:vAlign w:val="top"/>
          </w:tcPr>
          <w:p>
            <w:pPr>
              <w:keepNext/>
            </w:pPr>
            <w:r/>
            <w:r>
              <w:rPr>
                <w:b w:val="0"/>
                <w:sz w:val="17"/>
              </w:rPr>
              <w:t>Formal audit use requires independent formula, source-data, tariff-factor, and carbon-factor validation.</w:t>
            </w:r>
          </w:p>
        </w:tc>
      </w:tr>
      <w:tr>
        <w:trPr>
          <w:cantSplit/>
        </w:trPr>
        <w:tc>
          <w:tcPr>
            <w:tcW w:type="dxa" w:w="3552"/>
            <w:vAlign w:val="top"/>
          </w:tcPr>
          <w:p>
            <w:r/>
            <w:r>
              <w:rPr>
                <w:b w:val="0"/>
                <w:sz w:val="17"/>
              </w:rPr>
              <w:t>OVOS availability</w:t>
            </w:r>
          </w:p>
        </w:tc>
        <w:tc>
          <w:tcPr>
            <w:tcW w:type="dxa" w:w="3552"/>
            <w:vAlign w:val="top"/>
          </w:tcPr>
          <w:p>
            <w:r/>
            <w:r>
              <w:rPr>
                <w:b w:val="0"/>
                <w:sz w:val="17"/>
              </w:rPr>
              <w:t>Production base Compose does not start OVOS.</w:t>
            </w:r>
          </w:p>
        </w:tc>
        <w:tc>
          <w:tcPr>
            <w:tcW w:type="dxa" w:w="3552"/>
            <w:vAlign w:val="top"/>
          </w:tcPr>
          <w:p>
            <w:r/>
            <w:r>
              <w:rPr>
                <w:b w:val="0"/>
                <w:sz w:val="17"/>
              </w:rPr>
              <w:t>Deploy and verify OVOS-EnMS separately when assistant access is in scope.</w:t>
            </w:r>
          </w:p>
        </w:tc>
      </w:tr>
    </w:tbl>
    <w:p/>
    <w:p>
      <w:r>
        <w:t>The listed risks are manageable with normal production controls: firewalling, credential rotation, backups, monitoring, and explicit assistant deployment.</w:t>
      </w:r>
    </w:p>
    <w:p>
      <w:pPr>
        <w:pStyle w:val="Heading1"/>
      </w:pPr>
      <w:r>
        <w:t>Limitations And Assumptions</w:t>
      </w:r>
    </w:p>
    <w:p>
      <w:r>
        <w:t>This section summarizes the current validation status, scope boundaries, and operational considerations for the delivered system.</w:t>
      </w:r>
    </w:p>
    <w:p>
      <w:r>
        <w:t>The limitations table defines scope boundaries that affect validation, audit use, optional assistant behavior, and production readiness.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Compose validation is confirmed where stated. Live health checks are deployment-specific and require a running target environment.</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 proportional, or placeholder values. Formal audit use requires independent validation of formulas, source data, tariff factors, carbon factors, and generated report semantics.</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r>
        <w:t>Together, these points define the verified scope of the current delivery and the operational responsibilities required before production use. They preserve a clear distinction between implemented capability, deployment configuration, and assurance activities that belong to the target operating environment.</w:t>
      </w:r>
    </w:p>
    <w:p>
      <w:pPr>
        <w:pStyle w:val="Heading1"/>
      </w:pPr>
      <w:r>
        <w:t>Source References</w:t>
      </w:r>
    </w:p>
    <w:p>
      <w:r>
        <w:t>The table below lists the main source material used for this document. It is not a full file inventory; it identifies the sources behind the material claims.</w:t>
      </w:r>
    </w:p>
    <w:p>
      <w:r>
        <w:t>The source reference table links the document's major claims to the tracked files or validation evidence used to support them.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Runtime topology</w:t>
            </w:r>
          </w:p>
        </w:tc>
        <w:tc>
          <w:tcPr>
            <w:tcW w:type="dxa" w:w="5328"/>
            <w:vAlign w:val="top"/>
          </w:tcPr>
          <w:p>
            <w:r/>
            <w:r>
              <w:rPr>
                <w:b w:val="0"/>
                <w:sz w:val="17"/>
              </w:rPr>
              <w:t>docker-compose.yml</w:t>
            </w:r>
          </w:p>
        </w:tc>
      </w:tr>
      <w:tr>
        <w:trPr>
          <w:cantSplit/>
        </w:trPr>
        <w:tc>
          <w:tcPr>
            <w:tcW w:type="dxa" w:w="5328"/>
            <w:vAlign w:val="top"/>
          </w:tcPr>
          <w:p>
            <w:r/>
            <w:r>
              <w:rPr>
                <w:b w:val="0"/>
                <w:sz w:val="17"/>
              </w:rPr>
              <w:t>OVOS deployment boundary</w:t>
            </w:r>
          </w:p>
        </w:tc>
        <w:tc>
          <w:tcPr>
            <w:tcW w:type="dxa" w:w="5328"/>
            <w:vAlign w:val="top"/>
          </w:tcPr>
          <w:p>
            <w:r/>
            <w:r>
              <w:rPr>
                <w:b w:val="0"/>
                <w:sz w:val="17"/>
              </w:rPr>
              <w:t>OVOS-EnMS repository: docker-compose.yml; Dockerfile; enms-ovos-skill/config.yaml.template; enms-ovos-skill/settings.docker.json; enms-ovos-skill/settingsmeta.yaml</w:t>
            </w:r>
          </w:p>
        </w:tc>
      </w:tr>
      <w:tr>
        <w:trPr>
          <w:cantSplit/>
        </w:trPr>
        <w:tc>
          <w:tcPr>
            <w:tcW w:type="dxa" w:w="5328"/>
            <w:vAlign w:val="top"/>
          </w:tcPr>
          <w:p>
            <w:r/>
            <w:r>
              <w:rPr>
                <w:b w:val="0"/>
                <w:sz w:val="17"/>
              </w:rPr>
              <w:t>Routing</w:t>
            </w:r>
          </w:p>
        </w:tc>
        <w:tc>
          <w:tcPr>
            <w:tcW w:type="dxa" w:w="5328"/>
            <w:vAlign w:val="top"/>
          </w:tcPr>
          <w:p>
            <w:r/>
            <w:r>
              <w:rPr>
                <w:b w:val="0"/>
                <w:sz w:val="17"/>
              </w:rPr>
              <w:t>nginx/nginx.conf; nginx/conf.d/default.conf</w:t>
            </w:r>
          </w:p>
        </w:tc>
      </w:tr>
      <w:tr>
        <w:trPr>
          <w:cantSplit/>
        </w:trPr>
        <w:tc>
          <w:tcPr>
            <w:tcW w:type="dxa" w:w="5328"/>
            <w:vAlign w:val="top"/>
          </w:tcPr>
          <w:p>
            <w:r/>
            <w:r>
              <w:rPr>
                <w:b w:val="0"/>
                <w:sz w:val="17"/>
              </w:rPr>
              <w:t>Database and KPIs</w:t>
            </w:r>
          </w:p>
        </w:tc>
        <w:tc>
          <w:tcPr>
            <w:tcW w:type="dxa" w:w="5328"/>
            <w:vAlign w:val="top"/>
          </w:tcPr>
          <w:p>
            <w:r/>
            <w:r>
              <w:rPr>
                <w:b w:val="0"/>
                <w:sz w:val="17"/>
              </w:rPr>
              <w:t>database/init/02-schema.sql; database/init/03-timescaledb-setup.sql; database/init/04-functions.sql</w:t>
            </w:r>
          </w:p>
        </w:tc>
      </w:tr>
      <w:tr>
        <w:trPr>
          <w:cantSplit/>
        </w:trPr>
        <w:tc>
          <w:tcPr>
            <w:tcW w:type="dxa" w:w="5328"/>
            <w:vAlign w:val="top"/>
          </w:tcPr>
          <w:p>
            <w:r/>
            <w:r>
              <w:rPr>
                <w:b w:val="0"/>
                <w:sz w:val="17"/>
              </w:rPr>
              <w:t>Analytics API</w:t>
            </w:r>
          </w:p>
        </w:tc>
        <w:tc>
          <w:tcPr>
            <w:tcW w:type="dxa" w:w="5328"/>
            <w:vAlign w:val="top"/>
          </w:tcPr>
          <w:p>
            <w:r/>
            <w:r>
              <w:rPr>
                <w:b w:val="0"/>
                <w:sz w:val="17"/>
              </w:rPr>
              <w:t>analytics/main.py</w:t>
            </w:r>
          </w:p>
        </w:tc>
      </w:tr>
      <w:tr>
        <w:trPr>
          <w:cantSplit/>
        </w:trPr>
        <w:tc>
          <w:tcPr>
            <w:tcW w:type="dxa" w:w="5328"/>
            <w:vAlign w:val="top"/>
          </w:tcPr>
          <w:p>
            <w:pPr>
              <w:keepNext/>
            </w:pPr>
            <w:r/>
            <w:r>
              <w:rPr>
                <w:b w:val="0"/>
                <w:sz w:val="17"/>
              </w:rPr>
              <w:t>OVOS bridge and skill</w:t>
            </w:r>
          </w:p>
        </w:tc>
        <w:tc>
          <w:tcPr>
            <w:tcW w:type="dxa" w:w="5328"/>
            <w:vAlign w:val="top"/>
          </w:tcPr>
          <w:p>
            <w:pPr>
              <w:keepNext/>
            </w:pPr>
            <w:r/>
            <w:r>
              <w:rPr>
                <w:b w:val="0"/>
                <w:sz w:val="17"/>
              </w:rPr>
              <w:t>OVOS-EnMS repository: enms-ovos-skill/bridge/ovos_rest_bridge.py; OVOS-EnMS repository: enms-ovos-skill/enms_ovos_skill/__init__.py</w:t>
            </w:r>
          </w:p>
        </w:tc>
      </w:tr>
      <w:tr>
        <w:trPr>
          <w:cantSplit/>
        </w:trPr>
        <w:tc>
          <w:tcPr>
            <w:tcW w:type="dxa" w:w="5328"/>
            <w:vAlign w:val="top"/>
          </w:tcPr>
          <w:p>
            <w:r/>
            <w:r>
              <w:rPr>
                <w:b w:val="0"/>
                <w:sz w:val="17"/>
              </w:rPr>
              <w:t>Compose validation</w:t>
            </w:r>
          </w:p>
        </w:tc>
        <w:tc>
          <w:tcPr>
            <w:tcW w:type="dxa" w:w="5328"/>
            <w:vAlign w:val="top"/>
          </w:tcPr>
          <w:p>
            <w:r/>
            <w:r>
              <w:rPr>
                <w:b w:val="0"/>
                <w:sz w:val="17"/>
              </w:rPr>
              <w:t>docker compose config --quiet returned success for the HumanEnerDIA production tree and the OVOS-EnMS repository compose file</w:t>
            </w:r>
          </w:p>
        </w:tc>
      </w:tr>
    </w:tbl>
    <w:p/>
    <w:p>
      <w:r>
        <w:t>These references provide traceability for technical claims. They are intended to support maintenance and verification without exposing secrets or local runtime state.</w:t>
      </w:r>
    </w:p>
    <w:sectPr w:rsidR="00FC693F" w:rsidRPr="0006063C" w:rsidSect="00034616">
      <w:footerReference w:type="default" r:id="rId12"/>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System Architecture Report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