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Energy Management System Reports and KPI Reports</w:t>
      </w:r>
    </w:p>
    <w:p/>
    <w:tbl>
      <w:tblPr>
        <w:tblStyle w:val="TableGrid"/>
        <w:tblW w:type="auto" w:w="0"/>
        <w:jc w:val="center"/>
        <w:tblLook w:firstColumn="1" w:firstRow="1" w:lastColumn="0" w:lastRow="0" w:noHBand="0" w:noVBand="1" w:val="04A0"/>
      </w:tblPr>
      <w:tblGrid>
        <w:gridCol w:w="5184"/>
        <w:gridCol w:w="5184"/>
      </w:tblGrid>
      <w:tr>
        <w:tc>
          <w:tcPr>
            <w:tcW w:type="dxa" w:w="5184"/>
            <w:vAlign w:val="top"/>
            <w:shd w:fill="E2E8F0"/>
          </w:tcPr>
          <w:p>
            <w:r/>
            <w:r>
              <w:rPr>
                <w:b/>
                <w:sz w:val="17"/>
              </w:rPr>
              <w:t>Version</w:t>
            </w:r>
          </w:p>
        </w:tc>
        <w:tc>
          <w:tcPr>
            <w:tcW w:type="dxa" w:w="5184"/>
            <w:vAlign w:val="top"/>
          </w:tcPr>
          <w:p>
            <w:r/>
            <w:r>
              <w:rPr>
                <w:b w:val="0"/>
                <w:sz w:val="17"/>
              </w:rPr>
              <w:t>1.0</w:t>
            </w:r>
          </w:p>
        </w:tc>
      </w:tr>
      <w:tr>
        <w:tc>
          <w:tcPr>
            <w:tcW w:type="dxa" w:w="5184"/>
            <w:vAlign w:val="top"/>
            <w:shd w:fill="E2E8F0"/>
          </w:tcPr>
          <w:p>
            <w:r/>
            <w:r>
              <w:rPr>
                <w:b/>
                <w:sz w:val="17"/>
              </w:rPr>
              <w:t>Date</w:t>
            </w:r>
          </w:p>
        </w:tc>
        <w:tc>
          <w:tcPr>
            <w:tcW w:type="dxa" w:w="5184"/>
            <w:vAlign w:val="top"/>
          </w:tcPr>
          <w:p>
            <w:r/>
            <w:r>
              <w:rPr>
                <w:b w:val="0"/>
                <w:sz w:val="17"/>
              </w:rPr>
              <w:t>2026-06-08</w:t>
            </w:r>
          </w:p>
        </w:tc>
      </w:tr>
      <w:tr>
        <w:tc>
          <w:tcPr>
            <w:tcW w:type="dxa" w:w="5184"/>
            <w:vAlign w:val="top"/>
            <w:shd w:fill="E2E8F0"/>
          </w:tcPr>
          <w:p>
            <w:r/>
            <w:r>
              <w:rPr>
                <w:b/>
                <w:sz w:val="17"/>
              </w:rPr>
              <w:t>Status</w:t>
            </w:r>
          </w:p>
        </w:tc>
        <w:tc>
          <w:tcPr>
            <w:tcW w:type="dxa" w:w="5184"/>
            <w:vAlign w:val="top"/>
          </w:tcPr>
          <w:p>
            <w:r/>
            <w:r>
              <w:rPr>
                <w:b w:val="0"/>
                <w:sz w:val="17"/>
              </w:rPr>
              <w:t>Final delivery documentation package</w:t>
            </w:r>
          </w:p>
        </w:tc>
      </w:tr>
      <w:tr>
        <w:tc>
          <w:tcPr>
            <w:tcW w:type="dxa" w:w="5184"/>
            <w:vAlign w:val="top"/>
            <w:shd w:fill="E2E8F0"/>
          </w:tcPr>
          <w:p>
            <w:r/>
            <w:r>
              <w:rPr>
                <w:b/>
                <w:sz w:val="17"/>
              </w:rPr>
              <w:t>Purpose</w:t>
            </w:r>
          </w:p>
        </w:tc>
        <w:tc>
          <w:tcPr>
            <w:tcW w:type="dxa" w:w="5184"/>
            <w:vAlign w:val="top"/>
          </w:tcPr>
          <w:p>
            <w:r/>
            <w:r>
              <w:rPr>
                <w:b w:val="0"/>
                <w:sz w:val="17"/>
              </w:rPr>
              <w:t>Document implemented energy data, KPI, dashboard, and report capabilities with formulas and evidence.</w:t>
            </w:r>
          </w:p>
        </w:tc>
      </w:tr>
      <w:tr>
        <w:tc>
          <w:tcPr>
            <w:tcW w:type="dxa" w:w="5184"/>
            <w:vAlign w:val="top"/>
            <w:shd w:fill="E2E8F0"/>
          </w:tcPr>
          <w:p>
            <w:r/>
            <w:r>
              <w:rPr>
                <w:b/>
                <w:sz w:val="17"/>
              </w:rPr>
              <w:t>Intended audience</w:t>
            </w:r>
          </w:p>
        </w:tc>
        <w:tc>
          <w:tcPr>
            <w:tcW w:type="dxa" w:w="5184"/>
            <w:vAlign w:val="top"/>
          </w:tcPr>
          <w:p>
            <w:r/>
            <w:r>
              <w:rPr>
                <w:b w:val="0"/>
                <w:sz w:val="17"/>
              </w:rPr>
              <w:t>Energy managers, project reviewers, operators, analytics maintainers, and external partners.</w:t>
            </w:r>
          </w:p>
        </w:tc>
      </w:tr>
    </w:tbl>
    <w:p/>
    <w:p>
      <w:pPr>
        <w:jc w:val="center"/>
      </w:pPr>
      <w:r>
        <w:rPr>
          <w:b/>
        </w:rPr>
        <w:t xml:space="preserve">Evidence rule: </w:t>
      </w:r>
      <w:r>
        <w:t>KPI formulas are included only where defined in SQL functions, code, dashboard queries, or existing local documentation.</w:t>
      </w:r>
    </w:p>
    <w:p>
      <w:r>
        <w:br w:type="page"/>
      </w:r>
    </w:p>
    <w:p>
      <w:pPr>
        <w:pStyle w:val="Heading1"/>
      </w:pPr>
      <w:r>
        <w:t>Table of Contents</w:t>
      </w:r>
    </w:p>
    <w:p>
      <w:r>
        <w:t>1. Energy Data Model</w:t>
      </w:r>
    </w:p>
    <w:p>
      <w:r>
        <w:t>2. KPI Formula Evidence</w:t>
      </w:r>
    </w:p>
    <w:p>
      <w:r>
        <w:t>3. Analytics Endpoints And Modules</w:t>
      </w:r>
    </w:p>
    <w:p>
      <w:r>
        <w:t>4. Grafana Dashboard Capabilities</w:t>
      </w:r>
    </w:p>
    <w:p>
      <w:r>
        <w:t>5. Node-RED Ingestion Pipeline</w:t>
      </w:r>
    </w:p>
    <w:p>
      <w:r>
        <w:t>6. Report Generation Capabilities</w:t>
      </w:r>
    </w:p>
    <w:p>
      <w:r>
        <w:t>7. Implemented, Configured, Partial, And Demo Data Distinctions</w:t>
      </w:r>
    </w:p>
    <w:p>
      <w:r>
        <w:t>8. Limitations And Assumptions</w:t>
      </w:r>
    </w:p>
    <w:p>
      <w:r>
        <w:t>9. Evidence References</w:t>
      </w:r>
    </w:p>
    <w:p>
      <w:r>
        <w:br w:type="page"/>
      </w:r>
    </w:p>
    <w:p>
      <w:pPr>
        <w:pStyle w:val="Heading1"/>
      </w:pPr>
      <w:r>
        <w:t>Energy Data Model</w:t>
      </w:r>
    </w:p>
    <w:p>
      <w:r>
        <w:drawing>
          <wp:inline xmlns:a="http://schemas.openxmlformats.org/drawingml/2006/main" xmlns:pic="http://schemas.openxmlformats.org/drawingml/2006/picture">
            <wp:extent cx="6126480" cy="3675888"/>
            <wp:docPr id="1" name="Picture 1"/>
            <wp:cNvGraphicFramePr>
              <a:graphicFrameLocks noChangeAspect="1"/>
            </wp:cNvGraphicFramePr>
            <a:graphic>
              <a:graphicData uri="http://schemas.openxmlformats.org/drawingml/2006/picture">
                <pic:pic>
                  <pic:nvPicPr>
                    <pic:cNvPr id="0" name="telemetry-data-flow.png"/>
                    <pic:cNvPicPr/>
                  </pic:nvPicPr>
                  <pic:blipFill>
                    <a:blip r:embed="rId9"/>
                    <a:stretch>
                      <a:fillRect/>
                    </a:stretch>
                  </pic:blipFill>
                  <pic:spPr>
                    <a:xfrm>
                      <a:off x="0" y="0"/>
                      <a:ext cx="6126480" cy="3675888"/>
                    </a:xfrm>
                    <a:prstGeom prst="rect"/>
                  </pic:spPr>
                </pic:pic>
              </a:graphicData>
            </a:graphic>
          </wp:inline>
        </w:drawing>
      </w:r>
    </w:p>
    <w:p>
      <w:pPr>
        <w:jc w:val="center"/>
      </w:pPr>
      <w:r>
        <w:rPr>
          <w:i/>
          <w:sz w:val="17"/>
        </w:rPr>
        <w:t>Figure 1. Data path from telemetry to KPI/report consumers.</w:t>
      </w:r>
    </w:p>
    <w:p>
      <w:r>
        <w:t>HumanEnerDIA stores factory/site records, machines/SEUs, high-frequency energy readings, production data, environmental context, machine status, baseline metadata, anomaly records, tariffs, carbon factors, audit records, ISO 50001 entities, model tracking, forecast output, and action plans.</w:t>
      </w:r>
    </w:p>
    <w:p>
      <w:r>
        <w:t>The first-start seed data defines two sample factories and eight sample machines across the demo and European facilities. The machine examples include Compressor-1, HVAC-Main, Conveyor-A, Hydraulic-Pump-1, Injection-Molding-1, Boiler-1, Compressor-EU-1, and HVAC-EU-North.</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Concept</w:t>
            </w:r>
          </w:p>
        </w:tc>
        <w:tc>
          <w:tcPr>
            <w:tcW w:type="dxa" w:w="3456"/>
            <w:vAlign w:val="top"/>
            <w:shd w:fill="D9EAF7"/>
          </w:tcPr>
          <w:p>
            <w:r/>
            <w:r>
              <w:rPr>
                <w:b/>
                <w:sz w:val="17"/>
              </w:rPr>
              <w:t>Implemented representation</w:t>
            </w:r>
          </w:p>
        </w:tc>
        <w:tc>
          <w:tcPr>
            <w:tcW w:type="dxa" w:w="3456"/>
            <w:vAlign w:val="top"/>
            <w:shd w:fill="D9EAF7"/>
          </w:tcPr>
          <w:p>
            <w:r/>
            <w:r>
              <w:rPr>
                <w:b/>
                <w:sz w:val="17"/>
              </w:rPr>
              <w:t>Evidence</w:t>
            </w:r>
          </w:p>
        </w:tc>
      </w:tr>
      <w:tr>
        <w:tc>
          <w:tcPr>
            <w:tcW w:type="dxa" w:w="3456"/>
            <w:vAlign w:val="top"/>
          </w:tcPr>
          <w:p>
            <w:r/>
            <w:r>
              <w:rPr>
                <w:b w:val="0"/>
                <w:sz w:val="17"/>
              </w:rPr>
              <w:t>Factories</w:t>
            </w:r>
          </w:p>
        </w:tc>
        <w:tc>
          <w:tcPr>
            <w:tcW w:type="dxa" w:w="3456"/>
            <w:vAlign w:val="top"/>
          </w:tcPr>
          <w:p>
            <w:r/>
            <w:r>
              <w:rPr>
                <w:b w:val="0"/>
                <w:sz w:val="17"/>
              </w:rPr>
              <w:t>factories table and seed data for Demo Manufacturing Plant and European Production Facility</w:t>
            </w:r>
          </w:p>
        </w:tc>
        <w:tc>
          <w:tcPr>
            <w:tcW w:type="dxa" w:w="3456"/>
            <w:vAlign w:val="top"/>
          </w:tcPr>
          <w:p>
            <w:r/>
            <w:r>
              <w:rPr>
                <w:b w:val="0"/>
                <w:sz w:val="17"/>
              </w:rPr>
              <w:t>database/init/02-schema.sql; 06-seed-data.sql</w:t>
            </w:r>
          </w:p>
        </w:tc>
      </w:tr>
      <w:tr>
        <w:tc>
          <w:tcPr>
            <w:tcW w:type="dxa" w:w="3456"/>
            <w:vAlign w:val="top"/>
          </w:tcPr>
          <w:p>
            <w:r/>
            <w:r>
              <w:rPr>
                <w:b w:val="0"/>
                <w:sz w:val="17"/>
              </w:rPr>
              <w:t>Machines/SEUs</w:t>
            </w:r>
          </w:p>
        </w:tc>
        <w:tc>
          <w:tcPr>
            <w:tcW w:type="dxa" w:w="3456"/>
            <w:vAlign w:val="top"/>
          </w:tcPr>
          <w:p>
            <w:r/>
            <w:r>
              <w:rPr>
                <w:b w:val="0"/>
                <w:sz w:val="17"/>
              </w:rPr>
              <w:t>machines table plus ISO-oriented seus and SEU performance tables</w:t>
            </w:r>
          </w:p>
        </w:tc>
        <w:tc>
          <w:tcPr>
            <w:tcW w:type="dxa" w:w="3456"/>
            <w:vAlign w:val="top"/>
          </w:tcPr>
          <w:p>
            <w:r/>
            <w:r>
              <w:rPr>
                <w:b w:val="0"/>
                <w:sz w:val="17"/>
              </w:rPr>
              <w:t>database/init/02-schema.sql; 07-iso50001-schema.sql</w:t>
            </w:r>
          </w:p>
        </w:tc>
      </w:tr>
      <w:tr>
        <w:tc>
          <w:tcPr>
            <w:tcW w:type="dxa" w:w="3456"/>
            <w:vAlign w:val="top"/>
          </w:tcPr>
          <w:p>
            <w:r/>
            <w:r>
              <w:rPr>
                <w:b w:val="0"/>
                <w:sz w:val="17"/>
              </w:rPr>
              <w:t>Energy readings</w:t>
            </w:r>
          </w:p>
        </w:tc>
        <w:tc>
          <w:tcPr>
            <w:tcW w:type="dxa" w:w="3456"/>
            <w:vAlign w:val="top"/>
          </w:tcPr>
          <w:p>
            <w:r/>
            <w:r>
              <w:rPr>
                <w:b w:val="0"/>
                <w:sz w:val="17"/>
              </w:rPr>
              <w:t>energy_readings hypertable with energy_type, power, energy, electrical quality fields, metadata</w:t>
            </w:r>
          </w:p>
        </w:tc>
        <w:tc>
          <w:tcPr>
            <w:tcW w:type="dxa" w:w="3456"/>
            <w:vAlign w:val="top"/>
          </w:tcPr>
          <w:p>
            <w:r/>
            <w:r>
              <w:rPr>
                <w:b w:val="0"/>
                <w:sz w:val="17"/>
              </w:rPr>
              <w:t>database/init/02-schema.sql; 03-timescaledb-setup.sql</w:t>
            </w:r>
          </w:p>
        </w:tc>
      </w:tr>
      <w:tr>
        <w:tc>
          <w:tcPr>
            <w:tcW w:type="dxa" w:w="3456"/>
            <w:vAlign w:val="top"/>
          </w:tcPr>
          <w:p>
            <w:r/>
            <w:r>
              <w:rPr>
                <w:b w:val="0"/>
                <w:sz w:val="17"/>
              </w:rPr>
              <w:t>Production data</w:t>
            </w:r>
          </w:p>
        </w:tc>
        <w:tc>
          <w:tcPr>
            <w:tcW w:type="dxa" w:w="3456"/>
            <w:vAlign w:val="top"/>
          </w:tcPr>
          <w:p>
            <w:r/>
            <w:r>
              <w:rPr>
                <w:b w:val="0"/>
                <w:sz w:val="17"/>
              </w:rPr>
              <w:t>production_data hypertable for production count, quality, throughput, mode, downtime</w:t>
            </w:r>
          </w:p>
        </w:tc>
        <w:tc>
          <w:tcPr>
            <w:tcW w:type="dxa" w:w="3456"/>
            <w:vAlign w:val="top"/>
          </w:tcPr>
          <w:p>
            <w:r/>
            <w:r>
              <w:rPr>
                <w:b w:val="0"/>
                <w:sz w:val="17"/>
              </w:rPr>
              <w:t>database/init/02-schema.sql</w:t>
            </w:r>
          </w:p>
        </w:tc>
      </w:tr>
      <w:tr>
        <w:tc>
          <w:tcPr>
            <w:tcW w:type="dxa" w:w="3456"/>
            <w:vAlign w:val="top"/>
          </w:tcPr>
          <w:p>
            <w:r/>
            <w:r>
              <w:rPr>
                <w:b w:val="0"/>
                <w:sz w:val="17"/>
              </w:rPr>
              <w:t>Environmental data</w:t>
            </w:r>
          </w:p>
        </w:tc>
        <w:tc>
          <w:tcPr>
            <w:tcW w:type="dxa" w:w="3456"/>
            <w:vAlign w:val="top"/>
          </w:tcPr>
          <w:p>
            <w:r/>
            <w:r>
              <w:rPr>
                <w:b w:val="0"/>
                <w:sz w:val="17"/>
              </w:rPr>
              <w:t>environmental_data hypertable for temperature, humidity, pressure, flow, HVAC, vibration context</w:t>
            </w:r>
          </w:p>
        </w:tc>
        <w:tc>
          <w:tcPr>
            <w:tcW w:type="dxa" w:w="3456"/>
            <w:vAlign w:val="top"/>
          </w:tcPr>
          <w:p>
            <w:r/>
            <w:r>
              <w:rPr>
                <w:b w:val="0"/>
                <w:sz w:val="17"/>
              </w:rPr>
              <w:t>database/init/02-schema.sql</w:t>
            </w:r>
          </w:p>
        </w:tc>
      </w:tr>
      <w:tr>
        <w:tc>
          <w:tcPr>
            <w:tcW w:type="dxa" w:w="3456"/>
            <w:vAlign w:val="top"/>
          </w:tcPr>
          <w:p>
            <w:r/>
            <w:r>
              <w:rPr>
                <w:b w:val="0"/>
                <w:sz w:val="17"/>
              </w:rPr>
              <w:t>Energy sources</w:t>
            </w:r>
          </w:p>
        </w:tc>
        <w:tc>
          <w:tcPr>
            <w:tcW w:type="dxa" w:w="3456"/>
            <w:vAlign w:val="top"/>
          </w:tcPr>
          <w:p>
            <w:r/>
            <w:r>
              <w:rPr>
                <w:b w:val="0"/>
                <w:sz w:val="17"/>
              </w:rPr>
              <w:t>energy_sources and energy_source_features support multi-energy/source-aware modeling</w:t>
            </w:r>
          </w:p>
        </w:tc>
        <w:tc>
          <w:tcPr>
            <w:tcW w:type="dxa" w:w="3456"/>
            <w:vAlign w:val="top"/>
          </w:tcPr>
          <w:p>
            <w:r/>
            <w:r>
              <w:rPr>
                <w:b w:val="0"/>
                <w:sz w:val="17"/>
              </w:rPr>
              <w:t>database/init/07-iso50001-schema.sql; 10a-energy-source-features.sql</w:t>
            </w:r>
          </w:p>
        </w:tc>
      </w:tr>
    </w:tbl>
    <w:p/>
    <w:p>
      <w:pPr>
        <w:pStyle w:val="Heading1"/>
      </w:pPr>
      <w:r>
        <w:t>KPI Formula Evidence</w:t>
      </w:r>
    </w:p>
    <w:p>
      <w:r>
        <w:t>The following KPI formulas are implemented as database functions and wrapped by analytics/services/kpi_service.py. Some additional API routes compute aggregate factory cost/carbon estimates with constants; those should be described as route-level estimates rather than tariff/factor driven SQL functions.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top"/>
            <w:shd w:fill="D9EAF7"/>
          </w:tcPr>
          <w:p>
            <w:r/>
            <w:r>
              <w:rPr>
                <w:b/>
                <w:sz w:val="17"/>
              </w:rPr>
              <w:t>KPI</w:t>
            </w:r>
          </w:p>
        </w:tc>
        <w:tc>
          <w:tcPr>
            <w:tcW w:type="dxa" w:w="2592"/>
            <w:vAlign w:val="top"/>
            <w:shd w:fill="D9EAF7"/>
          </w:tcPr>
          <w:p>
            <w:r/>
            <w:r>
              <w:rPr>
                <w:b/>
                <w:sz w:val="17"/>
              </w:rPr>
              <w:t>Formula or calculation</w:t>
            </w:r>
          </w:p>
        </w:tc>
        <w:tc>
          <w:tcPr>
            <w:tcW w:type="dxa" w:w="2592"/>
            <w:vAlign w:val="top"/>
            <w:shd w:fill="D9EAF7"/>
          </w:tcPr>
          <w:p>
            <w:r/>
            <w:r>
              <w:rPr>
                <w:b/>
                <w:sz w:val="17"/>
              </w:rPr>
              <w:t>Implementation</w:t>
            </w:r>
          </w:p>
        </w:tc>
        <w:tc>
          <w:tcPr>
            <w:tcW w:type="dxa" w:w="2592"/>
            <w:vAlign w:val="top"/>
            <w:shd w:fill="D9EAF7"/>
          </w:tcPr>
          <w:p>
            <w:r/>
            <w:r>
              <w:rPr>
                <w:b/>
                <w:sz w:val="17"/>
              </w:rPr>
              <w:t>Evidence</w:t>
            </w:r>
          </w:p>
        </w:tc>
      </w:tr>
      <w:tr>
        <w:tc>
          <w:tcPr>
            <w:tcW w:type="dxa" w:w="2592"/>
            <w:vAlign w:val="top"/>
          </w:tcPr>
          <w:p>
            <w:r/>
            <w:r>
              <w:rPr>
                <w:b w:val="0"/>
                <w:sz w:val="17"/>
              </w:rPr>
              <w:t>Specific Energy Consumption</w:t>
            </w:r>
          </w:p>
        </w:tc>
        <w:tc>
          <w:tcPr>
            <w:tcW w:type="dxa" w:w="2592"/>
            <w:vAlign w:val="top"/>
          </w:tcPr>
          <w:p>
            <w:r/>
            <w:r>
              <w:rPr>
                <w:b w:val="0"/>
                <w:sz w:val="17"/>
              </w:rPr>
              <w:t>SEC = total energy kWh / total production units</w:t>
            </w:r>
          </w:p>
        </w:tc>
        <w:tc>
          <w:tcPr>
            <w:tcW w:type="dxa" w:w="2592"/>
            <w:vAlign w:val="top"/>
          </w:tcPr>
          <w:p>
            <w:r/>
            <w:r>
              <w:rPr>
                <w:b w:val="0"/>
                <w:sz w:val="17"/>
              </w:rPr>
              <w:t>calculate_sec() over energy_readings_1hour and production_data_1hour</w:t>
            </w:r>
          </w:p>
        </w:tc>
        <w:tc>
          <w:tcPr>
            <w:tcW w:type="dxa" w:w="2592"/>
            <w:vAlign w:val="top"/>
          </w:tcPr>
          <w:p>
            <w:r/>
            <w:r>
              <w:rPr>
                <w:b w:val="0"/>
                <w:sz w:val="17"/>
              </w:rPr>
              <w:t>database/init/04-functions.sql; /api/v1/kpi/sec</w:t>
            </w:r>
          </w:p>
        </w:tc>
      </w:tr>
      <w:tr>
        <w:tc>
          <w:tcPr>
            <w:tcW w:type="dxa" w:w="2592"/>
            <w:vAlign w:val="top"/>
          </w:tcPr>
          <w:p>
            <w:r/>
            <w:r>
              <w:rPr>
                <w:b w:val="0"/>
                <w:sz w:val="17"/>
              </w:rPr>
              <w:t>Peak demand</w:t>
            </w:r>
          </w:p>
        </w:tc>
        <w:tc>
          <w:tcPr>
            <w:tcW w:type="dxa" w:w="2592"/>
            <w:vAlign w:val="top"/>
          </w:tcPr>
          <w:p>
            <w:r/>
            <w:r>
              <w:rPr>
                <w:b w:val="0"/>
                <w:sz w:val="17"/>
              </w:rPr>
              <w:t>Maximum 15-minute peak_demand_kw in selected period</w:t>
            </w:r>
          </w:p>
        </w:tc>
        <w:tc>
          <w:tcPr>
            <w:tcW w:type="dxa" w:w="2592"/>
            <w:vAlign w:val="top"/>
          </w:tcPr>
          <w:p>
            <w:r/>
            <w:r>
              <w:rPr>
                <w:b w:val="0"/>
                <w:sz w:val="17"/>
              </w:rPr>
              <w:t>calculate_peak_demand() over energy_readings_15min</w:t>
            </w:r>
          </w:p>
        </w:tc>
        <w:tc>
          <w:tcPr>
            <w:tcW w:type="dxa" w:w="2592"/>
            <w:vAlign w:val="top"/>
          </w:tcPr>
          <w:p>
            <w:r/>
            <w:r>
              <w:rPr>
                <w:b w:val="0"/>
                <w:sz w:val="17"/>
              </w:rPr>
              <w:t>database/init/04-functions.sql; /api/v1/kpi/peak-demand</w:t>
            </w:r>
          </w:p>
        </w:tc>
      </w:tr>
      <w:tr>
        <w:tc>
          <w:tcPr>
            <w:tcW w:type="dxa" w:w="2592"/>
            <w:vAlign w:val="top"/>
          </w:tcPr>
          <w:p>
            <w:r/>
            <w:r>
              <w:rPr>
                <w:b w:val="0"/>
                <w:sz w:val="17"/>
              </w:rPr>
              <w:t>Load factor</w:t>
            </w:r>
          </w:p>
        </w:tc>
        <w:tc>
          <w:tcPr>
            <w:tcW w:type="dxa" w:w="2592"/>
            <w:vAlign w:val="top"/>
          </w:tcPr>
          <w:p>
            <w:r/>
            <w:r>
              <w:rPr>
                <w:b w:val="0"/>
                <w:sz w:val="17"/>
              </w:rPr>
              <w:t>Average power divided by maximum power</w:t>
            </w:r>
          </w:p>
        </w:tc>
        <w:tc>
          <w:tcPr>
            <w:tcW w:type="dxa" w:w="2592"/>
            <w:vAlign w:val="top"/>
          </w:tcPr>
          <w:p>
            <w:r/>
            <w:r>
              <w:rPr>
                <w:b w:val="0"/>
                <w:sz w:val="17"/>
              </w:rPr>
              <w:t>calculate_load_factor() over energy_readings_15min</w:t>
            </w:r>
          </w:p>
        </w:tc>
        <w:tc>
          <w:tcPr>
            <w:tcW w:type="dxa" w:w="2592"/>
            <w:vAlign w:val="top"/>
          </w:tcPr>
          <w:p>
            <w:r/>
            <w:r>
              <w:rPr>
                <w:b w:val="0"/>
                <w:sz w:val="17"/>
              </w:rPr>
              <w:t>database/init/04-functions.sql; /api/v1/kpi/load-factor</w:t>
            </w:r>
          </w:p>
        </w:tc>
      </w:tr>
      <w:tr>
        <w:tc>
          <w:tcPr>
            <w:tcW w:type="dxa" w:w="2592"/>
            <w:vAlign w:val="top"/>
          </w:tcPr>
          <w:p>
            <w:r/>
            <w:r>
              <w:rPr>
                <w:b w:val="0"/>
                <w:sz w:val="17"/>
              </w:rPr>
              <w:t>Energy cost</w:t>
            </w:r>
          </w:p>
        </w:tc>
        <w:tc>
          <w:tcPr>
            <w:tcW w:type="dxa" w:w="2592"/>
            <w:vAlign w:val="top"/>
          </w:tcPr>
          <w:p>
            <w:r/>
            <w:r>
              <w:rPr>
                <w:b w:val="0"/>
                <w:sz w:val="17"/>
              </w:rPr>
              <w:t>Energy multiplied by tariff rate; active time-of-use tariff selected when configured</w:t>
            </w:r>
          </w:p>
        </w:tc>
        <w:tc>
          <w:tcPr>
            <w:tcW w:type="dxa" w:w="2592"/>
            <w:vAlign w:val="top"/>
          </w:tcPr>
          <w:p>
            <w:r/>
            <w:r>
              <w:rPr>
                <w:b w:val="0"/>
                <w:sz w:val="17"/>
              </w:rPr>
              <w:t>calculate_energy_cost() queries energy_tariffs with default fallback rate</w:t>
            </w:r>
          </w:p>
        </w:tc>
        <w:tc>
          <w:tcPr>
            <w:tcW w:type="dxa" w:w="2592"/>
            <w:vAlign w:val="top"/>
          </w:tcPr>
          <w:p>
            <w:r/>
            <w:r>
              <w:rPr>
                <w:b w:val="0"/>
                <w:sz w:val="17"/>
              </w:rPr>
              <w:t>database/init/04-functions.sql; /api/v1/kpi/energy-cost</w:t>
            </w:r>
          </w:p>
        </w:tc>
      </w:tr>
      <w:tr>
        <w:tc>
          <w:tcPr>
            <w:tcW w:type="dxa" w:w="2592"/>
            <w:vAlign w:val="top"/>
          </w:tcPr>
          <w:p>
            <w:r/>
            <w:r>
              <w:rPr>
                <w:b w:val="0"/>
                <w:sz w:val="17"/>
              </w:rPr>
              <w:t>Carbon intensity/emissions</w:t>
            </w:r>
          </w:p>
        </w:tc>
        <w:tc>
          <w:tcPr>
            <w:tcW w:type="dxa" w:w="2592"/>
            <w:vAlign w:val="top"/>
          </w:tcPr>
          <w:p>
            <w:r/>
            <w:r>
              <w:rPr>
                <w:b w:val="0"/>
                <w:sz w:val="17"/>
              </w:rPr>
              <w:t>Energy multiplied by active carbon factor, with default factor fallback</w:t>
            </w:r>
          </w:p>
        </w:tc>
        <w:tc>
          <w:tcPr>
            <w:tcW w:type="dxa" w:w="2592"/>
            <w:vAlign w:val="top"/>
          </w:tcPr>
          <w:p>
            <w:r/>
            <w:r>
              <w:rPr>
                <w:b w:val="0"/>
                <w:sz w:val="17"/>
              </w:rPr>
              <w:t>calculate_carbon_intensity() queries carbon_factors</w:t>
            </w:r>
          </w:p>
        </w:tc>
        <w:tc>
          <w:tcPr>
            <w:tcW w:type="dxa" w:w="2592"/>
            <w:vAlign w:val="top"/>
          </w:tcPr>
          <w:p>
            <w:r/>
            <w:r>
              <w:rPr>
                <w:b w:val="0"/>
                <w:sz w:val="17"/>
              </w:rPr>
              <w:t>database/init/04-functions.sql; /api/v1/kpi/carbon</w:t>
            </w:r>
          </w:p>
        </w:tc>
      </w:tr>
      <w:tr>
        <w:tc>
          <w:tcPr>
            <w:tcW w:type="dxa" w:w="2592"/>
            <w:vAlign w:val="top"/>
          </w:tcPr>
          <w:p>
            <w:r/>
            <w:r>
              <w:rPr>
                <w:b w:val="0"/>
                <w:sz w:val="17"/>
              </w:rPr>
              <w:t>Combined KPI response</w:t>
            </w:r>
          </w:p>
        </w:tc>
        <w:tc>
          <w:tcPr>
            <w:tcW w:type="dxa" w:w="2592"/>
            <w:vAlign w:val="top"/>
          </w:tcPr>
          <w:p>
            <w:r/>
            <w:r>
              <w:rPr>
                <w:b w:val="0"/>
                <w:sz w:val="17"/>
              </w:rPr>
              <w:t>Aggregates SEC, peak demand, load factor, cost, and carbon</w:t>
            </w:r>
          </w:p>
        </w:tc>
        <w:tc>
          <w:tcPr>
            <w:tcW w:type="dxa" w:w="2592"/>
            <w:vAlign w:val="top"/>
          </w:tcPr>
          <w:p>
            <w:r/>
            <w:r>
              <w:rPr>
                <w:b w:val="0"/>
                <w:sz w:val="17"/>
              </w:rPr>
              <w:t>calculate_all_kpis() and KPIService.calculate_all_kpis()</w:t>
            </w:r>
          </w:p>
        </w:tc>
        <w:tc>
          <w:tcPr>
            <w:tcW w:type="dxa" w:w="2592"/>
            <w:vAlign w:val="top"/>
          </w:tcPr>
          <w:p>
            <w:r/>
            <w:r>
              <w:rPr>
                <w:b w:val="0"/>
                <w:sz w:val="17"/>
              </w:rPr>
              <w:t>database/init/04-functions.sql; analytics/services/kpi_service.py</w:t>
            </w:r>
          </w:p>
        </w:tc>
      </w:tr>
    </w:tbl>
    <w:p/>
    <w:p>
      <w:pPr>
        <w:pStyle w:val="Heading1"/>
      </w:pPr>
      <w:r>
        <w:t>Analytics Endpoints And Modules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Capability area</w:t>
            </w:r>
          </w:p>
        </w:tc>
        <w:tc>
          <w:tcPr>
            <w:tcW w:type="dxa" w:w="3456"/>
            <w:vAlign w:val="top"/>
            <w:shd w:fill="D9EAF7"/>
          </w:tcPr>
          <w:p>
            <w:r/>
            <w:r>
              <w:rPr>
                <w:b/>
                <w:sz w:val="17"/>
              </w:rPr>
              <w:t>Implemented routes/modules</w:t>
            </w:r>
          </w:p>
        </w:tc>
        <w:tc>
          <w:tcPr>
            <w:tcW w:type="dxa" w:w="3456"/>
            <w:vAlign w:val="top"/>
            <w:shd w:fill="D9EAF7"/>
          </w:tcPr>
          <w:p>
            <w:r/>
            <w:r>
              <w:rPr>
                <w:b/>
                <w:sz w:val="17"/>
              </w:rPr>
              <w:t>Notes</w:t>
            </w:r>
          </w:p>
        </w:tc>
      </w:tr>
      <w:tr>
        <w:tc>
          <w:tcPr>
            <w:tcW w:type="dxa" w:w="3456"/>
            <w:vAlign w:val="top"/>
          </w:tcPr>
          <w:p>
            <w:r/>
            <w:r>
              <w:rPr>
                <w:b w:val="0"/>
                <w:sz w:val="17"/>
              </w:rPr>
              <w:t>KPI</w:t>
            </w:r>
          </w:p>
        </w:tc>
        <w:tc>
          <w:tcPr>
            <w:tcW w:type="dxa" w:w="3456"/>
            <w:vAlign w:val="top"/>
          </w:tcPr>
          <w:p>
            <w:r/>
            <w:r>
              <w:rPr>
                <w:b w:val="0"/>
                <w:sz w:val="17"/>
              </w:rPr>
              <w:t>/api/v1/kpi/sec, /factory, /factories, /peak-demand, /load-factor, /energy-cost, /carbon, /all</w:t>
            </w:r>
          </w:p>
        </w:tc>
        <w:tc>
          <w:tcPr>
            <w:tcW w:type="dxa" w:w="3456"/>
            <w:vAlign w:val="top"/>
          </w:tcPr>
          <w:p>
            <w:r/>
            <w:r>
              <w:rPr>
                <w:b w:val="0"/>
                <w:sz w:val="17"/>
              </w:rPr>
              <w:t>Machine and factory KPI endpoints exist; formulas vary by endpoint.</w:t>
            </w:r>
          </w:p>
        </w:tc>
      </w:tr>
      <w:tr>
        <w:tc>
          <w:tcPr>
            <w:tcW w:type="dxa" w:w="3456"/>
            <w:vAlign w:val="top"/>
          </w:tcPr>
          <w:p>
            <w:r/>
            <w:r>
              <w:rPr>
                <w:b w:val="0"/>
                <w:sz w:val="17"/>
              </w:rPr>
              <w:t>Baselines</w:t>
            </w:r>
          </w:p>
        </w:tc>
        <w:tc>
          <w:tcPr>
            <w:tcW w:type="dxa" w:w="3456"/>
            <w:vAlign w:val="top"/>
          </w:tcPr>
          <w:p>
            <w:r/>
            <w:r>
              <w:rPr>
                <w:b w:val="0"/>
                <w:sz w:val="17"/>
              </w:rPr>
              <w:t>/baseline/train, /deviation, /predict, /models, /drivers, /train-seu</w:t>
            </w:r>
          </w:p>
        </w:tc>
        <w:tc>
          <w:tcPr>
            <w:tcW w:type="dxa" w:w="3456"/>
            <w:vAlign w:val="top"/>
          </w:tcPr>
          <w:p>
            <w:r/>
            <w:r>
              <w:rPr>
                <w:b w:val="0"/>
                <w:sz w:val="17"/>
              </w:rPr>
              <w:t>ML baseline model metadata and saved model files are present.</w:t>
            </w:r>
          </w:p>
        </w:tc>
      </w:tr>
      <w:tr>
        <w:tc>
          <w:tcPr>
            <w:tcW w:type="dxa" w:w="3456"/>
            <w:vAlign w:val="top"/>
          </w:tcPr>
          <w:p>
            <w:r/>
            <w:r>
              <w:rPr>
                <w:b w:val="0"/>
                <w:sz w:val="17"/>
              </w:rPr>
              <w:t>Forecasts</w:t>
            </w:r>
          </w:p>
        </w:tc>
        <w:tc>
          <w:tcPr>
            <w:tcW w:type="dxa" w:w="3456"/>
            <w:vAlign w:val="top"/>
          </w:tcPr>
          <w:p>
            <w:r/>
            <w:r>
              <w:rPr>
                <w:b w:val="0"/>
                <w:sz w:val="17"/>
              </w:rPr>
              <w:t>/forecast/train/arima, /train/prophet, /predict, /demand, /optimal-schedule, /models, /peak, /short-term</w:t>
            </w:r>
          </w:p>
        </w:tc>
        <w:tc>
          <w:tcPr>
            <w:tcW w:type="dxa" w:w="3456"/>
            <w:vAlign w:val="top"/>
          </w:tcPr>
          <w:p>
            <w:r/>
            <w:r>
              <w:rPr>
                <w:b w:val="0"/>
                <w:sz w:val="17"/>
              </w:rPr>
              <w:t>Uses forecasting model modules and forecast prediction tables.</w:t>
            </w:r>
          </w:p>
        </w:tc>
      </w:tr>
      <w:tr>
        <w:tc>
          <w:tcPr>
            <w:tcW w:type="dxa" w:w="3456"/>
            <w:vAlign w:val="top"/>
          </w:tcPr>
          <w:p>
            <w:r/>
            <w:r>
              <w:rPr>
                <w:b w:val="0"/>
                <w:sz w:val="17"/>
              </w:rPr>
              <w:t>Anomalies</w:t>
            </w:r>
          </w:p>
        </w:tc>
        <w:tc>
          <w:tcPr>
            <w:tcW w:type="dxa" w:w="3456"/>
            <w:vAlign w:val="top"/>
          </w:tcPr>
          <w:p>
            <w:r/>
            <w:r>
              <w:rPr>
                <w:b w:val="0"/>
                <w:sz w:val="17"/>
              </w:rPr>
              <w:t>/anomaly/create, /detect, /search, /recent, /active, /resolve</w:t>
            </w:r>
          </w:p>
        </w:tc>
        <w:tc>
          <w:tcPr>
            <w:tcW w:type="dxa" w:w="3456"/>
            <w:vAlign w:val="top"/>
          </w:tcPr>
          <w:p>
            <w:r/>
            <w:r>
              <w:rPr>
                <w:b w:val="0"/>
                <w:sz w:val="17"/>
              </w:rPr>
              <w:t>Anomaly detection and search APIs with anomaly table evidence.</w:t>
            </w:r>
          </w:p>
        </w:tc>
      </w:tr>
      <w:tr>
        <w:tc>
          <w:tcPr>
            <w:tcW w:type="dxa" w:w="3456"/>
            <w:vAlign w:val="top"/>
          </w:tcPr>
          <w:p>
            <w:r/>
            <w:r>
              <w:rPr>
                <w:b w:val="0"/>
                <w:sz w:val="17"/>
              </w:rPr>
              <w:t>Performance and ISO 50001</w:t>
            </w:r>
          </w:p>
        </w:tc>
        <w:tc>
          <w:tcPr>
            <w:tcW w:type="dxa" w:w="3456"/>
            <w:vAlign w:val="top"/>
          </w:tcPr>
          <w:p>
            <w:r/>
            <w:r>
              <w:rPr>
                <w:b w:val="0"/>
                <w:sz w:val="17"/>
              </w:rPr>
              <w:t>/performance/analyze, /opportunities, /action-plan, /health; /iso50001/*</w:t>
            </w:r>
          </w:p>
        </w:tc>
        <w:tc>
          <w:tcPr>
            <w:tcW w:type="dxa" w:w="3456"/>
            <w:vAlign w:val="top"/>
          </w:tcPr>
          <w:p>
            <w:r/>
            <w:r>
              <w:rPr>
                <w:b w:val="0"/>
                <w:sz w:val="17"/>
              </w:rPr>
              <w:t>Performance engine and ISO 50001 action-plan/reporting workflows are implemented.</w:t>
            </w:r>
          </w:p>
        </w:tc>
      </w:tr>
      <w:tr>
        <w:tc>
          <w:tcPr>
            <w:tcW w:type="dxa" w:w="3456"/>
            <w:vAlign w:val="top"/>
          </w:tcPr>
          <w:p>
            <w:r/>
            <w:r>
              <w:rPr>
                <w:b w:val="0"/>
                <w:sz w:val="17"/>
              </w:rPr>
              <w:t>Production</w:t>
            </w:r>
          </w:p>
        </w:tc>
        <w:tc>
          <w:tcPr>
            <w:tcW w:type="dxa" w:w="3456"/>
            <w:vAlign w:val="top"/>
          </w:tcPr>
          <w:p>
            <w:r/>
            <w:r>
              <w:rPr>
                <w:b w:val="0"/>
                <w:sz w:val="17"/>
              </w:rPr>
              <w:t>/production/{machine_id}</w:t>
            </w:r>
          </w:p>
        </w:tc>
        <w:tc>
          <w:tcPr>
            <w:tcW w:type="dxa" w:w="3456"/>
            <w:vAlign w:val="top"/>
          </w:tcPr>
          <w:p>
            <w:r/>
            <w:r>
              <w:rPr>
                <w:b w:val="0"/>
                <w:sz w:val="17"/>
              </w:rPr>
              <w:t>Production metrics and related energy/cost/carbon estimates are exposed.</w:t>
            </w:r>
          </w:p>
        </w:tc>
      </w:tr>
      <w:tr>
        <w:tc>
          <w:tcPr>
            <w:tcW w:type="dxa" w:w="3456"/>
            <w:vAlign w:val="top"/>
          </w:tcPr>
          <w:p>
            <w:r/>
            <w:r>
              <w:rPr>
                <w:b w:val="0"/>
                <w:sz w:val="17"/>
              </w:rPr>
              <w:t>Reports</w:t>
            </w:r>
          </w:p>
        </w:tc>
        <w:tc>
          <w:tcPr>
            <w:tcW w:type="dxa" w:w="3456"/>
            <w:vAlign w:val="top"/>
          </w:tcPr>
          <w:p>
            <w:r/>
            <w:r>
              <w:rPr>
                <w:b w:val="0"/>
                <w:sz w:val="17"/>
              </w:rPr>
              <w:t>/reports/generate, /preview, /v2/generate, /v2/download/{id}, /v2/status</w:t>
            </w:r>
          </w:p>
        </w:tc>
        <w:tc>
          <w:tcPr>
            <w:tcW w:type="dxa" w:w="3456"/>
            <w:vAlign w:val="top"/>
          </w:tcPr>
          <w:p>
            <w:r/>
            <w:r>
              <w:rPr>
                <w:b w:val="0"/>
                <w:sz w:val="17"/>
              </w:rPr>
              <w:t>Legacy monthly EnPI PDF and newer V2 report system exist.</w:t>
            </w:r>
          </w:p>
        </w:tc>
      </w:tr>
    </w:tbl>
    <w:p/>
    <w:p>
      <w:pPr>
        <w:pStyle w:val="Heading1"/>
      </w:pPr>
      <w:r>
        <w:t>Grafana Dashboard Capabilities</w:t>
      </w:r>
    </w:p>
    <w:p>
      <w:r>
        <w:t>Grafana provisioning and dashboard JSON files are present. The dashboard inventory below is based on the tracked JSON dashboard titles and panel names. Dashboard presence is evidence of configured reporting views, while exact metric correctness should be reviewed against each panel SQL query for audit-grade use.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Dashboard</w:t>
            </w:r>
          </w:p>
        </w:tc>
        <w:tc>
          <w:tcPr>
            <w:tcW w:type="dxa" w:w="5184"/>
            <w:vAlign w:val="top"/>
            <w:shd w:fill="D9EAF7"/>
          </w:tcPr>
          <w:p>
            <w:r/>
            <w:r>
              <w:rPr>
                <w:b/>
                <w:sz w:val="17"/>
              </w:rPr>
              <w:t>Panel themes</w:t>
            </w:r>
          </w:p>
        </w:tc>
      </w:tr>
      <w:tr>
        <w:tc>
          <w:tcPr>
            <w:tcW w:type="dxa" w:w="5184"/>
            <w:vAlign w:val="top"/>
          </w:tcPr>
          <w:p>
            <w:r/>
            <w:r>
              <w:rPr>
                <w:b w:val="0"/>
                <w:sz w:val="17"/>
              </w:rPr>
              <w:t>SOTA Factory Overview</w:t>
            </w:r>
          </w:p>
        </w:tc>
        <w:tc>
          <w:tcPr>
            <w:tcW w:type="dxa" w:w="5184"/>
            <w:vAlign w:val="top"/>
          </w:tcPr>
          <w:p>
            <w:r/>
            <w:r>
              <w:rPr>
                <w:b w:val="0"/>
                <w:sz w:val="17"/>
              </w:rPr>
              <w:t>Active machines, energy today, cost today, active anomalies, current power, machine status</w:t>
            </w:r>
          </w:p>
        </w:tc>
      </w:tr>
      <w:tr>
        <w:tc>
          <w:tcPr>
            <w:tcW w:type="dxa" w:w="5184"/>
            <w:vAlign w:val="top"/>
          </w:tcPr>
          <w:p>
            <w:r/>
            <w:r>
              <w:rPr>
                <w:b w:val="0"/>
                <w:sz w:val="17"/>
              </w:rPr>
              <w:t>SOTA Machine Health</w:t>
            </w:r>
          </w:p>
        </w:tc>
        <w:tc>
          <w:tcPr>
            <w:tcW w:type="dxa" w:w="5184"/>
            <w:vAlign w:val="top"/>
          </w:tcPr>
          <w:p>
            <w:r/>
            <w:r>
              <w:rPr>
                <w:b w:val="0"/>
                <w:sz w:val="17"/>
              </w:rPr>
              <w:t>Health score, current power, baseline variance, production, actual vs baseline, anomalies</w:t>
            </w:r>
          </w:p>
        </w:tc>
      </w:tr>
      <w:tr>
        <w:tc>
          <w:tcPr>
            <w:tcW w:type="dxa" w:w="5184"/>
            <w:vAlign w:val="top"/>
          </w:tcPr>
          <w:p>
            <w:r/>
            <w:r>
              <w:rPr>
                <w:b w:val="0"/>
                <w:sz w:val="17"/>
              </w:rPr>
              <w:t>SOTA ISO 50001 EnPI</w:t>
            </w:r>
          </w:p>
        </w:tc>
        <w:tc>
          <w:tcPr>
            <w:tcW w:type="dxa" w:w="5184"/>
            <w:vAlign w:val="top"/>
          </w:tcPr>
          <w:p>
            <w:r/>
            <w:r>
              <w:rPr>
                <w:b w:val="0"/>
                <w:sz w:val="17"/>
              </w:rPr>
              <w:t>EnPI score, energy savings, compliance rate, CUSUM, baseline vs actual, SEU performance</w:t>
            </w:r>
          </w:p>
        </w:tc>
      </w:tr>
      <w:tr>
        <w:tc>
          <w:tcPr>
            <w:tcW w:type="dxa" w:w="5184"/>
            <w:vAlign w:val="top"/>
          </w:tcPr>
          <w:p>
            <w:r/>
            <w:r>
              <w:rPr>
                <w:b w:val="0"/>
                <w:sz w:val="17"/>
              </w:rPr>
              <w:t>SOTA Energy Cost Analytics</w:t>
            </w:r>
          </w:p>
        </w:tc>
        <w:tc>
          <w:tcPr>
            <w:tcW w:type="dxa" w:w="5184"/>
            <w:vAlign w:val="top"/>
          </w:tcPr>
          <w:p>
            <w:r/>
            <w:r>
              <w:rPr>
                <w:b w:val="0"/>
                <w:sz w:val="17"/>
              </w:rPr>
              <w:t>Cost trend, time-of-use cost, top cost contributors, savings opportunities</w:t>
            </w:r>
          </w:p>
        </w:tc>
      </w:tr>
      <w:tr>
        <w:tc>
          <w:tcPr>
            <w:tcW w:type="dxa" w:w="5184"/>
            <w:vAlign w:val="top"/>
          </w:tcPr>
          <w:p>
            <w:r/>
            <w:r>
              <w:rPr>
                <w:b w:val="0"/>
                <w:sz w:val="17"/>
              </w:rPr>
              <w:t>SOTA Environmental Impact</w:t>
            </w:r>
          </w:p>
        </w:tc>
        <w:tc>
          <w:tcPr>
            <w:tcW w:type="dxa" w:w="5184"/>
            <w:vAlign w:val="top"/>
          </w:tcPr>
          <w:p>
            <w:r/>
            <w:r>
              <w:rPr>
                <w:b w:val="0"/>
                <w:sz w:val="17"/>
              </w:rPr>
              <w:t>Monthly carbon footprint, CO2 trend, emission intensity, emissions by machine</w:t>
            </w:r>
          </w:p>
        </w:tc>
      </w:tr>
      <w:tr>
        <w:tc>
          <w:tcPr>
            <w:tcW w:type="dxa" w:w="5184"/>
            <w:vAlign w:val="top"/>
          </w:tcPr>
          <w:p>
            <w:r/>
            <w:r>
              <w:rPr>
                <w:b w:val="0"/>
                <w:sz w:val="17"/>
              </w:rPr>
              <w:t>SOTA Predictive Analytics</w:t>
            </w:r>
          </w:p>
        </w:tc>
        <w:tc>
          <w:tcPr>
            <w:tcW w:type="dxa" w:w="5184"/>
            <w:vAlign w:val="top"/>
          </w:tcPr>
          <w:p>
            <w:r/>
            <w:r>
              <w:rPr>
                <w:b w:val="0"/>
                <w:sz w:val="17"/>
              </w:rPr>
              <w:t>Forecast metrics, forecast vs actual, accuracy trends, recent forecasts</w:t>
            </w:r>
          </w:p>
        </w:tc>
      </w:tr>
      <w:tr>
        <w:tc>
          <w:tcPr>
            <w:tcW w:type="dxa" w:w="5184"/>
            <w:vAlign w:val="top"/>
          </w:tcPr>
          <w:p>
            <w:r/>
            <w:r>
              <w:rPr>
                <w:b w:val="0"/>
                <w:sz w:val="17"/>
              </w:rPr>
              <w:t>SOTA Anomaly Detection</w:t>
            </w:r>
          </w:p>
        </w:tc>
        <w:tc>
          <w:tcPr>
            <w:tcW w:type="dxa" w:w="5184"/>
            <w:vAlign w:val="top"/>
          </w:tcPr>
          <w:p>
            <w:r/>
            <w:r>
              <w:rPr>
                <w:b w:val="0"/>
                <w:sz w:val="17"/>
              </w:rPr>
              <w:t>Active and critical anomalies, severity distribution, machine-hour heatmap, unresolved list</w:t>
            </w:r>
          </w:p>
        </w:tc>
      </w:tr>
      <w:tr>
        <w:tc>
          <w:tcPr>
            <w:tcW w:type="dxa" w:w="5184"/>
            <w:vAlign w:val="top"/>
          </w:tcPr>
          <w:p>
            <w:r/>
            <w:r>
              <w:rPr>
                <w:b w:val="0"/>
                <w:sz w:val="17"/>
              </w:rPr>
              <w:t>SOTA ML Model Performance</w:t>
            </w:r>
          </w:p>
        </w:tc>
        <w:tc>
          <w:tcPr>
            <w:tcW w:type="dxa" w:w="5184"/>
            <w:vAlign w:val="top"/>
          </w:tcPr>
          <w:p>
            <w:r/>
            <w:r>
              <w:rPr>
                <w:b w:val="0"/>
                <w:sz w:val="17"/>
              </w:rPr>
              <w:t>Active models, R2/RMSE, model performance trends, training history</w:t>
            </w:r>
          </w:p>
        </w:tc>
      </w:tr>
      <w:tr>
        <w:tc>
          <w:tcPr>
            <w:tcW w:type="dxa" w:w="5184"/>
            <w:vAlign w:val="top"/>
          </w:tcPr>
          <w:p>
            <w:r/>
            <w:r>
              <w:rPr>
                <w:b w:val="0"/>
                <w:sz w:val="17"/>
              </w:rPr>
              <w:t>SOTA Operational Efficiency</w:t>
            </w:r>
          </w:p>
        </w:tc>
        <w:tc>
          <w:tcPr>
            <w:tcW w:type="dxa" w:w="5184"/>
            <w:vAlign w:val="top"/>
          </w:tcPr>
          <w:p>
            <w:r/>
            <w:r>
              <w:rPr>
                <w:b w:val="0"/>
                <w:sz w:val="17"/>
              </w:rPr>
              <w:t>OEE, availability, performance rate, production vs energy efficiency</w:t>
            </w:r>
          </w:p>
        </w:tc>
      </w:tr>
      <w:tr>
        <w:tc>
          <w:tcPr>
            <w:tcW w:type="dxa" w:w="5184"/>
            <w:vAlign w:val="top"/>
          </w:tcPr>
          <w:p>
            <w:r/>
            <w:r>
              <w:rPr>
                <w:b w:val="0"/>
                <w:sz w:val="17"/>
              </w:rPr>
              <w:t>SOTA Real-Time Production</w:t>
            </w:r>
          </w:p>
        </w:tc>
        <w:tc>
          <w:tcPr>
            <w:tcW w:type="dxa" w:w="5184"/>
            <w:vAlign w:val="top"/>
          </w:tcPr>
          <w:p>
            <w:r/>
            <w:r>
              <w:rPr>
                <w:b w:val="0"/>
                <w:sz w:val="17"/>
              </w:rPr>
              <w:t>Live factory status, active machines, current power</w:t>
            </w:r>
          </w:p>
        </w:tc>
      </w:tr>
      <w:tr>
        <w:tc>
          <w:tcPr>
            <w:tcW w:type="dxa" w:w="5184"/>
            <w:vAlign w:val="top"/>
          </w:tcPr>
          <w:p>
            <w:r/>
            <w:r>
              <w:rPr>
                <w:b w:val="0"/>
                <w:sz w:val="17"/>
              </w:rPr>
              <w:t>SOTA Executive Summary</w:t>
            </w:r>
          </w:p>
        </w:tc>
        <w:tc>
          <w:tcPr>
            <w:tcW w:type="dxa" w:w="5184"/>
            <w:vAlign w:val="top"/>
          </w:tcPr>
          <w:p>
            <w:r/>
            <w:r>
              <w:rPr>
                <w:b w:val="0"/>
                <w:sz w:val="17"/>
              </w:rPr>
              <w:t>Operational concerns, 12-month energy trend, energy intensity, monthly summary</w:t>
            </w:r>
          </w:p>
        </w:tc>
      </w:tr>
    </w:tbl>
    <w:p/>
    <w:p>
      <w:pPr>
        <w:pStyle w:val="Heading1"/>
      </w:pPr>
      <w:r>
        <w:t>Node-RED Ingestion Pipeline</w:t>
      </w:r>
    </w:p>
    <w:p>
      <w:r>
        <w:t>The tracked Node-RED flow subscribes to MQTT topic factory/# and includes function nodes for topic parsing, route selection, payload validation, database preparation, success counting, error catching, and a 30-second statistics dashboard update. Credential files are intentionally not inspected or reproduced in this package.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Flow area</w:t>
            </w:r>
          </w:p>
        </w:tc>
        <w:tc>
          <w:tcPr>
            <w:tcW w:type="dxa" w:w="3456"/>
            <w:vAlign w:val="top"/>
            <w:shd w:fill="D9EAF7"/>
          </w:tcPr>
          <w:p>
            <w:r/>
            <w:r>
              <w:rPr>
                <w:b/>
                <w:sz w:val="17"/>
              </w:rPr>
              <w:t>Observed nodes</w:t>
            </w:r>
          </w:p>
        </w:tc>
        <w:tc>
          <w:tcPr>
            <w:tcW w:type="dxa" w:w="3456"/>
            <w:vAlign w:val="top"/>
            <w:shd w:fill="D9EAF7"/>
          </w:tcPr>
          <w:p>
            <w:r/>
            <w:r>
              <w:rPr>
                <w:b/>
                <w:sz w:val="17"/>
              </w:rPr>
              <w:t>Evidence</w:t>
            </w:r>
          </w:p>
        </w:tc>
      </w:tr>
      <w:tr>
        <w:tc>
          <w:tcPr>
            <w:tcW w:type="dxa" w:w="3456"/>
            <w:vAlign w:val="top"/>
          </w:tcPr>
          <w:p>
            <w:r/>
            <w:r>
              <w:rPr>
                <w:b w:val="0"/>
                <w:sz w:val="17"/>
              </w:rPr>
              <w:t>Input</w:t>
            </w:r>
          </w:p>
        </w:tc>
        <w:tc>
          <w:tcPr>
            <w:tcW w:type="dxa" w:w="3456"/>
            <w:vAlign w:val="top"/>
          </w:tcPr>
          <w:p>
            <w:r/>
            <w:r>
              <w:rPr>
                <w:b w:val="0"/>
                <w:sz w:val="17"/>
              </w:rPr>
              <w:t>MQTT in node Subscribe: factory/#</w:t>
            </w:r>
          </w:p>
        </w:tc>
        <w:tc>
          <w:tcPr>
            <w:tcW w:type="dxa" w:w="3456"/>
            <w:vAlign w:val="top"/>
          </w:tcPr>
          <w:p>
            <w:r/>
            <w:r>
              <w:rPr>
                <w:b w:val="0"/>
                <w:sz w:val="17"/>
              </w:rPr>
              <w:t>nodered/data/flows.json</w:t>
            </w:r>
          </w:p>
        </w:tc>
      </w:tr>
      <w:tr>
        <w:tc>
          <w:tcPr>
            <w:tcW w:type="dxa" w:w="3456"/>
            <w:vAlign w:val="top"/>
          </w:tcPr>
          <w:p>
            <w:r/>
            <w:r>
              <w:rPr>
                <w:b w:val="0"/>
                <w:sz w:val="17"/>
              </w:rPr>
              <w:t>Routing</w:t>
            </w:r>
          </w:p>
        </w:tc>
        <w:tc>
          <w:tcPr>
            <w:tcW w:type="dxa" w:w="3456"/>
            <w:vAlign w:val="top"/>
          </w:tcPr>
          <w:p>
            <w:r/>
            <w:r>
              <w:rPr>
                <w:b w:val="0"/>
                <w:sz w:val="17"/>
              </w:rPr>
              <w:t>Parse Topic, Route by Type</w:t>
            </w:r>
          </w:p>
        </w:tc>
        <w:tc>
          <w:tcPr>
            <w:tcW w:type="dxa" w:w="3456"/>
            <w:vAlign w:val="top"/>
          </w:tcPr>
          <w:p>
            <w:r/>
            <w:r>
              <w:rPr>
                <w:b w:val="0"/>
                <w:sz w:val="17"/>
              </w:rPr>
              <w:t>nodered/data/flows.json</w:t>
            </w:r>
          </w:p>
        </w:tc>
      </w:tr>
      <w:tr>
        <w:tc>
          <w:tcPr>
            <w:tcW w:type="dxa" w:w="3456"/>
            <w:vAlign w:val="top"/>
          </w:tcPr>
          <w:p>
            <w:r/>
            <w:r>
              <w:rPr>
                <w:b w:val="0"/>
                <w:sz w:val="17"/>
              </w:rPr>
              <w:t>Processing</w:t>
            </w:r>
          </w:p>
        </w:tc>
        <w:tc>
          <w:tcPr>
            <w:tcW w:type="dxa" w:w="3456"/>
            <w:vAlign w:val="top"/>
          </w:tcPr>
          <w:p>
            <w:r/>
            <w:r>
              <w:rPr>
                <w:b w:val="0"/>
                <w:sz w:val="17"/>
              </w:rPr>
              <w:t>Process Energy, Process Production, Process Environmental, Process Status</w:t>
            </w:r>
          </w:p>
        </w:tc>
        <w:tc>
          <w:tcPr>
            <w:tcW w:type="dxa" w:w="3456"/>
            <w:vAlign w:val="top"/>
          </w:tcPr>
          <w:p>
            <w:r/>
            <w:r>
              <w:rPr>
                <w:b w:val="0"/>
                <w:sz w:val="17"/>
              </w:rPr>
              <w:t>nodered/data/flows.json</w:t>
            </w:r>
          </w:p>
        </w:tc>
      </w:tr>
      <w:tr>
        <w:tc>
          <w:tcPr>
            <w:tcW w:type="dxa" w:w="3456"/>
            <w:vAlign w:val="top"/>
          </w:tcPr>
          <w:p>
            <w:r/>
            <w:r>
              <w:rPr>
                <w:b w:val="0"/>
                <w:sz w:val="17"/>
              </w:rPr>
              <w:t>Storage</w:t>
            </w:r>
          </w:p>
        </w:tc>
        <w:tc>
          <w:tcPr>
            <w:tcW w:type="dxa" w:w="3456"/>
            <w:vAlign w:val="top"/>
          </w:tcPr>
          <w:p>
            <w:r/>
            <w:r>
              <w:rPr>
                <w:b w:val="0"/>
                <w:sz w:val="17"/>
              </w:rPr>
              <w:t>PostgreSQL nodes via node-red-contrib-postgresql</w:t>
            </w:r>
          </w:p>
        </w:tc>
        <w:tc>
          <w:tcPr>
            <w:tcW w:type="dxa" w:w="3456"/>
            <w:vAlign w:val="top"/>
          </w:tcPr>
          <w:p>
            <w:r/>
            <w:r>
              <w:rPr>
                <w:b w:val="0"/>
                <w:sz w:val="17"/>
              </w:rPr>
              <w:t>nodered/package.json; nodered/data/flows.json</w:t>
            </w:r>
          </w:p>
        </w:tc>
      </w:tr>
      <w:tr>
        <w:tc>
          <w:tcPr>
            <w:tcW w:type="dxa" w:w="3456"/>
            <w:vAlign w:val="top"/>
          </w:tcPr>
          <w:p>
            <w:r/>
            <w:r>
              <w:rPr>
                <w:b w:val="0"/>
                <w:sz w:val="17"/>
              </w:rPr>
              <w:t>Monitoring/errors</w:t>
            </w:r>
          </w:p>
        </w:tc>
        <w:tc>
          <w:tcPr>
            <w:tcW w:type="dxa" w:w="3456"/>
            <w:vAlign w:val="top"/>
          </w:tcPr>
          <w:p>
            <w:r/>
            <w:r>
              <w:rPr>
                <w:b w:val="0"/>
                <w:sz w:val="17"/>
              </w:rPr>
              <w:t>Count Success, Catch All Errors, Log Error, Stats Dashboard</w:t>
            </w:r>
          </w:p>
        </w:tc>
        <w:tc>
          <w:tcPr>
            <w:tcW w:type="dxa" w:w="3456"/>
            <w:vAlign w:val="top"/>
          </w:tcPr>
          <w:p>
            <w:r/>
            <w:r>
              <w:rPr>
                <w:b w:val="0"/>
                <w:sz w:val="17"/>
              </w:rPr>
              <w:t>nodered/data/flows.json</w:t>
            </w:r>
          </w:p>
        </w:tc>
      </w:tr>
    </w:tbl>
    <w:p/>
    <w:p>
      <w:pPr>
        <w:pStyle w:val="Heading1"/>
      </w:pPr>
      <w:r>
        <w:t>Report Generation Capabilities</w:t>
      </w:r>
    </w:p>
    <w:p>
      <w:r>
        <w:t>The legacy report path exposes a monthly_enpi report type, generates report data, generates machine and daily trend charts, and returns a ReportLab PDF. The V2 report path creates a report id, writes a PDF under /tmp, and exposes a download endpoint. V2 components include cover page, executive dashboard, energy overview, machine analysis, cost analysis, and carbon analysis templates/components.</w:t>
      </w:r>
    </w:p>
    <w:p>
      <w:r>
        <w:t>Important caution: the V2 generator is implemented, but some values are derived or placeholder-like in code. Examples include proportional cost/carbon trend assumptions and constant efficiency sparkline values. The final report should therefore be presented as implemented reporting capability, not as independently audited KPI methodology.</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Report path</w:t>
            </w:r>
          </w:p>
        </w:tc>
        <w:tc>
          <w:tcPr>
            <w:tcW w:type="dxa" w:w="3456"/>
            <w:vAlign w:val="top"/>
            <w:shd w:fill="D9EAF7"/>
          </w:tcPr>
          <w:p>
            <w:r/>
            <w:r>
              <w:rPr>
                <w:b/>
                <w:sz w:val="17"/>
              </w:rPr>
              <w:t>Implemented behavior</w:t>
            </w:r>
          </w:p>
        </w:tc>
        <w:tc>
          <w:tcPr>
            <w:tcW w:type="dxa" w:w="3456"/>
            <w:vAlign w:val="top"/>
            <w:shd w:fill="D9EAF7"/>
          </w:tcPr>
          <w:p>
            <w:r/>
            <w:r>
              <w:rPr>
                <w:b/>
                <w:sz w:val="17"/>
              </w:rPr>
              <w:t>Evidence</w:t>
            </w:r>
          </w:p>
        </w:tc>
      </w:tr>
      <w:tr>
        <w:tc>
          <w:tcPr>
            <w:tcW w:type="dxa" w:w="3456"/>
            <w:vAlign w:val="top"/>
          </w:tcPr>
          <w:p>
            <w:r/>
            <w:r>
              <w:rPr>
                <w:b w:val="0"/>
                <w:sz w:val="17"/>
              </w:rPr>
              <w:t>Legacy monthly EnPI</w:t>
            </w:r>
          </w:p>
        </w:tc>
        <w:tc>
          <w:tcPr>
            <w:tcW w:type="dxa" w:w="3456"/>
            <w:vAlign w:val="top"/>
          </w:tcPr>
          <w:p>
            <w:r/>
            <w:r>
              <w:rPr>
                <w:b w:val="0"/>
                <w:sz w:val="17"/>
              </w:rPr>
              <w:t>GET /types, POST /generate, GET /preview for monthly_enpi</w:t>
            </w:r>
          </w:p>
        </w:tc>
        <w:tc>
          <w:tcPr>
            <w:tcW w:type="dxa" w:w="3456"/>
            <w:vAlign w:val="top"/>
          </w:tcPr>
          <w:p>
            <w:r/>
            <w:r>
              <w:rPr>
                <w:b w:val="0"/>
                <w:sz w:val="17"/>
              </w:rPr>
              <w:t>analytics/api/routes/reports.py; analytics/reports/monthly_enpi_report.py</w:t>
            </w:r>
          </w:p>
        </w:tc>
      </w:tr>
      <w:tr>
        <w:tc>
          <w:tcPr>
            <w:tcW w:type="dxa" w:w="3456"/>
            <w:vAlign w:val="top"/>
          </w:tcPr>
          <w:p>
            <w:r/>
            <w:r>
              <w:rPr>
                <w:b w:val="0"/>
                <w:sz w:val="17"/>
              </w:rPr>
              <w:t>V2 PDF report</w:t>
            </w:r>
          </w:p>
        </w:tc>
        <w:tc>
          <w:tcPr>
            <w:tcW w:type="dxa" w:w="3456"/>
            <w:vAlign w:val="top"/>
          </w:tcPr>
          <w:p>
            <w:r/>
            <w:r>
              <w:rPr>
                <w:b w:val="0"/>
                <w:sz w:val="17"/>
              </w:rPr>
              <w:t>POST /v2/generate, GET /v2/download/{report_id}, GET /v2/status</w:t>
            </w:r>
          </w:p>
        </w:tc>
        <w:tc>
          <w:tcPr>
            <w:tcW w:type="dxa" w:w="3456"/>
            <w:vAlign w:val="top"/>
          </w:tcPr>
          <w:p>
            <w:r/>
            <w:r>
              <w:rPr>
                <w:b w:val="0"/>
                <w:sz w:val="17"/>
              </w:rPr>
              <w:t>analytics/api/routes/reports.py; analytics/reports_v2/services/report_service.py</w:t>
            </w:r>
          </w:p>
        </w:tc>
      </w:tr>
      <w:tr>
        <w:tc>
          <w:tcPr>
            <w:tcW w:type="dxa" w:w="3456"/>
            <w:vAlign w:val="top"/>
          </w:tcPr>
          <w:p>
            <w:r/>
            <w:r>
              <w:rPr>
                <w:b w:val="0"/>
                <w:sz w:val="17"/>
              </w:rPr>
              <w:t>V2 templates</w:t>
            </w:r>
          </w:p>
        </w:tc>
        <w:tc>
          <w:tcPr>
            <w:tcW w:type="dxa" w:w="3456"/>
            <w:vAlign w:val="top"/>
          </w:tcPr>
          <w:p>
            <w:r/>
            <w:r>
              <w:rPr>
                <w:b w:val="0"/>
                <w:sz w:val="17"/>
              </w:rPr>
              <w:t>Base, header/footer, KPI cards, chart containers, cover, executive dashboard, energy overview, machine ranking/profile, cost, carbon sections</w:t>
            </w:r>
          </w:p>
        </w:tc>
        <w:tc>
          <w:tcPr>
            <w:tcW w:type="dxa" w:w="3456"/>
            <w:vAlign w:val="top"/>
          </w:tcPr>
          <w:p>
            <w:r/>
            <w:r>
              <w:rPr>
                <w:b w:val="0"/>
                <w:sz w:val="17"/>
              </w:rPr>
              <w:t>analytics/reports_v2/templates/</w:t>
            </w:r>
          </w:p>
        </w:tc>
      </w:tr>
    </w:tbl>
    <w:p/>
    <w:p>
      <w:pPr>
        <w:pStyle w:val="Heading1"/>
      </w:pPr>
      <w:r>
        <w:t>Implemented, Configured, Partial, And Demo Data Distinctions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Capability</w:t>
            </w:r>
          </w:p>
        </w:tc>
        <w:tc>
          <w:tcPr>
            <w:tcW w:type="dxa" w:w="3456"/>
            <w:vAlign w:val="top"/>
            <w:shd w:fill="D9EAF7"/>
          </w:tcPr>
          <w:p>
            <w:r/>
            <w:r>
              <w:rPr>
                <w:b/>
                <w:sz w:val="17"/>
              </w:rPr>
              <w:t>Classification</w:t>
            </w:r>
          </w:p>
        </w:tc>
        <w:tc>
          <w:tcPr>
            <w:tcW w:type="dxa" w:w="3456"/>
            <w:vAlign w:val="top"/>
            <w:shd w:fill="D9EAF7"/>
          </w:tcPr>
          <w:p>
            <w:r/>
            <w:r>
              <w:rPr>
                <w:b/>
                <w:sz w:val="17"/>
              </w:rPr>
              <w:t>Reason</w:t>
            </w:r>
          </w:p>
        </w:tc>
      </w:tr>
      <w:tr>
        <w:tc>
          <w:tcPr>
            <w:tcW w:type="dxa" w:w="3456"/>
            <w:vAlign w:val="top"/>
          </w:tcPr>
          <w:p>
            <w:r/>
            <w:r>
              <w:rPr>
                <w:b w:val="0"/>
                <w:sz w:val="17"/>
              </w:rPr>
              <w:t>TimescaleDB energy/production/environmental storage</w:t>
            </w:r>
          </w:p>
        </w:tc>
        <w:tc>
          <w:tcPr>
            <w:tcW w:type="dxa" w:w="3456"/>
            <w:vAlign w:val="top"/>
          </w:tcPr>
          <w:p>
            <w:r/>
            <w:r>
              <w:rPr>
                <w:b w:val="0"/>
                <w:sz w:val="17"/>
              </w:rPr>
              <w:t>Supported by implementation</w:t>
            </w:r>
          </w:p>
        </w:tc>
        <w:tc>
          <w:tcPr>
            <w:tcW w:type="dxa" w:w="3456"/>
            <w:vAlign w:val="top"/>
          </w:tcPr>
          <w:p>
            <w:r/>
            <w:r>
              <w:rPr>
                <w:b w:val="0"/>
                <w:sz w:val="17"/>
              </w:rPr>
              <w:t>Tables, hypertables, and aggregate views are created by SQL init scripts.</w:t>
            </w:r>
          </w:p>
        </w:tc>
      </w:tr>
      <w:tr>
        <w:tc>
          <w:tcPr>
            <w:tcW w:type="dxa" w:w="3456"/>
            <w:vAlign w:val="top"/>
          </w:tcPr>
          <w:p>
            <w:r/>
            <w:r>
              <w:rPr>
                <w:b w:val="0"/>
                <w:sz w:val="17"/>
              </w:rPr>
              <w:t>SEC, peak demand, load factor, cost, carbon KPI functions</w:t>
            </w:r>
          </w:p>
        </w:tc>
        <w:tc>
          <w:tcPr>
            <w:tcW w:type="dxa" w:w="3456"/>
            <w:vAlign w:val="top"/>
          </w:tcPr>
          <w:p>
            <w:r/>
            <w:r>
              <w:rPr>
                <w:b w:val="0"/>
                <w:sz w:val="17"/>
              </w:rPr>
              <w:t>Supported by implementation</w:t>
            </w:r>
          </w:p>
        </w:tc>
        <w:tc>
          <w:tcPr>
            <w:tcW w:type="dxa" w:w="3456"/>
            <w:vAlign w:val="top"/>
          </w:tcPr>
          <w:p>
            <w:r/>
            <w:r>
              <w:rPr>
                <w:b w:val="0"/>
                <w:sz w:val="17"/>
              </w:rPr>
              <w:t>SQL functions and service wrappers exist.</w:t>
            </w:r>
          </w:p>
        </w:tc>
      </w:tr>
      <w:tr>
        <w:tc>
          <w:tcPr>
            <w:tcW w:type="dxa" w:w="3456"/>
            <w:vAlign w:val="top"/>
          </w:tcPr>
          <w:p>
            <w:r/>
            <w:r>
              <w:rPr>
                <w:b w:val="0"/>
                <w:sz w:val="17"/>
              </w:rPr>
              <w:t>Grafana dashboards</w:t>
            </w:r>
          </w:p>
        </w:tc>
        <w:tc>
          <w:tcPr>
            <w:tcW w:type="dxa" w:w="3456"/>
            <w:vAlign w:val="top"/>
          </w:tcPr>
          <w:p>
            <w:r/>
            <w:r>
              <w:rPr>
                <w:b w:val="0"/>
                <w:sz w:val="17"/>
              </w:rPr>
              <w:t>Configured</w:t>
            </w:r>
          </w:p>
        </w:tc>
        <w:tc>
          <w:tcPr>
            <w:tcW w:type="dxa" w:w="3456"/>
            <w:vAlign w:val="top"/>
          </w:tcPr>
          <w:p>
            <w:r/>
            <w:r>
              <w:rPr>
                <w:b w:val="0"/>
                <w:sz w:val="17"/>
              </w:rPr>
              <w:t>Dashboard JSON and provisioning are tracked.</w:t>
            </w:r>
          </w:p>
        </w:tc>
      </w:tr>
      <w:tr>
        <w:tc>
          <w:tcPr>
            <w:tcW w:type="dxa" w:w="3456"/>
            <w:vAlign w:val="top"/>
          </w:tcPr>
          <w:p>
            <w:r/>
            <w:r>
              <w:rPr>
                <w:b w:val="0"/>
                <w:sz w:val="17"/>
              </w:rPr>
              <w:t>Node-RED ingestion</w:t>
            </w:r>
          </w:p>
        </w:tc>
        <w:tc>
          <w:tcPr>
            <w:tcW w:type="dxa" w:w="3456"/>
            <w:vAlign w:val="top"/>
          </w:tcPr>
          <w:p>
            <w:r/>
            <w:r>
              <w:rPr>
                <w:b w:val="0"/>
                <w:sz w:val="17"/>
              </w:rPr>
              <w:t>Configured and implemented</w:t>
            </w:r>
          </w:p>
        </w:tc>
        <w:tc>
          <w:tcPr>
            <w:tcW w:type="dxa" w:w="3456"/>
            <w:vAlign w:val="top"/>
          </w:tcPr>
          <w:p>
            <w:r/>
            <w:r>
              <w:rPr>
                <w:b w:val="0"/>
                <w:sz w:val="17"/>
              </w:rPr>
              <w:t>Flow nodes and settings are tracked; runtime execution not verified in this pass.</w:t>
            </w:r>
          </w:p>
        </w:tc>
      </w:tr>
      <w:tr>
        <w:tc>
          <w:tcPr>
            <w:tcW w:type="dxa" w:w="3456"/>
            <w:vAlign w:val="top"/>
          </w:tcPr>
          <w:p>
            <w:r/>
            <w:r>
              <w:rPr>
                <w:b w:val="0"/>
                <w:sz w:val="17"/>
              </w:rPr>
              <w:t>Sample factories and machines</w:t>
            </w:r>
          </w:p>
        </w:tc>
        <w:tc>
          <w:tcPr>
            <w:tcW w:type="dxa" w:w="3456"/>
            <w:vAlign w:val="top"/>
          </w:tcPr>
          <w:p>
            <w:r/>
            <w:r>
              <w:rPr>
                <w:b w:val="0"/>
                <w:sz w:val="17"/>
              </w:rPr>
              <w:t>Demo/sample data</w:t>
            </w:r>
          </w:p>
        </w:tc>
        <w:tc>
          <w:tcPr>
            <w:tcW w:type="dxa" w:w="3456"/>
            <w:vAlign w:val="top"/>
          </w:tcPr>
          <w:p>
            <w:r/>
            <w:r>
              <w:rPr>
                <w:b w:val="0"/>
                <w:sz w:val="17"/>
              </w:rPr>
              <w:t>Seed SQL inserts named sample facilities and machines.</w:t>
            </w:r>
          </w:p>
        </w:tc>
      </w:tr>
      <w:tr>
        <w:tc>
          <w:tcPr>
            <w:tcW w:type="dxa" w:w="3456"/>
            <w:vAlign w:val="top"/>
          </w:tcPr>
          <w:p>
            <w:r/>
            <w:r>
              <w:rPr>
                <w:b w:val="0"/>
                <w:sz w:val="17"/>
              </w:rPr>
              <w:t>V2 report polish/semantic completeness</w:t>
            </w:r>
          </w:p>
        </w:tc>
        <w:tc>
          <w:tcPr>
            <w:tcW w:type="dxa" w:w="3456"/>
            <w:vAlign w:val="top"/>
          </w:tcPr>
          <w:p>
            <w:r/>
            <w:r>
              <w:rPr>
                <w:b w:val="0"/>
                <w:sz w:val="17"/>
              </w:rPr>
              <w:t>Partially implemented</w:t>
            </w:r>
          </w:p>
        </w:tc>
        <w:tc>
          <w:tcPr>
            <w:tcW w:type="dxa" w:w="3456"/>
            <w:vAlign w:val="top"/>
          </w:tcPr>
          <w:p>
            <w:r/>
            <w:r>
              <w:rPr>
                <w:b w:val="0"/>
                <w:sz w:val="17"/>
              </w:rPr>
              <w:t>Routes/templates exist, but some data calculations are placeholders or estimates.</w:t>
            </w:r>
          </w:p>
        </w:tc>
      </w:tr>
      <w:tr>
        <w:tc>
          <w:tcPr>
            <w:tcW w:type="dxa" w:w="3456"/>
            <w:vAlign w:val="top"/>
          </w:tcPr>
          <w:p>
            <w:r/>
            <w:r>
              <w:rPr>
                <w:b w:val="0"/>
                <w:sz w:val="17"/>
              </w:rPr>
              <w:t>Standalone query API service</w:t>
            </w:r>
          </w:p>
        </w:tc>
        <w:tc>
          <w:tcPr>
            <w:tcW w:type="dxa" w:w="3456"/>
            <w:vAlign w:val="top"/>
          </w:tcPr>
          <w:p>
            <w:r/>
            <w:r>
              <w:rPr>
                <w:b w:val="0"/>
                <w:sz w:val="17"/>
              </w:rPr>
              <w:t>Out of scope</w:t>
            </w:r>
          </w:p>
        </w:tc>
        <w:tc>
          <w:tcPr>
            <w:tcW w:type="dxa" w:w="3456"/>
            <w:vAlign w:val="top"/>
          </w:tcPr>
          <w:p>
            <w:r/>
            <w:r>
              <w:rPr>
                <w:b w:val="0"/>
                <w:sz w:val="17"/>
              </w:rPr>
              <w:t>No separate natural-language query API service is defined in the GitHub production docker-compose.yml.</w:t>
            </w:r>
          </w:p>
        </w:tc>
      </w:tr>
    </w:tbl>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Item</w:t>
            </w:r>
          </w:p>
        </w:tc>
        <w:tc>
          <w:tcPr>
            <w:tcW w:type="dxa" w:w="5184"/>
            <w:vAlign w:val="top"/>
            <w:shd w:fill="D9EAF7"/>
          </w:tcPr>
          <w:p>
            <w:r/>
            <w:r>
              <w:rPr>
                <w:b/>
                <w:sz w:val="17"/>
              </w:rPr>
              <w:t>Status</w:t>
            </w:r>
          </w:p>
        </w:tc>
      </w:tr>
      <w:tr>
        <w:tc>
          <w:tcPr>
            <w:tcW w:type="dxa" w:w="5184"/>
            <w:vAlign w:val="top"/>
          </w:tcPr>
          <w:p>
            <w:r/>
            <w:r>
              <w:rPr>
                <w:b w:val="0"/>
                <w:sz w:val="17"/>
              </w:rPr>
              <w:t>Runtime verification</w:t>
            </w:r>
          </w:p>
        </w:tc>
        <w:tc>
          <w:tcPr>
            <w:tcW w:type="dxa" w:w="5184"/>
            <w:vAlign w:val="top"/>
          </w:tcPr>
          <w:p>
            <w:r/>
            <w:r>
              <w:rPr>
                <w:b w:val="0"/>
                <w:sz w:val="17"/>
              </w:rPr>
              <w:t>This documentation package records compose validation. Live health checks require a running deployment and are not implied unless run separately.</w:t>
            </w:r>
          </w:p>
        </w:tc>
      </w:tr>
      <w:tr>
        <w:tc>
          <w:tcPr>
            <w:tcW w:type="dxa" w:w="5184"/>
            <w:vAlign w:val="top"/>
          </w:tcPr>
          <w:p>
            <w:r/>
            <w:r>
              <w:rPr>
                <w:b w:val="0"/>
                <w:sz w:val="17"/>
              </w:rPr>
              <w:t>OVOS deployment boundary</w:t>
            </w:r>
          </w:p>
        </w:tc>
        <w:tc>
          <w:tcPr>
            <w:tcW w:type="dxa" w:w="5184"/>
            <w:vAlign w:val="top"/>
          </w:tcPr>
          <w:p>
            <w:r/>
            <w:r>
              <w:rPr>
                <w:b w:val="0"/>
                <w:sz w:val="17"/>
              </w:rPr>
              <w:t>The GitHub production base docker-compose.yml does not define an OVOS service. OVOS-EnMS is documented as a separate source repository and as an embedded component in the full-stack release archive.</w:t>
            </w:r>
          </w:p>
        </w:tc>
      </w:tr>
      <w:tr>
        <w:tc>
          <w:tcPr>
            <w:tcW w:type="dxa" w:w="5184"/>
            <w:vAlign w:val="top"/>
          </w:tcPr>
          <w:p>
            <w:r/>
            <w:r>
              <w:rPr>
                <w:b w:val="0"/>
                <w:sz w:val="17"/>
              </w:rPr>
              <w:t>OVOS release artifact</w:t>
            </w:r>
          </w:p>
        </w:tc>
        <w:tc>
          <w:tcPr>
            <w:tcW w:type="dxa" w:w="5184"/>
            <w:vAlign w:val="top"/>
          </w:tcPr>
          <w:p>
            <w:r/>
            <w:r>
              <w:rPr>
                <w:b w:val="0"/>
                <w:sz w:val="17"/>
              </w:rPr>
              <w:t>Release notes state optional GGUF model weights are not bundled by default.</w:t>
            </w:r>
          </w:p>
        </w:tc>
      </w:tr>
      <w:tr>
        <w:tc>
          <w:tcPr>
            <w:tcW w:type="dxa" w:w="5184"/>
            <w:vAlign w:val="top"/>
          </w:tcPr>
          <w:p>
            <w:r/>
            <w:r>
              <w:rPr>
                <w:b w:val="0"/>
                <w:sz w:val="17"/>
              </w:rPr>
              <w:t>Third-party EnMS support</w:t>
            </w:r>
          </w:p>
        </w:tc>
        <w:tc>
          <w:tcPr>
            <w:tcW w:type="dxa" w:w="5184"/>
            <w:vAlign w:val="top"/>
          </w:tcPr>
          <w:p>
            <w:r/>
            <w:r>
              <w:rPr>
                <w:b w:val="0"/>
                <w:sz w:val="17"/>
              </w:rPr>
              <w:t>OVOS portability is through a HumanEnerDIA-compatible API or adapter/proxy, not zero-code support for arbitrary vendor APIs.</w:t>
            </w:r>
          </w:p>
        </w:tc>
      </w:tr>
      <w:tr>
        <w:tc>
          <w:tcPr>
            <w:tcW w:type="dxa" w:w="5184"/>
            <w:vAlign w:val="top"/>
          </w:tcPr>
          <w:p>
            <w:r/>
            <w:r>
              <w:rPr>
                <w:b w:val="0"/>
                <w:sz w:val="17"/>
              </w:rPr>
              <w:t>Reports V2</w:t>
            </w:r>
          </w:p>
        </w:tc>
        <w:tc>
          <w:tcPr>
            <w:tcW w:type="dxa" w:w="5184"/>
            <w:vAlign w:val="top"/>
          </w:tcPr>
          <w:p>
            <w:r/>
            <w:r>
              <w:rPr>
                <w:b w:val="0"/>
                <w:sz w:val="17"/>
              </w:rPr>
              <w:t>V2 report code is implemented, but some service calculations use derived/proportional or placeholder values; final stakeholders should review report semantics before audit use.</w:t>
            </w:r>
          </w:p>
        </w:tc>
      </w:tr>
      <w:tr>
        <w:tc>
          <w:tcPr>
            <w:tcW w:type="dxa" w:w="5184"/>
            <w:vAlign w:val="top"/>
          </w:tcPr>
          <w:p>
            <w:r/>
            <w:r>
              <w:rPr>
                <w:b w:val="0"/>
                <w:sz w:val="17"/>
              </w:rPr>
              <w:t>Simulator inventory</w:t>
            </w:r>
          </w:p>
        </w:tc>
        <w:tc>
          <w:tcPr>
            <w:tcW w:type="dxa" w:w="5184"/>
            <w:vAlign w:val="top"/>
          </w:tcPr>
          <w:p>
            <w:r/>
            <w:r>
              <w:rPr>
                <w:b w:val="0"/>
                <w:sz w:val="17"/>
              </w:rPr>
              <w:t>The simulator code supports boiler in addition to compressor, HVAC, motor, pump, and injection molding. One simulator info response still lists five machine types.</w:t>
            </w:r>
          </w:p>
        </w:tc>
      </w:tr>
      <w:tr>
        <w:tc>
          <w:tcPr>
            <w:tcW w:type="dxa" w:w="5184"/>
            <w:vAlign w:val="top"/>
          </w:tcPr>
          <w:p>
            <w:r/>
            <w:r>
              <w:rPr>
                <w:b w:val="0"/>
                <w:sz w:val="17"/>
              </w:rPr>
              <w:t>Security posture</w:t>
            </w:r>
          </w:p>
        </w:tc>
        <w:tc>
          <w:tcPr>
            <w:tcW w:type="dxa" w:w="5184"/>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Evidence References</w:t>
      </w:r>
    </w:p>
    <w:p>
      <w:r>
        <w:t>The table below lists the main local evidence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Topic</w:t>
            </w:r>
          </w:p>
        </w:tc>
        <w:tc>
          <w:tcPr>
            <w:tcW w:type="dxa" w:w="5184"/>
            <w:vAlign w:val="top"/>
            <w:shd w:fill="D9EAF7"/>
          </w:tcPr>
          <w:p>
            <w:r/>
            <w:r>
              <w:rPr>
                <w:b/>
                <w:sz w:val="17"/>
              </w:rPr>
              <w:t>Evidence</w:t>
            </w:r>
          </w:p>
        </w:tc>
      </w:tr>
      <w:tr>
        <w:tc>
          <w:tcPr>
            <w:tcW w:type="dxa" w:w="5184"/>
            <w:vAlign w:val="top"/>
          </w:tcPr>
          <w:p>
            <w:r/>
            <w:r>
              <w:rPr>
                <w:b w:val="0"/>
                <w:sz w:val="17"/>
              </w:rPr>
              <w:t>KPI functions</w:t>
            </w:r>
          </w:p>
        </w:tc>
        <w:tc>
          <w:tcPr>
            <w:tcW w:type="dxa" w:w="5184"/>
            <w:vAlign w:val="top"/>
          </w:tcPr>
          <w:p>
            <w:r/>
            <w:r>
              <w:rPr>
                <w:b w:val="0"/>
                <w:sz w:val="17"/>
              </w:rPr>
              <w:t>database/init/04-functions.sql</w:t>
            </w:r>
          </w:p>
        </w:tc>
      </w:tr>
      <w:tr>
        <w:tc>
          <w:tcPr>
            <w:tcW w:type="dxa" w:w="5184"/>
            <w:vAlign w:val="top"/>
          </w:tcPr>
          <w:p>
            <w:r/>
            <w:r>
              <w:rPr>
                <w:b w:val="0"/>
                <w:sz w:val="17"/>
              </w:rPr>
              <w:t>KPI routes and service</w:t>
            </w:r>
          </w:p>
        </w:tc>
        <w:tc>
          <w:tcPr>
            <w:tcW w:type="dxa" w:w="5184"/>
            <w:vAlign w:val="top"/>
          </w:tcPr>
          <w:p>
            <w:r/>
            <w:r>
              <w:rPr>
                <w:b w:val="0"/>
                <w:sz w:val="17"/>
              </w:rPr>
              <w:t>analytics/api/routes/kpi.py; analytics/services/kpi_service.py</w:t>
            </w:r>
          </w:p>
        </w:tc>
      </w:tr>
      <w:tr>
        <w:tc>
          <w:tcPr>
            <w:tcW w:type="dxa" w:w="5184"/>
            <w:vAlign w:val="top"/>
          </w:tcPr>
          <w:p>
            <w:r/>
            <w:r>
              <w:rPr>
                <w:b w:val="0"/>
                <w:sz w:val="17"/>
              </w:rPr>
              <w:t>Report routes/services</w:t>
            </w:r>
          </w:p>
        </w:tc>
        <w:tc>
          <w:tcPr>
            <w:tcW w:type="dxa" w:w="5184"/>
            <w:vAlign w:val="top"/>
          </w:tcPr>
          <w:p>
            <w:r/>
            <w:r>
              <w:rPr>
                <w:b w:val="0"/>
                <w:sz w:val="17"/>
              </w:rPr>
              <w:t>analytics/api/routes/reports.py; analytics/reports/; analytics/reports_v2/</w:t>
            </w:r>
          </w:p>
        </w:tc>
      </w:tr>
      <w:tr>
        <w:tc>
          <w:tcPr>
            <w:tcW w:type="dxa" w:w="5184"/>
            <w:vAlign w:val="top"/>
          </w:tcPr>
          <w:p>
            <w:r/>
            <w:r>
              <w:rPr>
                <w:b w:val="0"/>
                <w:sz w:val="17"/>
              </w:rPr>
              <w:t>Database schema</w:t>
            </w:r>
          </w:p>
        </w:tc>
        <w:tc>
          <w:tcPr>
            <w:tcW w:type="dxa" w:w="5184"/>
            <w:vAlign w:val="top"/>
          </w:tcPr>
          <w:p>
            <w:r/>
            <w:r>
              <w:rPr>
                <w:b w:val="0"/>
                <w:sz w:val="17"/>
              </w:rPr>
              <w:t>database/init/02-schema.sql; database/init/03-timescaledb-setup.sql; database/init/04-functions.sql</w:t>
            </w:r>
          </w:p>
        </w:tc>
      </w:tr>
      <w:tr>
        <w:tc>
          <w:tcPr>
            <w:tcW w:type="dxa" w:w="5184"/>
            <w:vAlign w:val="top"/>
          </w:tcPr>
          <w:p>
            <w:r/>
            <w:r>
              <w:rPr>
                <w:b w:val="0"/>
                <w:sz w:val="17"/>
              </w:rPr>
              <w:t>Node-RED</w:t>
            </w:r>
          </w:p>
        </w:tc>
        <w:tc>
          <w:tcPr>
            <w:tcW w:type="dxa" w:w="5184"/>
            <w:vAlign w:val="top"/>
          </w:tcPr>
          <w:p>
            <w:r/>
            <w:r>
              <w:rPr>
                <w:b w:val="0"/>
                <w:sz w:val="17"/>
              </w:rPr>
              <w:t>nodered/data/flows.json; nodered/settings.js; nodered/package.json</w:t>
            </w:r>
          </w:p>
        </w:tc>
      </w:tr>
      <w:tr>
        <w:tc>
          <w:tcPr>
            <w:tcW w:type="dxa" w:w="5184"/>
            <w:vAlign w:val="top"/>
          </w:tcPr>
          <w:p>
            <w:r/>
            <w:r>
              <w:rPr>
                <w:b w:val="0"/>
                <w:sz w:val="17"/>
              </w:rPr>
              <w:t>Grafana</w:t>
            </w:r>
          </w:p>
        </w:tc>
        <w:tc>
          <w:tcPr>
            <w:tcW w:type="dxa" w:w="5184"/>
            <w:vAlign w:val="top"/>
          </w:tcPr>
          <w:p>
            <w:r/>
            <w:r>
              <w:rPr>
                <w:b w:val="0"/>
                <w:sz w:val="17"/>
              </w:rPr>
              <w:t>grafana/provisioning/; grafana/dashboards/</w:t>
            </w:r>
          </w:p>
        </w:tc>
      </w:tr>
      <w:tr>
        <w:tc>
          <w:tcPr>
            <w:tcW w:type="dxa" w:w="5184"/>
            <w:vAlign w:val="top"/>
          </w:tcPr>
          <w:p>
            <w:r/>
            <w:r>
              <w:rPr>
                <w:b w:val="0"/>
                <w:sz w:val="17"/>
              </w:rPr>
              <w:t>Simulator seed data</w:t>
            </w:r>
          </w:p>
        </w:tc>
        <w:tc>
          <w:tcPr>
            <w:tcW w:type="dxa" w:w="5184"/>
            <w:vAlign w:val="top"/>
          </w:tcPr>
          <w:p>
            <w:r/>
            <w:r>
              <w:rPr>
                <w:b w:val="0"/>
                <w:sz w:val="17"/>
              </w:rPr>
              <w:t>database/init/06-seed-data.sql</w:t>
            </w:r>
          </w:p>
        </w:tc>
      </w:tr>
    </w:tbl>
    <w:p/>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Energy Management System Reports and KPI Reports | Version 1.0 | 2026-06-08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