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40AF"/>
          <w:sz w:val="32"/>
        </w:rPr>
        <w:t>WASABI / HumanEnerDIA / OVOS-EnMS</w:t>
      </w:r>
    </w:p>
    <w:p/>
    <w:p>
      <w:pPr>
        <w:jc w:val="center"/>
      </w:pPr>
      <w:r>
        <w:rPr>
          <w:b/>
          <w:color w:val="0F172A"/>
          <w:sz w:val="52"/>
        </w:rPr>
        <w:t>Energy Management System Reports and KPI Reports</w:t>
      </w:r>
    </w:p>
    <w:p/>
    <w:tbl>
      <w:tblPr>
        <w:tblStyle w:val="TableGrid"/>
        <w:tblW w:type="auto" w:w="0"/>
        <w:jc w:val="center"/>
        <w:tblLook w:firstColumn="1" w:firstRow="1" w:lastColumn="0" w:lastRow="0" w:noHBand="0" w:noVBand="1" w:val="04A0"/>
      </w:tblPr>
      <w:tblGrid>
        <w:gridCol w:w="5328"/>
        <w:gridCol w:w="5328"/>
      </w:tblGrid>
      <w:tr>
        <w:tc>
          <w:tcPr>
            <w:tcW w:type="dxa" w:w="5328"/>
            <w:vAlign w:val="top"/>
            <w:shd w:fill="E2E8F0"/>
          </w:tcPr>
          <w:p>
            <w:r/>
            <w:r>
              <w:rPr>
                <w:b/>
                <w:sz w:val="17"/>
              </w:rPr>
              <w:t>Version</w:t>
            </w:r>
          </w:p>
        </w:tc>
        <w:tc>
          <w:tcPr>
            <w:tcW w:type="dxa" w:w="5328"/>
            <w:vAlign w:val="top"/>
          </w:tcPr>
          <w:p>
            <w:r/>
            <w:r>
              <w:rPr>
                <w:b w:val="0"/>
                <w:sz w:val="17"/>
              </w:rPr>
              <w:t>1.1</w:t>
            </w:r>
          </w:p>
        </w:tc>
      </w:tr>
      <w:tr>
        <w:tc>
          <w:tcPr>
            <w:tcW w:type="dxa" w:w="5328"/>
            <w:vAlign w:val="top"/>
            <w:shd w:fill="E2E8F0"/>
          </w:tcPr>
          <w:p>
            <w:r/>
            <w:r>
              <w:rPr>
                <w:b/>
                <w:sz w:val="17"/>
              </w:rPr>
              <w:t>Date</w:t>
            </w:r>
          </w:p>
        </w:tc>
        <w:tc>
          <w:tcPr>
            <w:tcW w:type="dxa" w:w="5328"/>
            <w:vAlign w:val="top"/>
          </w:tcPr>
          <w:p>
            <w:r/>
            <w:r>
              <w:rPr>
                <w:b w:val="0"/>
                <w:sz w:val="17"/>
              </w:rPr>
              <w:t>2026-06-09</w:t>
            </w:r>
          </w:p>
        </w:tc>
      </w:tr>
      <w:tr>
        <w:tc>
          <w:tcPr>
            <w:tcW w:type="dxa" w:w="5328"/>
            <w:vAlign w:val="top"/>
            <w:shd w:fill="E2E8F0"/>
          </w:tcPr>
          <w:p>
            <w:r/>
            <w:r>
              <w:rPr>
                <w:b/>
                <w:sz w:val="17"/>
              </w:rPr>
              <w:t>Status</w:t>
            </w:r>
          </w:p>
        </w:tc>
        <w:tc>
          <w:tcPr>
            <w:tcW w:type="dxa" w:w="5328"/>
            <w:vAlign w:val="top"/>
          </w:tcPr>
          <w:p>
            <w:r/>
            <w:r>
              <w:rPr>
                <w:b w:val="0"/>
                <w:sz w:val="17"/>
              </w:rPr>
              <w:t>Final stakeholder-ready documentation package</w:t>
            </w:r>
          </w:p>
        </w:tc>
      </w:tr>
      <w:tr>
        <w:tc>
          <w:tcPr>
            <w:tcW w:type="dxa" w:w="5328"/>
            <w:vAlign w:val="top"/>
            <w:shd w:fill="E2E8F0"/>
          </w:tcPr>
          <w:p>
            <w:r/>
            <w:r>
              <w:rPr>
                <w:b/>
                <w:sz w:val="17"/>
              </w:rPr>
              <w:t>Purpose</w:t>
            </w:r>
          </w:p>
        </w:tc>
        <w:tc>
          <w:tcPr>
            <w:tcW w:type="dxa" w:w="5328"/>
            <w:vAlign w:val="top"/>
          </w:tcPr>
          <w:p>
            <w:r/>
            <w:r>
              <w:rPr>
                <w:b w:val="0"/>
                <w:sz w:val="17"/>
              </w:rPr>
              <w:t>Document implemented energy data, KPI, dashboard, and report capabilities with formulas and evidence.</w:t>
            </w:r>
          </w:p>
        </w:tc>
      </w:tr>
      <w:tr>
        <w:tc>
          <w:tcPr>
            <w:tcW w:type="dxa" w:w="5328"/>
            <w:vAlign w:val="top"/>
            <w:shd w:fill="E2E8F0"/>
          </w:tcPr>
          <w:p>
            <w:r/>
            <w:r>
              <w:rPr>
                <w:b/>
                <w:sz w:val="17"/>
              </w:rPr>
              <w:t>Intended audience</w:t>
            </w:r>
          </w:p>
        </w:tc>
        <w:tc>
          <w:tcPr>
            <w:tcW w:type="dxa" w:w="5328"/>
            <w:vAlign w:val="top"/>
          </w:tcPr>
          <w:p>
            <w:r/>
            <w:r>
              <w:rPr>
                <w:b w:val="0"/>
                <w:sz w:val="17"/>
              </w:rPr>
              <w:t>Energy managers, project reviewers, operators, analytics maintainers, and external partners.</w:t>
            </w:r>
          </w:p>
        </w:tc>
      </w:tr>
    </w:tbl>
    <w:p/>
    <w:p>
      <w:pPr>
        <w:jc w:val="center"/>
      </w:pPr>
      <w:r>
        <w:rPr>
          <w:b/>
        </w:rPr>
        <w:t xml:space="preserve">Source basis: </w:t>
      </w:r>
      <w:r>
        <w:t>KPI formulas are included only where defined in SQL functions, code, dashboard queries, or existing local documentation.</w:t>
      </w:r>
    </w:p>
    <w:p>
      <w:r>
        <w:br w:type="page"/>
      </w:r>
    </w:p>
    <w:p>
      <w:pPr>
        <w:pStyle w:val="Heading1"/>
      </w:pPr>
      <w:r>
        <w:t>Table of Contents</w:t>
      </w:r>
    </w:p>
    <w:p>
      <w:r>
        <w:t>1. Energy Data Model</w:t>
      </w:r>
    </w:p>
    <w:p>
      <w:r>
        <w:t>2. KPI Formula Evidence</w:t>
      </w:r>
    </w:p>
    <w:p>
      <w:r>
        <w:t>3. KPI Catalog And Classification</w:t>
      </w:r>
    </w:p>
    <w:p>
      <w:r>
        <w:t>4. Analytics Endpoints And Modules</w:t>
      </w:r>
    </w:p>
    <w:p>
      <w:r>
        <w:t>5. Grafana Dashboard Capabilities</w:t>
      </w:r>
    </w:p>
    <w:p>
      <w:r>
        <w:t>6. Dashboard Interpretation Notes</w:t>
      </w:r>
    </w:p>
    <w:p>
      <w:r>
        <w:t>7. Node-RED Ingestion Pipeline</w:t>
      </w:r>
    </w:p>
    <w:p>
      <w:r>
        <w:t>8. Report Generation Capabilities</w:t>
      </w:r>
    </w:p>
    <w:p>
      <w:r>
        <w:t>9. Report Workflow</w:t>
      </w:r>
    </w:p>
    <w:p>
      <w:r>
        <w:t>10. Data-Quality Assumptions</w:t>
      </w:r>
    </w:p>
    <w:p>
      <w:r>
        <w:t>11. Audit-Use Cautions</w:t>
      </w:r>
    </w:p>
    <w:p>
      <w:r>
        <w:t>12. Implemented, Configured, Partial, And Demo Data Distinctions</w:t>
      </w:r>
    </w:p>
    <w:p>
      <w:r>
        <w:t>13. Limitations And Assumptions</w:t>
      </w:r>
    </w:p>
    <w:p>
      <w:r>
        <w:t>14. Source References</w:t>
      </w:r>
    </w:p>
    <w:p>
      <w:r>
        <w:br w:type="page"/>
      </w:r>
    </w:p>
    <w:p>
      <w:pPr>
        <w:pStyle w:val="Heading1"/>
      </w:pPr>
      <w:r>
        <w:t>Energy Data Model</w:t>
      </w:r>
    </w:p>
    <w:p>
      <w:r>
        <w:drawing>
          <wp:inline xmlns:a="http://schemas.openxmlformats.org/drawingml/2006/main" xmlns:pic="http://schemas.openxmlformats.org/drawingml/2006/picture">
            <wp:extent cx="6583680" cy="3950208"/>
            <wp:docPr id="1" name="Picture 1"/>
            <wp:cNvGraphicFramePr>
              <a:graphicFrameLocks noChangeAspect="1"/>
            </wp:cNvGraphicFramePr>
            <a:graphic>
              <a:graphicData uri="http://schemas.openxmlformats.org/drawingml/2006/picture">
                <pic:pic>
                  <pic:nvPicPr>
                    <pic:cNvPr id="0" name="telemetry-data-flow.png"/>
                    <pic:cNvPicPr/>
                  </pic:nvPicPr>
                  <pic:blipFill>
                    <a:blip r:embed="rId9"/>
                    <a:stretch>
                      <a:fillRect/>
                    </a:stretch>
                  </pic:blipFill>
                  <pic:spPr>
                    <a:xfrm>
                      <a:off x="0" y="0"/>
                      <a:ext cx="6583680" cy="3950208"/>
                    </a:xfrm>
                    <a:prstGeom prst="rect"/>
                  </pic:spPr>
                </pic:pic>
              </a:graphicData>
            </a:graphic>
          </wp:inline>
        </w:drawing>
      </w:r>
    </w:p>
    <w:p>
      <w:pPr>
        <w:jc w:val="center"/>
      </w:pPr>
      <w:r>
        <w:rPr>
          <w:i/>
          <w:sz w:val="17"/>
        </w:rPr>
        <w:t>Figure 1. Data path from telemetry to KPI/report consumers.</w:t>
      </w:r>
    </w:p>
    <w:p>
      <w:r>
        <w:t>HumanEnerDIA stores factory/site records, machines/SEUs, high-frequency energy readings, production data, environmental context, machine status, baseline metadata, anomaly records, tariffs, carbon factors, audit records, ISO 50001 entities, model tracking, forecast output, and action plans.</w:t>
      </w:r>
    </w:p>
    <w:p>
      <w:r>
        <w:t>The first-start seed data defines two sample factories and eight sample machines across the demo and European facilities. The machine examples include Compressor-1, HVAC-Main, Conveyor-A, Hydraulic-Pump-1, Injection-Molding-1, Boiler-1, Compressor-EU-1, and HVAC-EU-North.</w:t>
      </w:r>
    </w:p>
    <w:tbl>
      <w:tblPr>
        <w:tblStyle w:val="TableGrid"/>
        <w:tblW w:type="auto" w:w="0"/>
        <w:jc w:val="center"/>
        <w:tblLook w:firstColumn="1" w:firstRow="1" w:lastColumn="0" w:lastRow="0" w:noHBand="0" w:noVBand="1" w:val="04A0"/>
      </w:tblPr>
      <w:tblGrid>
        <w:gridCol w:w="3552"/>
        <w:gridCol w:w="3552"/>
        <w:gridCol w:w="3552"/>
      </w:tblGrid>
      <w:tr>
        <w:trPr>
          <w:tblHeader w:val="true"/>
          <w:cantSplit/>
        </w:trPr>
        <w:tc>
          <w:tcPr>
            <w:tcW w:type="dxa" w:w="3552"/>
            <w:vAlign w:val="top"/>
            <w:shd w:fill="D9EAF7"/>
          </w:tcPr>
          <w:p>
            <w:r/>
            <w:r>
              <w:rPr>
                <w:b/>
                <w:sz w:val="17"/>
              </w:rPr>
              <w:t>Concept</w:t>
            </w:r>
          </w:p>
        </w:tc>
        <w:tc>
          <w:tcPr>
            <w:tcW w:type="dxa" w:w="3552"/>
            <w:vAlign w:val="top"/>
            <w:shd w:fill="D9EAF7"/>
          </w:tcPr>
          <w:p>
            <w:r/>
            <w:r>
              <w:rPr>
                <w:b/>
                <w:sz w:val="17"/>
              </w:rPr>
              <w:t>Implemented representation</w:t>
            </w:r>
          </w:p>
        </w:tc>
        <w:tc>
          <w:tcPr>
            <w:tcW w:type="dxa" w:w="3552"/>
            <w:vAlign w:val="top"/>
            <w:shd w:fill="D9EAF7"/>
          </w:tcPr>
          <w:p>
            <w:r/>
            <w:r>
              <w:rPr>
                <w:b/>
                <w:sz w:val="17"/>
              </w:rPr>
              <w:t>Evidence</w:t>
            </w:r>
          </w:p>
        </w:tc>
      </w:tr>
      <w:tr>
        <w:trPr>
          <w:cantSplit/>
        </w:trPr>
        <w:tc>
          <w:tcPr>
            <w:tcW w:type="dxa" w:w="3552"/>
            <w:vAlign w:val="top"/>
          </w:tcPr>
          <w:p>
            <w:r/>
            <w:r>
              <w:rPr>
                <w:b w:val="0"/>
                <w:sz w:val="17"/>
              </w:rPr>
              <w:t>Factories</w:t>
            </w:r>
          </w:p>
        </w:tc>
        <w:tc>
          <w:tcPr>
            <w:tcW w:type="dxa" w:w="3552"/>
            <w:vAlign w:val="top"/>
          </w:tcPr>
          <w:p>
            <w:r/>
            <w:r>
              <w:rPr>
                <w:b w:val="0"/>
                <w:sz w:val="17"/>
              </w:rPr>
              <w:t>factories table and seed data for Demo Manufacturing Plant and European Production Facility</w:t>
            </w:r>
          </w:p>
        </w:tc>
        <w:tc>
          <w:tcPr>
            <w:tcW w:type="dxa" w:w="3552"/>
            <w:vAlign w:val="top"/>
          </w:tcPr>
          <w:p>
            <w:r/>
            <w:r>
              <w:rPr>
                <w:b w:val="0"/>
                <w:sz w:val="17"/>
              </w:rPr>
              <w:t>database/init/02-schema.sql; 06-seed-data.sql</w:t>
            </w:r>
          </w:p>
        </w:tc>
      </w:tr>
      <w:tr>
        <w:trPr>
          <w:cantSplit/>
        </w:trPr>
        <w:tc>
          <w:tcPr>
            <w:tcW w:type="dxa" w:w="3552"/>
            <w:vAlign w:val="top"/>
          </w:tcPr>
          <w:p>
            <w:r/>
            <w:r>
              <w:rPr>
                <w:b w:val="0"/>
                <w:sz w:val="17"/>
              </w:rPr>
              <w:t>Machines/SEUs</w:t>
            </w:r>
          </w:p>
        </w:tc>
        <w:tc>
          <w:tcPr>
            <w:tcW w:type="dxa" w:w="3552"/>
            <w:vAlign w:val="top"/>
          </w:tcPr>
          <w:p>
            <w:r/>
            <w:r>
              <w:rPr>
                <w:b w:val="0"/>
                <w:sz w:val="17"/>
              </w:rPr>
              <w:t>machines table plus ISO-oriented seus and SEU performance tables</w:t>
            </w:r>
          </w:p>
        </w:tc>
        <w:tc>
          <w:tcPr>
            <w:tcW w:type="dxa" w:w="3552"/>
            <w:vAlign w:val="top"/>
          </w:tcPr>
          <w:p>
            <w:r/>
            <w:r>
              <w:rPr>
                <w:b w:val="0"/>
                <w:sz w:val="17"/>
              </w:rPr>
              <w:t>database/init/02-schema.sql; 07-iso50001-schema.sql</w:t>
            </w:r>
          </w:p>
        </w:tc>
      </w:tr>
      <w:tr>
        <w:trPr>
          <w:cantSplit/>
        </w:trPr>
        <w:tc>
          <w:tcPr>
            <w:tcW w:type="dxa" w:w="3552"/>
            <w:vAlign w:val="top"/>
          </w:tcPr>
          <w:p>
            <w:r/>
            <w:r>
              <w:rPr>
                <w:b w:val="0"/>
                <w:sz w:val="17"/>
              </w:rPr>
              <w:t>Energy readings</w:t>
            </w:r>
          </w:p>
        </w:tc>
        <w:tc>
          <w:tcPr>
            <w:tcW w:type="dxa" w:w="3552"/>
            <w:vAlign w:val="top"/>
          </w:tcPr>
          <w:p>
            <w:r/>
            <w:r>
              <w:rPr>
                <w:b w:val="0"/>
                <w:sz w:val="17"/>
              </w:rPr>
              <w:t>energy_readings hypertable with energy_type, power, energy, electrical quality fields, metadata</w:t>
            </w:r>
          </w:p>
        </w:tc>
        <w:tc>
          <w:tcPr>
            <w:tcW w:type="dxa" w:w="3552"/>
            <w:vAlign w:val="top"/>
          </w:tcPr>
          <w:p>
            <w:r/>
            <w:r>
              <w:rPr>
                <w:b w:val="0"/>
                <w:sz w:val="17"/>
              </w:rPr>
              <w:t>database/init/02-schema.sql; 03-timescaledb-setup.sql</w:t>
            </w:r>
          </w:p>
        </w:tc>
      </w:tr>
      <w:tr>
        <w:trPr>
          <w:cantSplit/>
        </w:trPr>
        <w:tc>
          <w:tcPr>
            <w:tcW w:type="dxa" w:w="3552"/>
            <w:vAlign w:val="top"/>
          </w:tcPr>
          <w:p>
            <w:r/>
            <w:r>
              <w:rPr>
                <w:b w:val="0"/>
                <w:sz w:val="17"/>
              </w:rPr>
              <w:t>Production data</w:t>
            </w:r>
          </w:p>
        </w:tc>
        <w:tc>
          <w:tcPr>
            <w:tcW w:type="dxa" w:w="3552"/>
            <w:vAlign w:val="top"/>
          </w:tcPr>
          <w:p>
            <w:r/>
            <w:r>
              <w:rPr>
                <w:b w:val="0"/>
                <w:sz w:val="17"/>
              </w:rPr>
              <w:t>production_data hypertable for production count, quality, throughput, mode, downtime</w:t>
            </w:r>
          </w:p>
        </w:tc>
        <w:tc>
          <w:tcPr>
            <w:tcW w:type="dxa" w:w="3552"/>
            <w:vAlign w:val="top"/>
          </w:tcPr>
          <w:p>
            <w:r/>
            <w:r>
              <w:rPr>
                <w:b w:val="0"/>
                <w:sz w:val="17"/>
              </w:rPr>
              <w:t>database/init/02-schema.sql</w:t>
            </w:r>
          </w:p>
        </w:tc>
      </w:tr>
      <w:tr>
        <w:trPr>
          <w:cantSplit/>
        </w:trPr>
        <w:tc>
          <w:tcPr>
            <w:tcW w:type="dxa" w:w="3552"/>
            <w:vAlign w:val="top"/>
          </w:tcPr>
          <w:p>
            <w:pPr>
              <w:keepNext/>
            </w:pPr>
            <w:r/>
            <w:r>
              <w:rPr>
                <w:b w:val="0"/>
                <w:sz w:val="17"/>
              </w:rPr>
              <w:t>Environmental data</w:t>
            </w:r>
          </w:p>
        </w:tc>
        <w:tc>
          <w:tcPr>
            <w:tcW w:type="dxa" w:w="3552"/>
            <w:vAlign w:val="top"/>
          </w:tcPr>
          <w:p>
            <w:pPr>
              <w:keepNext/>
            </w:pPr>
            <w:r/>
            <w:r>
              <w:rPr>
                <w:b w:val="0"/>
                <w:sz w:val="17"/>
              </w:rPr>
              <w:t>environmental_data hypertable for temperature, humidity, pressure, flow, HVAC, vibration context</w:t>
            </w:r>
          </w:p>
        </w:tc>
        <w:tc>
          <w:tcPr>
            <w:tcW w:type="dxa" w:w="3552"/>
            <w:vAlign w:val="top"/>
          </w:tcPr>
          <w:p>
            <w:pPr>
              <w:keepNext/>
            </w:pPr>
            <w:r/>
            <w:r>
              <w:rPr>
                <w:b w:val="0"/>
                <w:sz w:val="17"/>
              </w:rPr>
              <w:t>database/init/02-schema.sql</w:t>
            </w:r>
          </w:p>
        </w:tc>
      </w:tr>
      <w:tr>
        <w:trPr>
          <w:cantSplit/>
        </w:trPr>
        <w:tc>
          <w:tcPr>
            <w:tcW w:type="dxa" w:w="3552"/>
            <w:vAlign w:val="top"/>
          </w:tcPr>
          <w:p>
            <w:r/>
            <w:r>
              <w:rPr>
                <w:b w:val="0"/>
                <w:sz w:val="17"/>
              </w:rPr>
              <w:t>Energy sources</w:t>
            </w:r>
          </w:p>
        </w:tc>
        <w:tc>
          <w:tcPr>
            <w:tcW w:type="dxa" w:w="3552"/>
            <w:vAlign w:val="top"/>
          </w:tcPr>
          <w:p>
            <w:r/>
            <w:r>
              <w:rPr>
                <w:b w:val="0"/>
                <w:sz w:val="17"/>
              </w:rPr>
              <w:t>energy_sources and energy_source_features support multi-energy/source-aware modeling</w:t>
            </w:r>
          </w:p>
        </w:tc>
        <w:tc>
          <w:tcPr>
            <w:tcW w:type="dxa" w:w="3552"/>
            <w:vAlign w:val="top"/>
          </w:tcPr>
          <w:p>
            <w:r/>
            <w:r>
              <w:rPr>
                <w:b w:val="0"/>
                <w:sz w:val="17"/>
              </w:rPr>
              <w:t>database/init/07-iso50001-schema.sql; 10a-energy-source-features.sql</w:t>
            </w:r>
          </w:p>
        </w:tc>
      </w:tr>
    </w:tbl>
    <w:p/>
    <w:p>
      <w:pPr>
        <w:pStyle w:val="Heading1"/>
      </w:pPr>
      <w:r>
        <w:t>KPI Formula Evidence</w:t>
      </w:r>
    </w:p>
    <w:p>
      <w:r>
        <w:t>The following KPI formulas are implemented as database functions and wrapped by analytics/services/kpi_service.py. Some additional API routes compute aggregate factory cost/carbon estimates with constants; those should be described as route-level estimates rather than tariff/factor driven SQL functions.</w:t>
      </w:r>
    </w:p>
    <w:tbl>
      <w:tblPr>
        <w:tblStyle w:val="TableGrid"/>
        <w:tblW w:type="auto" w:w="0"/>
        <w:jc w:val="center"/>
        <w:tblLook w:firstColumn="1" w:firstRow="1" w:lastColumn="0" w:lastRow="0" w:noHBand="0" w:noVBand="1" w:val="04A0"/>
      </w:tblPr>
      <w:tblGrid>
        <w:gridCol w:w="2664"/>
        <w:gridCol w:w="2664"/>
        <w:gridCol w:w="2664"/>
        <w:gridCol w:w="2664"/>
      </w:tblGrid>
      <w:tr>
        <w:trPr>
          <w:tblHeader w:val="true"/>
          <w:cantSplit/>
        </w:trPr>
        <w:tc>
          <w:tcPr>
            <w:tcW w:type="dxa" w:w="2664"/>
            <w:vAlign w:val="top"/>
            <w:shd w:fill="D9EAF7"/>
          </w:tcPr>
          <w:p>
            <w:r/>
            <w:r>
              <w:rPr>
                <w:b/>
                <w:sz w:val="17"/>
              </w:rPr>
              <w:t>KPI</w:t>
            </w:r>
          </w:p>
        </w:tc>
        <w:tc>
          <w:tcPr>
            <w:tcW w:type="dxa" w:w="2664"/>
            <w:vAlign w:val="top"/>
            <w:shd w:fill="D9EAF7"/>
          </w:tcPr>
          <w:p>
            <w:r/>
            <w:r>
              <w:rPr>
                <w:b/>
                <w:sz w:val="17"/>
              </w:rPr>
              <w:t>Formula or calculation</w:t>
            </w:r>
          </w:p>
        </w:tc>
        <w:tc>
          <w:tcPr>
            <w:tcW w:type="dxa" w:w="2664"/>
            <w:vAlign w:val="top"/>
            <w:shd w:fill="D9EAF7"/>
          </w:tcPr>
          <w:p>
            <w:r/>
            <w:r>
              <w:rPr>
                <w:b/>
                <w:sz w:val="17"/>
              </w:rPr>
              <w:t>Implementation</w:t>
            </w:r>
          </w:p>
        </w:tc>
        <w:tc>
          <w:tcPr>
            <w:tcW w:type="dxa" w:w="2664"/>
            <w:vAlign w:val="top"/>
            <w:shd w:fill="D9EAF7"/>
          </w:tcPr>
          <w:p>
            <w:r/>
            <w:r>
              <w:rPr>
                <w:b/>
                <w:sz w:val="17"/>
              </w:rPr>
              <w:t>Evidence</w:t>
            </w:r>
          </w:p>
        </w:tc>
      </w:tr>
      <w:tr>
        <w:trPr>
          <w:cantSplit/>
        </w:trPr>
        <w:tc>
          <w:tcPr>
            <w:tcW w:type="dxa" w:w="2664"/>
            <w:vAlign w:val="top"/>
          </w:tcPr>
          <w:p>
            <w:r/>
            <w:r>
              <w:rPr>
                <w:b w:val="0"/>
                <w:sz w:val="17"/>
              </w:rPr>
              <w:t>Specific Energy Consumption</w:t>
            </w:r>
          </w:p>
        </w:tc>
        <w:tc>
          <w:tcPr>
            <w:tcW w:type="dxa" w:w="2664"/>
            <w:vAlign w:val="top"/>
          </w:tcPr>
          <w:p>
            <w:r/>
            <w:r>
              <w:rPr>
                <w:b w:val="0"/>
                <w:sz w:val="17"/>
              </w:rPr>
              <w:t>SEC = total energy kWh / total production units</w:t>
            </w:r>
          </w:p>
        </w:tc>
        <w:tc>
          <w:tcPr>
            <w:tcW w:type="dxa" w:w="2664"/>
            <w:vAlign w:val="top"/>
          </w:tcPr>
          <w:p>
            <w:r/>
            <w:r>
              <w:rPr>
                <w:b w:val="0"/>
                <w:sz w:val="17"/>
              </w:rPr>
              <w:t>calculate_sec() over energy_readings_1hour and production_data_1hour</w:t>
            </w:r>
          </w:p>
        </w:tc>
        <w:tc>
          <w:tcPr>
            <w:tcW w:type="dxa" w:w="2664"/>
            <w:vAlign w:val="top"/>
          </w:tcPr>
          <w:p>
            <w:r/>
            <w:r>
              <w:rPr>
                <w:b w:val="0"/>
                <w:sz w:val="17"/>
              </w:rPr>
              <w:t>database/init/04-functions.sql; /api/v1/kpi/sec</w:t>
            </w:r>
          </w:p>
        </w:tc>
      </w:tr>
      <w:tr>
        <w:trPr>
          <w:cantSplit/>
        </w:trPr>
        <w:tc>
          <w:tcPr>
            <w:tcW w:type="dxa" w:w="2664"/>
            <w:vAlign w:val="top"/>
          </w:tcPr>
          <w:p>
            <w:r/>
            <w:r>
              <w:rPr>
                <w:b w:val="0"/>
                <w:sz w:val="17"/>
              </w:rPr>
              <w:t>Peak demand</w:t>
            </w:r>
          </w:p>
        </w:tc>
        <w:tc>
          <w:tcPr>
            <w:tcW w:type="dxa" w:w="2664"/>
            <w:vAlign w:val="top"/>
          </w:tcPr>
          <w:p>
            <w:r/>
            <w:r>
              <w:rPr>
                <w:b w:val="0"/>
                <w:sz w:val="17"/>
              </w:rPr>
              <w:t>Maximum 15-minute peak_demand_kw in selected period</w:t>
            </w:r>
          </w:p>
        </w:tc>
        <w:tc>
          <w:tcPr>
            <w:tcW w:type="dxa" w:w="2664"/>
            <w:vAlign w:val="top"/>
          </w:tcPr>
          <w:p>
            <w:r/>
            <w:r>
              <w:rPr>
                <w:b w:val="0"/>
                <w:sz w:val="17"/>
              </w:rPr>
              <w:t>calculate_peak_demand() over energy_readings_15min</w:t>
            </w:r>
          </w:p>
        </w:tc>
        <w:tc>
          <w:tcPr>
            <w:tcW w:type="dxa" w:w="2664"/>
            <w:vAlign w:val="top"/>
          </w:tcPr>
          <w:p>
            <w:r/>
            <w:r>
              <w:rPr>
                <w:b w:val="0"/>
                <w:sz w:val="17"/>
              </w:rPr>
              <w:t>database/init/04-functions.sql; /api/v1/kpi/peak-demand</w:t>
            </w:r>
          </w:p>
        </w:tc>
      </w:tr>
      <w:tr>
        <w:trPr>
          <w:cantSplit/>
        </w:trPr>
        <w:tc>
          <w:tcPr>
            <w:tcW w:type="dxa" w:w="2664"/>
            <w:vAlign w:val="top"/>
          </w:tcPr>
          <w:p>
            <w:r/>
            <w:r>
              <w:rPr>
                <w:b w:val="0"/>
                <w:sz w:val="17"/>
              </w:rPr>
              <w:t>Load factor</w:t>
            </w:r>
          </w:p>
        </w:tc>
        <w:tc>
          <w:tcPr>
            <w:tcW w:type="dxa" w:w="2664"/>
            <w:vAlign w:val="top"/>
          </w:tcPr>
          <w:p>
            <w:r/>
            <w:r>
              <w:rPr>
                <w:b w:val="0"/>
                <w:sz w:val="17"/>
              </w:rPr>
              <w:t>Average power divided by maximum power</w:t>
            </w:r>
          </w:p>
        </w:tc>
        <w:tc>
          <w:tcPr>
            <w:tcW w:type="dxa" w:w="2664"/>
            <w:vAlign w:val="top"/>
          </w:tcPr>
          <w:p>
            <w:r/>
            <w:r>
              <w:rPr>
                <w:b w:val="0"/>
                <w:sz w:val="17"/>
              </w:rPr>
              <w:t>calculate_load_factor() over energy_readings_15min</w:t>
            </w:r>
          </w:p>
        </w:tc>
        <w:tc>
          <w:tcPr>
            <w:tcW w:type="dxa" w:w="2664"/>
            <w:vAlign w:val="top"/>
          </w:tcPr>
          <w:p>
            <w:r/>
            <w:r>
              <w:rPr>
                <w:b w:val="0"/>
                <w:sz w:val="17"/>
              </w:rPr>
              <w:t>database/init/04-functions.sql; /api/v1/kpi/load-factor</w:t>
            </w:r>
          </w:p>
        </w:tc>
      </w:tr>
      <w:tr>
        <w:trPr>
          <w:cantSplit/>
        </w:trPr>
        <w:tc>
          <w:tcPr>
            <w:tcW w:type="dxa" w:w="2664"/>
            <w:vAlign w:val="top"/>
          </w:tcPr>
          <w:p>
            <w:r/>
            <w:r>
              <w:rPr>
                <w:b w:val="0"/>
                <w:sz w:val="17"/>
              </w:rPr>
              <w:t>Energy cost</w:t>
            </w:r>
          </w:p>
        </w:tc>
        <w:tc>
          <w:tcPr>
            <w:tcW w:type="dxa" w:w="2664"/>
            <w:vAlign w:val="top"/>
          </w:tcPr>
          <w:p>
            <w:r/>
            <w:r>
              <w:rPr>
                <w:b w:val="0"/>
                <w:sz w:val="17"/>
              </w:rPr>
              <w:t>Energy multiplied by tariff rate; active time-of-use tariff selected when configured</w:t>
            </w:r>
          </w:p>
        </w:tc>
        <w:tc>
          <w:tcPr>
            <w:tcW w:type="dxa" w:w="2664"/>
            <w:vAlign w:val="top"/>
          </w:tcPr>
          <w:p>
            <w:r/>
            <w:r>
              <w:rPr>
                <w:b w:val="0"/>
                <w:sz w:val="17"/>
              </w:rPr>
              <w:t>calculate_energy_cost() queries energy_tariffs with default fallback rate</w:t>
            </w:r>
          </w:p>
        </w:tc>
        <w:tc>
          <w:tcPr>
            <w:tcW w:type="dxa" w:w="2664"/>
            <w:vAlign w:val="top"/>
          </w:tcPr>
          <w:p>
            <w:r/>
            <w:r>
              <w:rPr>
                <w:b w:val="0"/>
                <w:sz w:val="17"/>
              </w:rPr>
              <w:t>database/init/04-functions.sql; /api/v1/kpi/energy-cost</w:t>
            </w:r>
          </w:p>
        </w:tc>
      </w:tr>
      <w:tr>
        <w:trPr>
          <w:cantSplit/>
        </w:trPr>
        <w:tc>
          <w:tcPr>
            <w:tcW w:type="dxa" w:w="2664"/>
            <w:vAlign w:val="top"/>
          </w:tcPr>
          <w:p>
            <w:pPr>
              <w:keepNext/>
            </w:pPr>
            <w:r/>
            <w:r>
              <w:rPr>
                <w:b w:val="0"/>
                <w:sz w:val="17"/>
              </w:rPr>
              <w:t>Carbon intensity/emissions</w:t>
            </w:r>
          </w:p>
        </w:tc>
        <w:tc>
          <w:tcPr>
            <w:tcW w:type="dxa" w:w="2664"/>
            <w:vAlign w:val="top"/>
          </w:tcPr>
          <w:p>
            <w:pPr>
              <w:keepNext/>
            </w:pPr>
            <w:r/>
            <w:r>
              <w:rPr>
                <w:b w:val="0"/>
                <w:sz w:val="17"/>
              </w:rPr>
              <w:t>Energy multiplied by active carbon factor, with default factor fallback</w:t>
            </w:r>
          </w:p>
        </w:tc>
        <w:tc>
          <w:tcPr>
            <w:tcW w:type="dxa" w:w="2664"/>
            <w:vAlign w:val="top"/>
          </w:tcPr>
          <w:p>
            <w:pPr>
              <w:keepNext/>
            </w:pPr>
            <w:r/>
            <w:r>
              <w:rPr>
                <w:b w:val="0"/>
                <w:sz w:val="17"/>
              </w:rPr>
              <w:t>calculate_carbon_intensity() queries carbon_factors</w:t>
            </w:r>
          </w:p>
        </w:tc>
        <w:tc>
          <w:tcPr>
            <w:tcW w:type="dxa" w:w="2664"/>
            <w:vAlign w:val="top"/>
          </w:tcPr>
          <w:p>
            <w:pPr>
              <w:keepNext/>
            </w:pPr>
            <w:r/>
            <w:r>
              <w:rPr>
                <w:b w:val="0"/>
                <w:sz w:val="17"/>
              </w:rPr>
              <w:t>database/init/04-functions.sql; /api/v1/kpi/carbon</w:t>
            </w:r>
          </w:p>
        </w:tc>
      </w:tr>
      <w:tr>
        <w:trPr>
          <w:cantSplit/>
        </w:trPr>
        <w:tc>
          <w:tcPr>
            <w:tcW w:type="dxa" w:w="2664"/>
            <w:vAlign w:val="top"/>
          </w:tcPr>
          <w:p>
            <w:r/>
            <w:r>
              <w:rPr>
                <w:b w:val="0"/>
                <w:sz w:val="17"/>
              </w:rPr>
              <w:t>Combined KPI response</w:t>
            </w:r>
          </w:p>
        </w:tc>
        <w:tc>
          <w:tcPr>
            <w:tcW w:type="dxa" w:w="2664"/>
            <w:vAlign w:val="top"/>
          </w:tcPr>
          <w:p>
            <w:r/>
            <w:r>
              <w:rPr>
                <w:b w:val="0"/>
                <w:sz w:val="17"/>
              </w:rPr>
              <w:t>Aggregates SEC, peak demand, load factor, cost, and carbon</w:t>
            </w:r>
          </w:p>
        </w:tc>
        <w:tc>
          <w:tcPr>
            <w:tcW w:type="dxa" w:w="2664"/>
            <w:vAlign w:val="top"/>
          </w:tcPr>
          <w:p>
            <w:r/>
            <w:r>
              <w:rPr>
                <w:b w:val="0"/>
                <w:sz w:val="17"/>
              </w:rPr>
              <w:t>calculate_all_kpis() and KPIService.calculate_all_kpis()</w:t>
            </w:r>
          </w:p>
        </w:tc>
        <w:tc>
          <w:tcPr>
            <w:tcW w:type="dxa" w:w="2664"/>
            <w:vAlign w:val="top"/>
          </w:tcPr>
          <w:p>
            <w:r/>
            <w:r>
              <w:rPr>
                <w:b w:val="0"/>
                <w:sz w:val="17"/>
              </w:rPr>
              <w:t>database/init/04-functions.sql; analytics/services/kpi_service.py</w:t>
            </w:r>
          </w:p>
        </w:tc>
      </w:tr>
    </w:tbl>
    <w:p/>
    <w:p>
      <w:pPr>
        <w:pStyle w:val="Heading1"/>
      </w:pPr>
      <w:r>
        <w:t>KPI Catalog And Classification</w:t>
      </w:r>
    </w:p>
    <w:p>
      <w:r>
        <w:t>This catalog distinguishes implemented KPI formulas from configured dashboard/reporting views and route-level estimates. It is intentionally conservative so stakeholder readers can see which measures are calculation-backed and which require review before formal use.</w:t>
      </w:r>
    </w:p>
    <w:tbl>
      <w:tblPr>
        <w:tblStyle w:val="TableGrid"/>
        <w:tblW w:type="auto" w:w="0"/>
        <w:jc w:val="center"/>
        <w:tblLook w:firstColumn="1" w:firstRow="1" w:lastColumn="0" w:lastRow="0" w:noHBand="0" w:noVBand="1" w:val="04A0"/>
      </w:tblPr>
      <w:tblGrid>
        <w:gridCol w:w="2664"/>
        <w:gridCol w:w="2664"/>
        <w:gridCol w:w="2664"/>
        <w:gridCol w:w="2664"/>
      </w:tblGrid>
      <w:tr>
        <w:trPr>
          <w:tblHeader w:val="true"/>
          <w:cantSplit/>
        </w:trPr>
        <w:tc>
          <w:tcPr>
            <w:tcW w:type="dxa" w:w="2664"/>
            <w:vAlign w:val="top"/>
            <w:shd w:fill="D9EAF7"/>
          </w:tcPr>
          <w:p>
            <w:r/>
            <w:r>
              <w:rPr>
                <w:b/>
                <w:sz w:val="17"/>
              </w:rPr>
              <w:t>KPI/reporting item</w:t>
            </w:r>
          </w:p>
        </w:tc>
        <w:tc>
          <w:tcPr>
            <w:tcW w:type="dxa" w:w="2664"/>
            <w:vAlign w:val="top"/>
            <w:shd w:fill="D9EAF7"/>
          </w:tcPr>
          <w:p>
            <w:r/>
            <w:r>
              <w:rPr>
                <w:b/>
                <w:sz w:val="17"/>
              </w:rPr>
              <w:t>Classification</w:t>
            </w:r>
          </w:p>
        </w:tc>
        <w:tc>
          <w:tcPr>
            <w:tcW w:type="dxa" w:w="2664"/>
            <w:vAlign w:val="top"/>
            <w:shd w:fill="D9EAF7"/>
          </w:tcPr>
          <w:p>
            <w:r/>
            <w:r>
              <w:rPr>
                <w:b/>
                <w:sz w:val="17"/>
              </w:rPr>
              <w:t>Implementation basis</w:t>
            </w:r>
          </w:p>
        </w:tc>
        <w:tc>
          <w:tcPr>
            <w:tcW w:type="dxa" w:w="2664"/>
            <w:vAlign w:val="top"/>
            <w:shd w:fill="D9EAF7"/>
          </w:tcPr>
          <w:p>
            <w:r/>
            <w:r>
              <w:rPr>
                <w:b/>
                <w:sz w:val="17"/>
              </w:rPr>
              <w:t>Caution</w:t>
            </w:r>
          </w:p>
        </w:tc>
      </w:tr>
      <w:tr>
        <w:trPr>
          <w:cantSplit/>
        </w:trPr>
        <w:tc>
          <w:tcPr>
            <w:tcW w:type="dxa" w:w="2664"/>
            <w:vAlign w:val="top"/>
          </w:tcPr>
          <w:p>
            <w:r/>
            <w:r>
              <w:rPr>
                <w:b w:val="0"/>
                <w:sz w:val="17"/>
              </w:rPr>
              <w:t>SEC</w:t>
            </w:r>
          </w:p>
        </w:tc>
        <w:tc>
          <w:tcPr>
            <w:tcW w:type="dxa" w:w="2664"/>
            <w:vAlign w:val="top"/>
          </w:tcPr>
          <w:p>
            <w:r/>
            <w:r>
              <w:rPr>
                <w:b w:val="0"/>
                <w:sz w:val="17"/>
              </w:rPr>
              <w:t>Supported by implementation</w:t>
            </w:r>
          </w:p>
        </w:tc>
        <w:tc>
          <w:tcPr>
            <w:tcW w:type="dxa" w:w="2664"/>
            <w:vAlign w:val="top"/>
          </w:tcPr>
          <w:p>
            <w:r/>
            <w:r>
              <w:rPr>
                <w:b w:val="0"/>
                <w:sz w:val="17"/>
              </w:rPr>
              <w:t>calculate_sec SQL function and /api/v1/kpi/sec route</w:t>
            </w:r>
          </w:p>
        </w:tc>
        <w:tc>
          <w:tcPr>
            <w:tcW w:type="dxa" w:w="2664"/>
            <w:vAlign w:val="top"/>
          </w:tcPr>
          <w:p>
            <w:r/>
            <w:r>
              <w:rPr>
                <w:b w:val="0"/>
                <w:sz w:val="17"/>
              </w:rPr>
              <w:t>Requires energy and production aggregate data for the selected period.</w:t>
            </w:r>
          </w:p>
        </w:tc>
      </w:tr>
      <w:tr>
        <w:trPr>
          <w:cantSplit/>
        </w:trPr>
        <w:tc>
          <w:tcPr>
            <w:tcW w:type="dxa" w:w="2664"/>
            <w:vAlign w:val="top"/>
          </w:tcPr>
          <w:p>
            <w:r/>
            <w:r>
              <w:rPr>
                <w:b w:val="0"/>
                <w:sz w:val="17"/>
              </w:rPr>
              <w:t>Peak demand</w:t>
            </w:r>
          </w:p>
        </w:tc>
        <w:tc>
          <w:tcPr>
            <w:tcW w:type="dxa" w:w="2664"/>
            <w:vAlign w:val="top"/>
          </w:tcPr>
          <w:p>
            <w:r/>
            <w:r>
              <w:rPr>
                <w:b w:val="0"/>
                <w:sz w:val="17"/>
              </w:rPr>
              <w:t>Supported by implementation</w:t>
            </w:r>
          </w:p>
        </w:tc>
        <w:tc>
          <w:tcPr>
            <w:tcW w:type="dxa" w:w="2664"/>
            <w:vAlign w:val="top"/>
          </w:tcPr>
          <w:p>
            <w:r/>
            <w:r>
              <w:rPr>
                <w:b w:val="0"/>
                <w:sz w:val="17"/>
              </w:rPr>
              <w:t>calculate_peak_demand SQL function and route</w:t>
            </w:r>
          </w:p>
        </w:tc>
        <w:tc>
          <w:tcPr>
            <w:tcW w:type="dxa" w:w="2664"/>
            <w:vAlign w:val="top"/>
          </w:tcPr>
          <w:p>
            <w:r/>
            <w:r>
              <w:rPr>
                <w:b w:val="0"/>
                <w:sz w:val="17"/>
              </w:rPr>
              <w:t>Uses 15-minute aggregate peak_demand_kw.</w:t>
            </w:r>
          </w:p>
        </w:tc>
      </w:tr>
      <w:tr>
        <w:trPr>
          <w:cantSplit/>
        </w:trPr>
        <w:tc>
          <w:tcPr>
            <w:tcW w:type="dxa" w:w="2664"/>
            <w:vAlign w:val="top"/>
          </w:tcPr>
          <w:p>
            <w:r/>
            <w:r>
              <w:rPr>
                <w:b w:val="0"/>
                <w:sz w:val="17"/>
              </w:rPr>
              <w:t>Load factor</w:t>
            </w:r>
          </w:p>
        </w:tc>
        <w:tc>
          <w:tcPr>
            <w:tcW w:type="dxa" w:w="2664"/>
            <w:vAlign w:val="top"/>
          </w:tcPr>
          <w:p>
            <w:r/>
            <w:r>
              <w:rPr>
                <w:b w:val="0"/>
                <w:sz w:val="17"/>
              </w:rPr>
              <w:t>Supported by implementation</w:t>
            </w:r>
          </w:p>
        </w:tc>
        <w:tc>
          <w:tcPr>
            <w:tcW w:type="dxa" w:w="2664"/>
            <w:vAlign w:val="top"/>
          </w:tcPr>
          <w:p>
            <w:r/>
            <w:r>
              <w:rPr>
                <w:b w:val="0"/>
                <w:sz w:val="17"/>
              </w:rPr>
              <w:t>calculate_load_factor SQL function and route</w:t>
            </w:r>
          </w:p>
        </w:tc>
        <w:tc>
          <w:tcPr>
            <w:tcW w:type="dxa" w:w="2664"/>
            <w:vAlign w:val="top"/>
          </w:tcPr>
          <w:p>
            <w:r/>
            <w:r>
              <w:rPr>
                <w:b w:val="0"/>
                <w:sz w:val="17"/>
              </w:rPr>
              <w:t>Depends on average/max power availability.</w:t>
            </w:r>
          </w:p>
        </w:tc>
      </w:tr>
      <w:tr>
        <w:trPr>
          <w:cantSplit/>
        </w:trPr>
        <w:tc>
          <w:tcPr>
            <w:tcW w:type="dxa" w:w="2664"/>
            <w:vAlign w:val="top"/>
          </w:tcPr>
          <w:p>
            <w:r/>
            <w:r>
              <w:rPr>
                <w:b w:val="0"/>
                <w:sz w:val="17"/>
              </w:rPr>
              <w:t>Energy cost</w:t>
            </w:r>
          </w:p>
        </w:tc>
        <w:tc>
          <w:tcPr>
            <w:tcW w:type="dxa" w:w="2664"/>
            <w:vAlign w:val="top"/>
          </w:tcPr>
          <w:p>
            <w:r/>
            <w:r>
              <w:rPr>
                <w:b w:val="0"/>
                <w:sz w:val="17"/>
              </w:rPr>
              <w:t>Supported by implementation</w:t>
            </w:r>
          </w:p>
        </w:tc>
        <w:tc>
          <w:tcPr>
            <w:tcW w:type="dxa" w:w="2664"/>
            <w:vAlign w:val="top"/>
          </w:tcPr>
          <w:p>
            <w:r/>
            <w:r>
              <w:rPr>
                <w:b w:val="0"/>
                <w:sz w:val="17"/>
              </w:rPr>
              <w:t>calculate_energy_cost SQL function and service wrapper</w:t>
            </w:r>
          </w:p>
        </w:tc>
        <w:tc>
          <w:tcPr>
            <w:tcW w:type="dxa" w:w="2664"/>
            <w:vAlign w:val="top"/>
          </w:tcPr>
          <w:p>
            <w:r/>
            <w:r>
              <w:rPr>
                <w:b w:val="0"/>
                <w:sz w:val="17"/>
              </w:rPr>
              <w:t>Uses active tariff rows when present and default fallback in SQL.</w:t>
            </w:r>
          </w:p>
        </w:tc>
      </w:tr>
      <w:tr>
        <w:trPr>
          <w:cantSplit/>
        </w:trPr>
        <w:tc>
          <w:tcPr>
            <w:tcW w:type="dxa" w:w="2664"/>
            <w:vAlign w:val="top"/>
          </w:tcPr>
          <w:p>
            <w:r/>
            <w:r>
              <w:rPr>
                <w:b w:val="0"/>
                <w:sz w:val="17"/>
              </w:rPr>
              <w:t>Carbon intensity/emissions</w:t>
            </w:r>
          </w:p>
        </w:tc>
        <w:tc>
          <w:tcPr>
            <w:tcW w:type="dxa" w:w="2664"/>
            <w:vAlign w:val="top"/>
          </w:tcPr>
          <w:p>
            <w:r/>
            <w:r>
              <w:rPr>
                <w:b w:val="0"/>
                <w:sz w:val="17"/>
              </w:rPr>
              <w:t>Supported by implementation</w:t>
            </w:r>
          </w:p>
        </w:tc>
        <w:tc>
          <w:tcPr>
            <w:tcW w:type="dxa" w:w="2664"/>
            <w:vAlign w:val="top"/>
          </w:tcPr>
          <w:p>
            <w:r/>
            <w:r>
              <w:rPr>
                <w:b w:val="0"/>
                <w:sz w:val="17"/>
              </w:rPr>
              <w:t>calculate_carbon_intensity SQL function and carbon route</w:t>
            </w:r>
          </w:p>
        </w:tc>
        <w:tc>
          <w:tcPr>
            <w:tcW w:type="dxa" w:w="2664"/>
            <w:vAlign w:val="top"/>
          </w:tcPr>
          <w:p>
            <w:r/>
            <w:r>
              <w:rPr>
                <w:b w:val="0"/>
                <w:sz w:val="17"/>
              </w:rPr>
              <w:t>Uses carbon_factors with fallback factor; not independent emissions assurance.</w:t>
            </w:r>
          </w:p>
        </w:tc>
      </w:tr>
      <w:tr>
        <w:trPr>
          <w:cantSplit/>
        </w:trPr>
        <w:tc>
          <w:tcPr>
            <w:tcW w:type="dxa" w:w="2664"/>
            <w:vAlign w:val="top"/>
          </w:tcPr>
          <w:p>
            <w:r/>
            <w:r>
              <w:rPr>
                <w:b w:val="0"/>
                <w:sz w:val="17"/>
              </w:rPr>
              <w:t>Factory KPI rollups</w:t>
            </w:r>
          </w:p>
        </w:tc>
        <w:tc>
          <w:tcPr>
            <w:tcW w:type="dxa" w:w="2664"/>
            <w:vAlign w:val="top"/>
          </w:tcPr>
          <w:p>
            <w:r/>
            <w:r>
              <w:rPr>
                <w:b w:val="0"/>
                <w:sz w:val="17"/>
              </w:rPr>
              <w:t>Implemented/configured</w:t>
            </w:r>
          </w:p>
        </w:tc>
        <w:tc>
          <w:tcPr>
            <w:tcW w:type="dxa" w:w="2664"/>
            <w:vAlign w:val="top"/>
          </w:tcPr>
          <w:p>
            <w:r/>
            <w:r>
              <w:rPr>
                <w:b w:val="0"/>
                <w:sz w:val="17"/>
              </w:rPr>
              <w:t>/api/v1/kpi/factory/{factory_id} and /api/v1/kpi/factories</w:t>
            </w:r>
          </w:p>
        </w:tc>
        <w:tc>
          <w:tcPr>
            <w:tcW w:type="dxa" w:w="2664"/>
            <w:vAlign w:val="top"/>
          </w:tcPr>
          <w:p>
            <w:r/>
            <w:r>
              <w:rPr>
                <w:b w:val="0"/>
                <w:sz w:val="17"/>
              </w:rPr>
              <w:t>Some route-level estimates use constants or aggregate assumptions; review before audit use.</w:t>
            </w:r>
          </w:p>
        </w:tc>
      </w:tr>
      <w:tr>
        <w:trPr>
          <w:cantSplit/>
        </w:trPr>
        <w:tc>
          <w:tcPr>
            <w:tcW w:type="dxa" w:w="2664"/>
            <w:vAlign w:val="top"/>
          </w:tcPr>
          <w:p>
            <w:pPr>
              <w:keepNext/>
            </w:pPr>
            <w:r/>
            <w:r>
              <w:rPr>
                <w:b w:val="0"/>
                <w:sz w:val="17"/>
              </w:rPr>
              <w:t>Model performance KPIs</w:t>
            </w:r>
          </w:p>
        </w:tc>
        <w:tc>
          <w:tcPr>
            <w:tcW w:type="dxa" w:w="2664"/>
            <w:vAlign w:val="top"/>
          </w:tcPr>
          <w:p>
            <w:pPr>
              <w:keepNext/>
            </w:pPr>
            <w:r/>
            <w:r>
              <w:rPr>
                <w:b w:val="0"/>
                <w:sz w:val="17"/>
              </w:rPr>
              <w:t>Implemented/configured</w:t>
            </w:r>
          </w:p>
        </w:tc>
        <w:tc>
          <w:tcPr>
            <w:tcW w:type="dxa" w:w="2664"/>
            <w:vAlign w:val="top"/>
          </w:tcPr>
          <w:p>
            <w:pPr>
              <w:keepNext/>
            </w:pPr>
            <w:r/>
            <w:r>
              <w:rPr>
                <w:b w:val="0"/>
                <w:sz w:val="17"/>
              </w:rPr>
              <w:t>model_performance routes and dashboards</w:t>
            </w:r>
          </w:p>
        </w:tc>
        <w:tc>
          <w:tcPr>
            <w:tcW w:type="dxa" w:w="2664"/>
            <w:vAlign w:val="top"/>
          </w:tcPr>
          <w:p>
            <w:pPr>
              <w:keepNext/>
            </w:pPr>
            <w:r/>
            <w:r>
              <w:rPr>
                <w:b w:val="0"/>
                <w:sz w:val="17"/>
              </w:rPr>
              <w:t>R2/RMSE/MAPE-style metrics depend on recorded model history.</w:t>
            </w:r>
          </w:p>
        </w:tc>
      </w:tr>
      <w:tr>
        <w:trPr>
          <w:cantSplit/>
        </w:trPr>
        <w:tc>
          <w:tcPr>
            <w:tcW w:type="dxa" w:w="2664"/>
            <w:vAlign w:val="top"/>
          </w:tcPr>
          <w:p>
            <w:r/>
            <w:r>
              <w:rPr>
                <w:b w:val="0"/>
                <w:sz w:val="17"/>
              </w:rPr>
              <w:t>Operational efficiency/OEE</w:t>
            </w:r>
          </w:p>
        </w:tc>
        <w:tc>
          <w:tcPr>
            <w:tcW w:type="dxa" w:w="2664"/>
            <w:vAlign w:val="top"/>
          </w:tcPr>
          <w:p>
            <w:r/>
            <w:r>
              <w:rPr>
                <w:b w:val="0"/>
                <w:sz w:val="17"/>
              </w:rPr>
              <w:t>Configured dashboard/reporting view</w:t>
            </w:r>
          </w:p>
        </w:tc>
        <w:tc>
          <w:tcPr>
            <w:tcW w:type="dxa" w:w="2664"/>
            <w:vAlign w:val="top"/>
          </w:tcPr>
          <w:p>
            <w:r/>
            <w:r>
              <w:rPr>
                <w:b w:val="0"/>
                <w:sz w:val="17"/>
              </w:rPr>
              <w:t>Grafana operational-efficiency dashboards and production route</w:t>
            </w:r>
          </w:p>
        </w:tc>
        <w:tc>
          <w:tcPr>
            <w:tcW w:type="dxa" w:w="2664"/>
            <w:vAlign w:val="top"/>
          </w:tcPr>
          <w:p>
            <w:r/>
            <w:r>
              <w:rPr>
                <w:b w:val="0"/>
                <w:sz w:val="17"/>
              </w:rPr>
              <w:t>Dashboard SQL should be reviewed before formal operational reporting.</w:t>
            </w:r>
          </w:p>
        </w:tc>
      </w:tr>
    </w:tbl>
    <w:p/>
    <w:p>
      <w:pPr>
        <w:pStyle w:val="Heading1"/>
      </w:pPr>
      <w:r>
        <w:t>Analytics Endpoints And Modules</w:t>
      </w:r>
    </w:p>
    <w:tbl>
      <w:tblPr>
        <w:tblStyle w:val="TableGrid"/>
        <w:tblW w:type="auto" w:w="0"/>
        <w:jc w:val="center"/>
        <w:tblLook w:firstColumn="1" w:firstRow="1" w:lastColumn="0" w:lastRow="0" w:noHBand="0" w:noVBand="1" w:val="04A0"/>
      </w:tblPr>
      <w:tblGrid>
        <w:gridCol w:w="3552"/>
        <w:gridCol w:w="3552"/>
        <w:gridCol w:w="3552"/>
      </w:tblGrid>
      <w:tr>
        <w:trPr>
          <w:tblHeader w:val="true"/>
          <w:cantSplit/>
        </w:trPr>
        <w:tc>
          <w:tcPr>
            <w:tcW w:type="dxa" w:w="3552"/>
            <w:vAlign w:val="top"/>
            <w:shd w:fill="D9EAF7"/>
          </w:tcPr>
          <w:p>
            <w:r/>
            <w:r>
              <w:rPr>
                <w:b/>
                <w:sz w:val="17"/>
              </w:rPr>
              <w:t>Capability area</w:t>
            </w:r>
          </w:p>
        </w:tc>
        <w:tc>
          <w:tcPr>
            <w:tcW w:type="dxa" w:w="3552"/>
            <w:vAlign w:val="top"/>
            <w:shd w:fill="D9EAF7"/>
          </w:tcPr>
          <w:p>
            <w:r/>
            <w:r>
              <w:rPr>
                <w:b/>
                <w:sz w:val="17"/>
              </w:rPr>
              <w:t>Implemented routes/modules</w:t>
            </w:r>
          </w:p>
        </w:tc>
        <w:tc>
          <w:tcPr>
            <w:tcW w:type="dxa" w:w="3552"/>
            <w:vAlign w:val="top"/>
            <w:shd w:fill="D9EAF7"/>
          </w:tcPr>
          <w:p>
            <w:r/>
            <w:r>
              <w:rPr>
                <w:b/>
                <w:sz w:val="17"/>
              </w:rPr>
              <w:t>Notes</w:t>
            </w:r>
          </w:p>
        </w:tc>
      </w:tr>
      <w:tr>
        <w:trPr>
          <w:cantSplit/>
        </w:trPr>
        <w:tc>
          <w:tcPr>
            <w:tcW w:type="dxa" w:w="3552"/>
            <w:vAlign w:val="top"/>
          </w:tcPr>
          <w:p>
            <w:r/>
            <w:r>
              <w:rPr>
                <w:b w:val="0"/>
                <w:sz w:val="17"/>
              </w:rPr>
              <w:t>KPI</w:t>
            </w:r>
          </w:p>
        </w:tc>
        <w:tc>
          <w:tcPr>
            <w:tcW w:type="dxa" w:w="3552"/>
            <w:vAlign w:val="top"/>
          </w:tcPr>
          <w:p>
            <w:r/>
            <w:r>
              <w:rPr>
                <w:b w:val="0"/>
                <w:sz w:val="17"/>
              </w:rPr>
              <w:t>/api/v1/kpi/sec, /factory, /factories, /peak-demand, /load-factor, /energy-cost, /carbon, /all</w:t>
            </w:r>
          </w:p>
        </w:tc>
        <w:tc>
          <w:tcPr>
            <w:tcW w:type="dxa" w:w="3552"/>
            <w:vAlign w:val="top"/>
          </w:tcPr>
          <w:p>
            <w:r/>
            <w:r>
              <w:rPr>
                <w:b w:val="0"/>
                <w:sz w:val="17"/>
              </w:rPr>
              <w:t>Machine and factory KPI endpoints exist; formulas vary by endpoint.</w:t>
            </w:r>
          </w:p>
        </w:tc>
      </w:tr>
      <w:tr>
        <w:trPr>
          <w:cantSplit/>
        </w:trPr>
        <w:tc>
          <w:tcPr>
            <w:tcW w:type="dxa" w:w="3552"/>
            <w:vAlign w:val="top"/>
          </w:tcPr>
          <w:p>
            <w:r/>
            <w:r>
              <w:rPr>
                <w:b w:val="0"/>
                <w:sz w:val="17"/>
              </w:rPr>
              <w:t>Baselines</w:t>
            </w:r>
          </w:p>
        </w:tc>
        <w:tc>
          <w:tcPr>
            <w:tcW w:type="dxa" w:w="3552"/>
            <w:vAlign w:val="top"/>
          </w:tcPr>
          <w:p>
            <w:r/>
            <w:r>
              <w:rPr>
                <w:b w:val="0"/>
                <w:sz w:val="17"/>
              </w:rPr>
              <w:t>/baseline/train, /deviation, /predict, /models, /drivers, /train-seu</w:t>
            </w:r>
          </w:p>
        </w:tc>
        <w:tc>
          <w:tcPr>
            <w:tcW w:type="dxa" w:w="3552"/>
            <w:vAlign w:val="top"/>
          </w:tcPr>
          <w:p>
            <w:r/>
            <w:r>
              <w:rPr>
                <w:b w:val="0"/>
                <w:sz w:val="17"/>
              </w:rPr>
              <w:t>ML baseline model metadata and saved model files are present.</w:t>
            </w:r>
          </w:p>
        </w:tc>
      </w:tr>
      <w:tr>
        <w:trPr>
          <w:cantSplit/>
        </w:trPr>
        <w:tc>
          <w:tcPr>
            <w:tcW w:type="dxa" w:w="3552"/>
            <w:vAlign w:val="top"/>
          </w:tcPr>
          <w:p>
            <w:r/>
            <w:r>
              <w:rPr>
                <w:b w:val="0"/>
                <w:sz w:val="17"/>
              </w:rPr>
              <w:t>Forecasts</w:t>
            </w:r>
          </w:p>
        </w:tc>
        <w:tc>
          <w:tcPr>
            <w:tcW w:type="dxa" w:w="3552"/>
            <w:vAlign w:val="top"/>
          </w:tcPr>
          <w:p>
            <w:r/>
            <w:r>
              <w:rPr>
                <w:b w:val="0"/>
                <w:sz w:val="17"/>
              </w:rPr>
              <w:t>/forecast/train/arima, /train/prophet, /predict, /demand, /optimal-schedule, /models, /peak, /short-term</w:t>
            </w:r>
          </w:p>
        </w:tc>
        <w:tc>
          <w:tcPr>
            <w:tcW w:type="dxa" w:w="3552"/>
            <w:vAlign w:val="top"/>
          </w:tcPr>
          <w:p>
            <w:r/>
            <w:r>
              <w:rPr>
                <w:b w:val="0"/>
                <w:sz w:val="17"/>
              </w:rPr>
              <w:t>Uses forecasting model modules and forecast prediction tables.</w:t>
            </w:r>
          </w:p>
        </w:tc>
      </w:tr>
      <w:tr>
        <w:trPr>
          <w:cantSplit/>
        </w:trPr>
        <w:tc>
          <w:tcPr>
            <w:tcW w:type="dxa" w:w="3552"/>
            <w:vAlign w:val="top"/>
          </w:tcPr>
          <w:p>
            <w:r/>
            <w:r>
              <w:rPr>
                <w:b w:val="0"/>
                <w:sz w:val="17"/>
              </w:rPr>
              <w:t>Anomalies</w:t>
            </w:r>
          </w:p>
        </w:tc>
        <w:tc>
          <w:tcPr>
            <w:tcW w:type="dxa" w:w="3552"/>
            <w:vAlign w:val="top"/>
          </w:tcPr>
          <w:p>
            <w:r/>
            <w:r>
              <w:rPr>
                <w:b w:val="0"/>
                <w:sz w:val="17"/>
              </w:rPr>
              <w:t>/anomaly/create, /detect, /search, /recent, /active, /resolve</w:t>
            </w:r>
          </w:p>
        </w:tc>
        <w:tc>
          <w:tcPr>
            <w:tcW w:type="dxa" w:w="3552"/>
            <w:vAlign w:val="top"/>
          </w:tcPr>
          <w:p>
            <w:r/>
            <w:r>
              <w:rPr>
                <w:b w:val="0"/>
                <w:sz w:val="17"/>
              </w:rPr>
              <w:t>Anomaly detection and search APIs with anomaly table evidence.</w:t>
            </w:r>
          </w:p>
        </w:tc>
      </w:tr>
      <w:tr>
        <w:trPr>
          <w:cantSplit/>
        </w:trPr>
        <w:tc>
          <w:tcPr>
            <w:tcW w:type="dxa" w:w="3552"/>
            <w:vAlign w:val="top"/>
          </w:tcPr>
          <w:p>
            <w:r/>
            <w:r>
              <w:rPr>
                <w:b w:val="0"/>
                <w:sz w:val="17"/>
              </w:rPr>
              <w:t>Performance and ISO 50001</w:t>
            </w:r>
          </w:p>
        </w:tc>
        <w:tc>
          <w:tcPr>
            <w:tcW w:type="dxa" w:w="3552"/>
            <w:vAlign w:val="top"/>
          </w:tcPr>
          <w:p>
            <w:r/>
            <w:r>
              <w:rPr>
                <w:b w:val="0"/>
                <w:sz w:val="17"/>
              </w:rPr>
              <w:t>/performance/analyze, /opportunities, /action-plan, /health; /iso50001/*</w:t>
            </w:r>
          </w:p>
        </w:tc>
        <w:tc>
          <w:tcPr>
            <w:tcW w:type="dxa" w:w="3552"/>
            <w:vAlign w:val="top"/>
          </w:tcPr>
          <w:p>
            <w:r/>
            <w:r>
              <w:rPr>
                <w:b w:val="0"/>
                <w:sz w:val="17"/>
              </w:rPr>
              <w:t>Performance engine and ISO 50001 action-plan/reporting workflows are implemented.</w:t>
            </w:r>
          </w:p>
        </w:tc>
      </w:tr>
      <w:tr>
        <w:trPr>
          <w:cantSplit/>
        </w:trPr>
        <w:tc>
          <w:tcPr>
            <w:tcW w:type="dxa" w:w="3552"/>
            <w:vAlign w:val="top"/>
          </w:tcPr>
          <w:p>
            <w:pPr>
              <w:keepNext/>
            </w:pPr>
            <w:r/>
            <w:r>
              <w:rPr>
                <w:b w:val="0"/>
                <w:sz w:val="17"/>
              </w:rPr>
              <w:t>Production</w:t>
            </w:r>
          </w:p>
        </w:tc>
        <w:tc>
          <w:tcPr>
            <w:tcW w:type="dxa" w:w="3552"/>
            <w:vAlign w:val="top"/>
          </w:tcPr>
          <w:p>
            <w:pPr>
              <w:keepNext/>
            </w:pPr>
            <w:r/>
            <w:r>
              <w:rPr>
                <w:b w:val="0"/>
                <w:sz w:val="17"/>
              </w:rPr>
              <w:t>/production/{machine_id}</w:t>
            </w:r>
          </w:p>
        </w:tc>
        <w:tc>
          <w:tcPr>
            <w:tcW w:type="dxa" w:w="3552"/>
            <w:vAlign w:val="top"/>
          </w:tcPr>
          <w:p>
            <w:pPr>
              <w:keepNext/>
            </w:pPr>
            <w:r/>
            <w:r>
              <w:rPr>
                <w:b w:val="0"/>
                <w:sz w:val="17"/>
              </w:rPr>
              <w:t>Production metrics and related energy/cost/carbon estimates are exposed.</w:t>
            </w:r>
          </w:p>
        </w:tc>
      </w:tr>
      <w:tr>
        <w:trPr>
          <w:cantSplit/>
        </w:trPr>
        <w:tc>
          <w:tcPr>
            <w:tcW w:type="dxa" w:w="3552"/>
            <w:vAlign w:val="top"/>
          </w:tcPr>
          <w:p>
            <w:r/>
            <w:r>
              <w:rPr>
                <w:b w:val="0"/>
                <w:sz w:val="17"/>
              </w:rPr>
              <w:t>Reports</w:t>
            </w:r>
          </w:p>
        </w:tc>
        <w:tc>
          <w:tcPr>
            <w:tcW w:type="dxa" w:w="3552"/>
            <w:vAlign w:val="top"/>
          </w:tcPr>
          <w:p>
            <w:r/>
            <w:r>
              <w:rPr>
                <w:b w:val="0"/>
                <w:sz w:val="17"/>
              </w:rPr>
              <w:t>/reports/generate, /preview, /v2/generate, /v2/download/{id}, /v2/status</w:t>
            </w:r>
          </w:p>
        </w:tc>
        <w:tc>
          <w:tcPr>
            <w:tcW w:type="dxa" w:w="3552"/>
            <w:vAlign w:val="top"/>
          </w:tcPr>
          <w:p>
            <w:r/>
            <w:r>
              <w:rPr>
                <w:b w:val="0"/>
                <w:sz w:val="17"/>
              </w:rPr>
              <w:t>Legacy monthly EnPI PDF and newer V2 report system exist.</w:t>
            </w:r>
          </w:p>
        </w:tc>
      </w:tr>
    </w:tbl>
    <w:p/>
    <w:p>
      <w:pPr>
        <w:pStyle w:val="Heading1"/>
      </w:pPr>
      <w:r>
        <w:t>Grafana Dashboard Capabilities</w:t>
      </w:r>
    </w:p>
    <w:p>
      <w:r>
        <w:t>Grafana provisioning and dashboard JSON files are present. The dashboard inventory below is based on the tracked JSON dashboard titles and panel names. Dashboard presence is evidence of configured reporting views, while exact metric correctness should be reviewed against each panel SQL query for audit-grade use.</w:t>
      </w:r>
    </w:p>
    <w:tbl>
      <w:tblPr>
        <w:tblStyle w:val="TableGrid"/>
        <w:tblW w:type="auto" w:w="0"/>
        <w:jc w:val="center"/>
        <w:tblLook w:firstColumn="1" w:firstRow="1" w:lastColumn="0" w:lastRow="0" w:noHBand="0" w:noVBand="1" w:val="04A0"/>
      </w:tblPr>
      <w:tblGrid>
        <w:gridCol w:w="5328"/>
        <w:gridCol w:w="5328"/>
      </w:tblGrid>
      <w:tr>
        <w:trPr>
          <w:tblHeader w:val="true"/>
          <w:cantSplit/>
        </w:trPr>
        <w:tc>
          <w:tcPr>
            <w:tcW w:type="dxa" w:w="5328"/>
            <w:vAlign w:val="top"/>
            <w:shd w:fill="D9EAF7"/>
          </w:tcPr>
          <w:p>
            <w:r/>
            <w:r>
              <w:rPr>
                <w:b/>
                <w:sz w:val="17"/>
              </w:rPr>
              <w:t>Dashboard</w:t>
            </w:r>
          </w:p>
        </w:tc>
        <w:tc>
          <w:tcPr>
            <w:tcW w:type="dxa" w:w="5328"/>
            <w:vAlign w:val="top"/>
            <w:shd w:fill="D9EAF7"/>
          </w:tcPr>
          <w:p>
            <w:r/>
            <w:r>
              <w:rPr>
                <w:b/>
                <w:sz w:val="17"/>
              </w:rPr>
              <w:t>Panel themes</w:t>
            </w:r>
          </w:p>
        </w:tc>
      </w:tr>
      <w:tr>
        <w:trPr>
          <w:cantSplit/>
        </w:trPr>
        <w:tc>
          <w:tcPr>
            <w:tcW w:type="dxa" w:w="5328"/>
            <w:vAlign w:val="top"/>
          </w:tcPr>
          <w:p>
            <w:r/>
            <w:r>
              <w:rPr>
                <w:b w:val="0"/>
                <w:sz w:val="17"/>
              </w:rPr>
              <w:t>SOTA Factory Overview</w:t>
            </w:r>
          </w:p>
        </w:tc>
        <w:tc>
          <w:tcPr>
            <w:tcW w:type="dxa" w:w="5328"/>
            <w:vAlign w:val="top"/>
          </w:tcPr>
          <w:p>
            <w:r/>
            <w:r>
              <w:rPr>
                <w:b w:val="0"/>
                <w:sz w:val="17"/>
              </w:rPr>
              <w:t>Active machines, energy today, cost today, active anomalies, current power, machine status</w:t>
            </w:r>
          </w:p>
        </w:tc>
      </w:tr>
      <w:tr>
        <w:trPr>
          <w:cantSplit/>
        </w:trPr>
        <w:tc>
          <w:tcPr>
            <w:tcW w:type="dxa" w:w="5328"/>
            <w:vAlign w:val="top"/>
          </w:tcPr>
          <w:p>
            <w:r/>
            <w:r>
              <w:rPr>
                <w:b w:val="0"/>
                <w:sz w:val="17"/>
              </w:rPr>
              <w:t>SOTA Machine Health</w:t>
            </w:r>
          </w:p>
        </w:tc>
        <w:tc>
          <w:tcPr>
            <w:tcW w:type="dxa" w:w="5328"/>
            <w:vAlign w:val="top"/>
          </w:tcPr>
          <w:p>
            <w:r/>
            <w:r>
              <w:rPr>
                <w:b w:val="0"/>
                <w:sz w:val="17"/>
              </w:rPr>
              <w:t>Health score, current power, baseline variance, production, actual vs baseline, anomalies</w:t>
            </w:r>
          </w:p>
        </w:tc>
      </w:tr>
      <w:tr>
        <w:trPr>
          <w:cantSplit/>
        </w:trPr>
        <w:tc>
          <w:tcPr>
            <w:tcW w:type="dxa" w:w="5328"/>
            <w:vAlign w:val="top"/>
          </w:tcPr>
          <w:p>
            <w:r/>
            <w:r>
              <w:rPr>
                <w:b w:val="0"/>
                <w:sz w:val="17"/>
              </w:rPr>
              <w:t>SOTA ISO 50001 EnPI</w:t>
            </w:r>
          </w:p>
        </w:tc>
        <w:tc>
          <w:tcPr>
            <w:tcW w:type="dxa" w:w="5328"/>
            <w:vAlign w:val="top"/>
          </w:tcPr>
          <w:p>
            <w:r/>
            <w:r>
              <w:rPr>
                <w:b w:val="0"/>
                <w:sz w:val="17"/>
              </w:rPr>
              <w:t>EnPI score, energy savings, compliance rate, CUSUM, baseline vs actual, SEU performance</w:t>
            </w:r>
          </w:p>
        </w:tc>
      </w:tr>
      <w:tr>
        <w:trPr>
          <w:cantSplit/>
        </w:trPr>
        <w:tc>
          <w:tcPr>
            <w:tcW w:type="dxa" w:w="5328"/>
            <w:vAlign w:val="top"/>
          </w:tcPr>
          <w:p>
            <w:r/>
            <w:r>
              <w:rPr>
                <w:b w:val="0"/>
                <w:sz w:val="17"/>
              </w:rPr>
              <w:t>SOTA Energy Cost Analytics</w:t>
            </w:r>
          </w:p>
        </w:tc>
        <w:tc>
          <w:tcPr>
            <w:tcW w:type="dxa" w:w="5328"/>
            <w:vAlign w:val="top"/>
          </w:tcPr>
          <w:p>
            <w:r/>
            <w:r>
              <w:rPr>
                <w:b w:val="0"/>
                <w:sz w:val="17"/>
              </w:rPr>
              <w:t>Cost trend, time-of-use cost, top cost contributors, savings opportunities</w:t>
            </w:r>
          </w:p>
        </w:tc>
      </w:tr>
      <w:tr>
        <w:trPr>
          <w:cantSplit/>
        </w:trPr>
        <w:tc>
          <w:tcPr>
            <w:tcW w:type="dxa" w:w="5328"/>
            <w:vAlign w:val="top"/>
          </w:tcPr>
          <w:p>
            <w:r/>
            <w:r>
              <w:rPr>
                <w:b w:val="0"/>
                <w:sz w:val="17"/>
              </w:rPr>
              <w:t>SOTA Environmental Impact</w:t>
            </w:r>
          </w:p>
        </w:tc>
        <w:tc>
          <w:tcPr>
            <w:tcW w:type="dxa" w:w="5328"/>
            <w:vAlign w:val="top"/>
          </w:tcPr>
          <w:p>
            <w:r/>
            <w:r>
              <w:rPr>
                <w:b w:val="0"/>
                <w:sz w:val="17"/>
              </w:rPr>
              <w:t>Monthly carbon footprint, CO2 trend, emission intensity, emissions by machine</w:t>
            </w:r>
          </w:p>
        </w:tc>
      </w:tr>
      <w:tr>
        <w:trPr>
          <w:cantSplit/>
        </w:trPr>
        <w:tc>
          <w:tcPr>
            <w:tcW w:type="dxa" w:w="5328"/>
            <w:vAlign w:val="top"/>
          </w:tcPr>
          <w:p>
            <w:r/>
            <w:r>
              <w:rPr>
                <w:b w:val="0"/>
                <w:sz w:val="17"/>
              </w:rPr>
              <w:t>SOTA Predictive Analytics</w:t>
            </w:r>
          </w:p>
        </w:tc>
        <w:tc>
          <w:tcPr>
            <w:tcW w:type="dxa" w:w="5328"/>
            <w:vAlign w:val="top"/>
          </w:tcPr>
          <w:p>
            <w:r/>
            <w:r>
              <w:rPr>
                <w:b w:val="0"/>
                <w:sz w:val="17"/>
              </w:rPr>
              <w:t>Forecast metrics, forecast vs actual, accuracy trends, recent forecasts</w:t>
            </w:r>
          </w:p>
        </w:tc>
      </w:tr>
      <w:tr>
        <w:trPr>
          <w:cantSplit/>
        </w:trPr>
        <w:tc>
          <w:tcPr>
            <w:tcW w:type="dxa" w:w="5328"/>
            <w:vAlign w:val="top"/>
          </w:tcPr>
          <w:p>
            <w:r/>
            <w:r>
              <w:rPr>
                <w:b w:val="0"/>
                <w:sz w:val="17"/>
              </w:rPr>
              <w:t>SOTA Anomaly Detection</w:t>
            </w:r>
          </w:p>
        </w:tc>
        <w:tc>
          <w:tcPr>
            <w:tcW w:type="dxa" w:w="5328"/>
            <w:vAlign w:val="top"/>
          </w:tcPr>
          <w:p>
            <w:r/>
            <w:r>
              <w:rPr>
                <w:b w:val="0"/>
                <w:sz w:val="17"/>
              </w:rPr>
              <w:t>Active and critical anomalies, severity distribution, machine-hour heatmap, unresolved list</w:t>
            </w:r>
          </w:p>
        </w:tc>
      </w:tr>
      <w:tr>
        <w:trPr>
          <w:cantSplit/>
        </w:trPr>
        <w:tc>
          <w:tcPr>
            <w:tcW w:type="dxa" w:w="5328"/>
            <w:vAlign w:val="top"/>
          </w:tcPr>
          <w:p>
            <w:r/>
            <w:r>
              <w:rPr>
                <w:b w:val="0"/>
                <w:sz w:val="17"/>
              </w:rPr>
              <w:t>SOTA ML Model Performance</w:t>
            </w:r>
          </w:p>
        </w:tc>
        <w:tc>
          <w:tcPr>
            <w:tcW w:type="dxa" w:w="5328"/>
            <w:vAlign w:val="top"/>
          </w:tcPr>
          <w:p>
            <w:r/>
            <w:r>
              <w:rPr>
                <w:b w:val="0"/>
                <w:sz w:val="17"/>
              </w:rPr>
              <w:t>Active models, R2/RMSE, model performance trends, training history</w:t>
            </w:r>
          </w:p>
        </w:tc>
      </w:tr>
      <w:tr>
        <w:trPr>
          <w:cantSplit/>
        </w:trPr>
        <w:tc>
          <w:tcPr>
            <w:tcW w:type="dxa" w:w="5328"/>
            <w:vAlign w:val="top"/>
          </w:tcPr>
          <w:p>
            <w:r/>
            <w:r>
              <w:rPr>
                <w:b w:val="0"/>
                <w:sz w:val="17"/>
              </w:rPr>
              <w:t>SOTA Operational Efficiency</w:t>
            </w:r>
          </w:p>
        </w:tc>
        <w:tc>
          <w:tcPr>
            <w:tcW w:type="dxa" w:w="5328"/>
            <w:vAlign w:val="top"/>
          </w:tcPr>
          <w:p>
            <w:r/>
            <w:r>
              <w:rPr>
                <w:b w:val="0"/>
                <w:sz w:val="17"/>
              </w:rPr>
              <w:t>OEE, availability, performance rate, production vs energy efficiency</w:t>
            </w:r>
          </w:p>
        </w:tc>
      </w:tr>
      <w:tr>
        <w:trPr>
          <w:cantSplit/>
        </w:trPr>
        <w:tc>
          <w:tcPr>
            <w:tcW w:type="dxa" w:w="5328"/>
            <w:vAlign w:val="top"/>
          </w:tcPr>
          <w:p>
            <w:pPr>
              <w:keepNext/>
            </w:pPr>
            <w:r/>
            <w:r>
              <w:rPr>
                <w:b w:val="0"/>
                <w:sz w:val="17"/>
              </w:rPr>
              <w:t>SOTA Real-Time Production</w:t>
            </w:r>
          </w:p>
        </w:tc>
        <w:tc>
          <w:tcPr>
            <w:tcW w:type="dxa" w:w="5328"/>
            <w:vAlign w:val="top"/>
          </w:tcPr>
          <w:p>
            <w:pPr>
              <w:keepNext/>
            </w:pPr>
            <w:r/>
            <w:r>
              <w:rPr>
                <w:b w:val="0"/>
                <w:sz w:val="17"/>
              </w:rPr>
              <w:t>Live factory status, active machines, current power</w:t>
            </w:r>
          </w:p>
        </w:tc>
      </w:tr>
      <w:tr>
        <w:trPr>
          <w:cantSplit/>
        </w:trPr>
        <w:tc>
          <w:tcPr>
            <w:tcW w:type="dxa" w:w="5328"/>
            <w:vAlign w:val="top"/>
          </w:tcPr>
          <w:p>
            <w:r/>
            <w:r>
              <w:rPr>
                <w:b w:val="0"/>
                <w:sz w:val="17"/>
              </w:rPr>
              <w:t>SOTA Executive Summary</w:t>
            </w:r>
          </w:p>
        </w:tc>
        <w:tc>
          <w:tcPr>
            <w:tcW w:type="dxa" w:w="5328"/>
            <w:vAlign w:val="top"/>
          </w:tcPr>
          <w:p>
            <w:r/>
            <w:r>
              <w:rPr>
                <w:b w:val="0"/>
                <w:sz w:val="17"/>
              </w:rPr>
              <w:t>Operational concerns, 12-month energy trend, energy intensity, monthly summary</w:t>
            </w:r>
          </w:p>
        </w:tc>
      </w:tr>
    </w:tbl>
    <w:p/>
    <w:p>
      <w:pPr>
        <w:pStyle w:val="Heading1"/>
      </w:pPr>
      <w:r>
        <w:t>Dashboard Interpretation Notes</w:t>
      </w:r>
    </w:p>
    <w:p>
      <w:r>
        <w:t>Dashboards should be treated as operational and review views over the tracked SQL/panel configuration. They are valuable for demonstration, monitoring, and stakeholder walkthroughs, but a formal audit should trace each panel query to source tables, time filters, tariff/factor assumptions, and data freshness.</w:t>
      </w:r>
    </w:p>
    <w:p>
      <w:r>
        <w:t>There are duplicate upper/lowercase dashboard JSON variants for several SOTA dashboards in the production tree. The documentation records the configured dashboard capability without treating duplicated JSON files as separate business capabilities.</w:t>
      </w:r>
    </w:p>
    <w:p>
      <w:pPr>
        <w:pStyle w:val="Heading1"/>
      </w:pPr>
      <w:r>
        <w:t>Node-RED Ingestion Pipeline</w:t>
      </w:r>
    </w:p>
    <w:p>
      <w:r>
        <w:t>The tracked Node-RED flow subscribes to MQTT topic factory/# and includes function nodes for topic parsing, route selection, payload validation, database preparation, success counting, error catching, and a 30-second statistics dashboard update. Credential files are intentionally not inspected or reproduced in this package.</w:t>
      </w:r>
    </w:p>
    <w:tbl>
      <w:tblPr>
        <w:tblStyle w:val="TableGrid"/>
        <w:tblW w:type="auto" w:w="0"/>
        <w:jc w:val="center"/>
        <w:tblLook w:firstColumn="1" w:firstRow="1" w:lastColumn="0" w:lastRow="0" w:noHBand="0" w:noVBand="1" w:val="04A0"/>
      </w:tblPr>
      <w:tblGrid>
        <w:gridCol w:w="3552"/>
        <w:gridCol w:w="3552"/>
        <w:gridCol w:w="3552"/>
      </w:tblGrid>
      <w:tr>
        <w:trPr>
          <w:tblHeader w:val="true"/>
          <w:cantSplit/>
        </w:trPr>
        <w:tc>
          <w:tcPr>
            <w:tcW w:type="dxa" w:w="3552"/>
            <w:vAlign w:val="top"/>
            <w:shd w:fill="D9EAF7"/>
          </w:tcPr>
          <w:p>
            <w:r/>
            <w:r>
              <w:rPr>
                <w:b/>
                <w:sz w:val="17"/>
              </w:rPr>
              <w:t>Flow area</w:t>
            </w:r>
          </w:p>
        </w:tc>
        <w:tc>
          <w:tcPr>
            <w:tcW w:type="dxa" w:w="3552"/>
            <w:vAlign w:val="top"/>
            <w:shd w:fill="D9EAF7"/>
          </w:tcPr>
          <w:p>
            <w:r/>
            <w:r>
              <w:rPr>
                <w:b/>
                <w:sz w:val="17"/>
              </w:rPr>
              <w:t>Observed nodes</w:t>
            </w:r>
          </w:p>
        </w:tc>
        <w:tc>
          <w:tcPr>
            <w:tcW w:type="dxa" w:w="3552"/>
            <w:vAlign w:val="top"/>
            <w:shd w:fill="D9EAF7"/>
          </w:tcPr>
          <w:p>
            <w:r/>
            <w:r>
              <w:rPr>
                <w:b/>
                <w:sz w:val="17"/>
              </w:rPr>
              <w:t>Evidence</w:t>
            </w:r>
          </w:p>
        </w:tc>
      </w:tr>
      <w:tr>
        <w:trPr>
          <w:cantSplit/>
        </w:trPr>
        <w:tc>
          <w:tcPr>
            <w:tcW w:type="dxa" w:w="3552"/>
            <w:vAlign w:val="top"/>
          </w:tcPr>
          <w:p>
            <w:r/>
            <w:r>
              <w:rPr>
                <w:b w:val="0"/>
                <w:sz w:val="17"/>
              </w:rPr>
              <w:t>Input</w:t>
            </w:r>
          </w:p>
        </w:tc>
        <w:tc>
          <w:tcPr>
            <w:tcW w:type="dxa" w:w="3552"/>
            <w:vAlign w:val="top"/>
          </w:tcPr>
          <w:p>
            <w:r/>
            <w:r>
              <w:rPr>
                <w:b w:val="0"/>
                <w:sz w:val="17"/>
              </w:rPr>
              <w:t>MQTT in node Subscribe: factory/#</w:t>
            </w:r>
          </w:p>
        </w:tc>
        <w:tc>
          <w:tcPr>
            <w:tcW w:type="dxa" w:w="3552"/>
            <w:vAlign w:val="top"/>
          </w:tcPr>
          <w:p>
            <w:r/>
            <w:r>
              <w:rPr>
                <w:b w:val="0"/>
                <w:sz w:val="17"/>
              </w:rPr>
              <w:t>nodered/data/flows.json</w:t>
            </w:r>
          </w:p>
        </w:tc>
      </w:tr>
      <w:tr>
        <w:trPr>
          <w:cantSplit/>
        </w:trPr>
        <w:tc>
          <w:tcPr>
            <w:tcW w:type="dxa" w:w="3552"/>
            <w:vAlign w:val="top"/>
          </w:tcPr>
          <w:p>
            <w:r/>
            <w:r>
              <w:rPr>
                <w:b w:val="0"/>
                <w:sz w:val="17"/>
              </w:rPr>
              <w:t>Routing</w:t>
            </w:r>
          </w:p>
        </w:tc>
        <w:tc>
          <w:tcPr>
            <w:tcW w:type="dxa" w:w="3552"/>
            <w:vAlign w:val="top"/>
          </w:tcPr>
          <w:p>
            <w:r/>
            <w:r>
              <w:rPr>
                <w:b w:val="0"/>
                <w:sz w:val="17"/>
              </w:rPr>
              <w:t>Parse Topic, Route by Type</w:t>
            </w:r>
          </w:p>
        </w:tc>
        <w:tc>
          <w:tcPr>
            <w:tcW w:type="dxa" w:w="3552"/>
            <w:vAlign w:val="top"/>
          </w:tcPr>
          <w:p>
            <w:r/>
            <w:r>
              <w:rPr>
                <w:b w:val="0"/>
                <w:sz w:val="17"/>
              </w:rPr>
              <w:t>nodered/data/flows.json</w:t>
            </w:r>
          </w:p>
        </w:tc>
      </w:tr>
      <w:tr>
        <w:trPr>
          <w:cantSplit/>
        </w:trPr>
        <w:tc>
          <w:tcPr>
            <w:tcW w:type="dxa" w:w="3552"/>
            <w:vAlign w:val="top"/>
          </w:tcPr>
          <w:p>
            <w:r/>
            <w:r>
              <w:rPr>
                <w:b w:val="0"/>
                <w:sz w:val="17"/>
              </w:rPr>
              <w:t>Processing</w:t>
            </w:r>
          </w:p>
        </w:tc>
        <w:tc>
          <w:tcPr>
            <w:tcW w:type="dxa" w:w="3552"/>
            <w:vAlign w:val="top"/>
          </w:tcPr>
          <w:p>
            <w:r/>
            <w:r>
              <w:rPr>
                <w:b w:val="0"/>
                <w:sz w:val="17"/>
              </w:rPr>
              <w:t>Process Energy, Process Production, Process Environmental, Process Status</w:t>
            </w:r>
          </w:p>
        </w:tc>
        <w:tc>
          <w:tcPr>
            <w:tcW w:type="dxa" w:w="3552"/>
            <w:vAlign w:val="top"/>
          </w:tcPr>
          <w:p>
            <w:r/>
            <w:r>
              <w:rPr>
                <w:b w:val="0"/>
                <w:sz w:val="17"/>
              </w:rPr>
              <w:t>nodered/data/flows.json</w:t>
            </w:r>
          </w:p>
        </w:tc>
      </w:tr>
      <w:tr>
        <w:trPr>
          <w:cantSplit/>
        </w:trPr>
        <w:tc>
          <w:tcPr>
            <w:tcW w:type="dxa" w:w="3552"/>
            <w:vAlign w:val="top"/>
          </w:tcPr>
          <w:p>
            <w:pPr>
              <w:keepNext/>
            </w:pPr>
            <w:r/>
            <w:r>
              <w:rPr>
                <w:b w:val="0"/>
                <w:sz w:val="17"/>
              </w:rPr>
              <w:t>Storage</w:t>
            </w:r>
          </w:p>
        </w:tc>
        <w:tc>
          <w:tcPr>
            <w:tcW w:type="dxa" w:w="3552"/>
            <w:vAlign w:val="top"/>
          </w:tcPr>
          <w:p>
            <w:pPr>
              <w:keepNext/>
            </w:pPr>
            <w:r/>
            <w:r>
              <w:rPr>
                <w:b w:val="0"/>
                <w:sz w:val="17"/>
              </w:rPr>
              <w:t>PostgreSQL nodes via node-red-contrib-postgresql</w:t>
            </w:r>
          </w:p>
        </w:tc>
        <w:tc>
          <w:tcPr>
            <w:tcW w:type="dxa" w:w="3552"/>
            <w:vAlign w:val="top"/>
          </w:tcPr>
          <w:p>
            <w:pPr>
              <w:keepNext/>
            </w:pPr>
            <w:r/>
            <w:r>
              <w:rPr>
                <w:b w:val="0"/>
                <w:sz w:val="17"/>
              </w:rPr>
              <w:t>nodered/package.json; nodered/data/flows.json</w:t>
            </w:r>
          </w:p>
        </w:tc>
      </w:tr>
      <w:tr>
        <w:trPr>
          <w:cantSplit/>
        </w:trPr>
        <w:tc>
          <w:tcPr>
            <w:tcW w:type="dxa" w:w="3552"/>
            <w:vAlign w:val="top"/>
          </w:tcPr>
          <w:p>
            <w:r/>
            <w:r>
              <w:rPr>
                <w:b w:val="0"/>
                <w:sz w:val="17"/>
              </w:rPr>
              <w:t>Monitoring/errors</w:t>
            </w:r>
          </w:p>
        </w:tc>
        <w:tc>
          <w:tcPr>
            <w:tcW w:type="dxa" w:w="3552"/>
            <w:vAlign w:val="top"/>
          </w:tcPr>
          <w:p>
            <w:r/>
            <w:r>
              <w:rPr>
                <w:b w:val="0"/>
                <w:sz w:val="17"/>
              </w:rPr>
              <w:t>Count Success, Catch All Errors, Log Error, Stats Dashboard</w:t>
            </w:r>
          </w:p>
        </w:tc>
        <w:tc>
          <w:tcPr>
            <w:tcW w:type="dxa" w:w="3552"/>
            <w:vAlign w:val="top"/>
          </w:tcPr>
          <w:p>
            <w:r/>
            <w:r>
              <w:rPr>
                <w:b w:val="0"/>
                <w:sz w:val="17"/>
              </w:rPr>
              <w:t>nodered/data/flows.json</w:t>
            </w:r>
          </w:p>
        </w:tc>
      </w:tr>
    </w:tbl>
    <w:p/>
    <w:p>
      <w:pPr>
        <w:pStyle w:val="Heading1"/>
      </w:pPr>
      <w:r>
        <w:t>Report Generation Capabilities</w:t>
      </w:r>
    </w:p>
    <w:p>
      <w:r>
        <w:t>The legacy report path exposes a monthly_enpi report type, generates report data, generates machine and daily trend charts, and returns a ReportLab PDF. The V2 report path creates a report id, writes a PDF under /tmp, and exposes a download endpoint. V2 components include cover page, executive dashboard, energy overview, machine analysis, cost analysis, and carbon analysis templates/components.</w:t>
      </w:r>
    </w:p>
    <w:p>
      <w:r>
        <w:t>Important caution: the V2 generator is implemented, but some values are derived or placeholder-like in code. Examples include proportional cost/carbon trend assumptions and constant efficiency sparkline values. The final report should therefore be presented as implemented reporting capability, not as independently audited KPI methodology.</w:t>
      </w:r>
    </w:p>
    <w:tbl>
      <w:tblPr>
        <w:tblStyle w:val="TableGrid"/>
        <w:tblW w:type="auto" w:w="0"/>
        <w:jc w:val="center"/>
        <w:tblLook w:firstColumn="1" w:firstRow="1" w:lastColumn="0" w:lastRow="0" w:noHBand="0" w:noVBand="1" w:val="04A0"/>
      </w:tblPr>
      <w:tblGrid>
        <w:gridCol w:w="3552"/>
        <w:gridCol w:w="3552"/>
        <w:gridCol w:w="3552"/>
      </w:tblGrid>
      <w:tr>
        <w:trPr>
          <w:tblHeader w:val="true"/>
          <w:cantSplit/>
        </w:trPr>
        <w:tc>
          <w:tcPr>
            <w:tcW w:type="dxa" w:w="3552"/>
            <w:vAlign w:val="top"/>
            <w:shd w:fill="D9EAF7"/>
          </w:tcPr>
          <w:p>
            <w:r/>
            <w:r>
              <w:rPr>
                <w:b/>
                <w:sz w:val="17"/>
              </w:rPr>
              <w:t>Report path</w:t>
            </w:r>
          </w:p>
        </w:tc>
        <w:tc>
          <w:tcPr>
            <w:tcW w:type="dxa" w:w="3552"/>
            <w:vAlign w:val="top"/>
            <w:shd w:fill="D9EAF7"/>
          </w:tcPr>
          <w:p>
            <w:r/>
            <w:r>
              <w:rPr>
                <w:b/>
                <w:sz w:val="17"/>
              </w:rPr>
              <w:t>Implemented behavior</w:t>
            </w:r>
          </w:p>
        </w:tc>
        <w:tc>
          <w:tcPr>
            <w:tcW w:type="dxa" w:w="3552"/>
            <w:vAlign w:val="top"/>
            <w:shd w:fill="D9EAF7"/>
          </w:tcPr>
          <w:p>
            <w:r/>
            <w:r>
              <w:rPr>
                <w:b/>
                <w:sz w:val="17"/>
              </w:rPr>
              <w:t>Evidence</w:t>
            </w:r>
          </w:p>
        </w:tc>
      </w:tr>
      <w:tr>
        <w:trPr>
          <w:cantSplit/>
        </w:trPr>
        <w:tc>
          <w:tcPr>
            <w:tcW w:type="dxa" w:w="3552"/>
            <w:vAlign w:val="top"/>
          </w:tcPr>
          <w:p>
            <w:r/>
            <w:r>
              <w:rPr>
                <w:b w:val="0"/>
                <w:sz w:val="17"/>
              </w:rPr>
              <w:t>Legacy monthly EnPI</w:t>
            </w:r>
          </w:p>
        </w:tc>
        <w:tc>
          <w:tcPr>
            <w:tcW w:type="dxa" w:w="3552"/>
            <w:vAlign w:val="top"/>
          </w:tcPr>
          <w:p>
            <w:r/>
            <w:r>
              <w:rPr>
                <w:b w:val="0"/>
                <w:sz w:val="17"/>
              </w:rPr>
              <w:t>GET /types, POST /generate, GET /preview for monthly_enpi</w:t>
            </w:r>
          </w:p>
        </w:tc>
        <w:tc>
          <w:tcPr>
            <w:tcW w:type="dxa" w:w="3552"/>
            <w:vAlign w:val="top"/>
          </w:tcPr>
          <w:p>
            <w:r/>
            <w:r>
              <w:rPr>
                <w:b w:val="0"/>
                <w:sz w:val="17"/>
              </w:rPr>
              <w:t>analytics/api/routes/reports.py; analytics/reports/monthly_enpi_report.py</w:t>
            </w:r>
          </w:p>
        </w:tc>
      </w:tr>
      <w:tr>
        <w:trPr>
          <w:cantSplit/>
        </w:trPr>
        <w:tc>
          <w:tcPr>
            <w:tcW w:type="dxa" w:w="3552"/>
            <w:vAlign w:val="top"/>
          </w:tcPr>
          <w:p>
            <w:pPr>
              <w:keepNext/>
            </w:pPr>
            <w:r/>
            <w:r>
              <w:rPr>
                <w:b w:val="0"/>
                <w:sz w:val="17"/>
              </w:rPr>
              <w:t>V2 PDF report</w:t>
            </w:r>
          </w:p>
        </w:tc>
        <w:tc>
          <w:tcPr>
            <w:tcW w:type="dxa" w:w="3552"/>
            <w:vAlign w:val="top"/>
          </w:tcPr>
          <w:p>
            <w:pPr>
              <w:keepNext/>
            </w:pPr>
            <w:r/>
            <w:r>
              <w:rPr>
                <w:b w:val="0"/>
                <w:sz w:val="17"/>
              </w:rPr>
              <w:t>POST /v2/generate, GET /v2/download/{report_id}, GET /v2/status</w:t>
            </w:r>
          </w:p>
        </w:tc>
        <w:tc>
          <w:tcPr>
            <w:tcW w:type="dxa" w:w="3552"/>
            <w:vAlign w:val="top"/>
          </w:tcPr>
          <w:p>
            <w:pPr>
              <w:keepNext/>
            </w:pPr>
            <w:r/>
            <w:r>
              <w:rPr>
                <w:b w:val="0"/>
                <w:sz w:val="17"/>
              </w:rPr>
              <w:t>analytics/api/routes/reports.py; analytics/reports_v2/services/report_service.py</w:t>
            </w:r>
          </w:p>
        </w:tc>
      </w:tr>
      <w:tr>
        <w:trPr>
          <w:cantSplit/>
        </w:trPr>
        <w:tc>
          <w:tcPr>
            <w:tcW w:type="dxa" w:w="3552"/>
            <w:vAlign w:val="top"/>
          </w:tcPr>
          <w:p>
            <w:r/>
            <w:r>
              <w:rPr>
                <w:b w:val="0"/>
                <w:sz w:val="17"/>
              </w:rPr>
              <w:t>V2 templates</w:t>
            </w:r>
          </w:p>
        </w:tc>
        <w:tc>
          <w:tcPr>
            <w:tcW w:type="dxa" w:w="3552"/>
            <w:vAlign w:val="top"/>
          </w:tcPr>
          <w:p>
            <w:r/>
            <w:r>
              <w:rPr>
                <w:b w:val="0"/>
                <w:sz w:val="17"/>
              </w:rPr>
              <w:t>Base, header/footer, KPI cards, chart containers, cover, executive dashboard, energy overview, machine ranking/profile, cost, carbon sections</w:t>
            </w:r>
          </w:p>
        </w:tc>
        <w:tc>
          <w:tcPr>
            <w:tcW w:type="dxa" w:w="3552"/>
            <w:vAlign w:val="top"/>
          </w:tcPr>
          <w:p>
            <w:r/>
            <w:r>
              <w:rPr>
                <w:b w:val="0"/>
                <w:sz w:val="17"/>
              </w:rPr>
              <w:t>analytics/reports_v2/templates/</w:t>
            </w:r>
          </w:p>
        </w:tc>
      </w:tr>
    </w:tbl>
    <w:p/>
    <w:p>
      <w:pPr>
        <w:pStyle w:val="Heading1"/>
      </w:pPr>
      <w:r>
        <w:t>Report Workflow</w:t>
      </w:r>
    </w:p>
    <w:p>
      <w:r>
        <w:t>The report workflow separates API request handling, data gathering, chart/template generation, PDF creation, and download/preview behavior. The workflow is implemented, but report semantics must still be reviewed before audit-grade distribution.</w:t>
      </w:r>
    </w:p>
    <w:tbl>
      <w:tblPr>
        <w:tblStyle w:val="TableGrid"/>
        <w:tblW w:type="auto" w:w="0"/>
        <w:jc w:val="center"/>
        <w:tblLook w:firstColumn="1" w:firstRow="1" w:lastColumn="0" w:lastRow="0" w:noHBand="0" w:noVBand="1" w:val="04A0"/>
      </w:tblPr>
      <w:tblGrid>
        <w:gridCol w:w="3552"/>
        <w:gridCol w:w="3552"/>
        <w:gridCol w:w="3552"/>
      </w:tblGrid>
      <w:tr>
        <w:trPr>
          <w:tblHeader w:val="true"/>
          <w:cantSplit/>
        </w:trPr>
        <w:tc>
          <w:tcPr>
            <w:tcW w:type="dxa" w:w="3552"/>
            <w:vAlign w:val="top"/>
            <w:shd w:fill="D9EAF7"/>
          </w:tcPr>
          <w:p>
            <w:r/>
            <w:r>
              <w:rPr>
                <w:b/>
                <w:sz w:val="17"/>
              </w:rPr>
              <w:t>Step</w:t>
            </w:r>
          </w:p>
        </w:tc>
        <w:tc>
          <w:tcPr>
            <w:tcW w:type="dxa" w:w="3552"/>
            <w:vAlign w:val="top"/>
            <w:shd w:fill="D9EAF7"/>
          </w:tcPr>
          <w:p>
            <w:r/>
            <w:r>
              <w:rPr>
                <w:b/>
                <w:sz w:val="17"/>
              </w:rPr>
              <w:t>Observed behavior</w:t>
            </w:r>
          </w:p>
        </w:tc>
        <w:tc>
          <w:tcPr>
            <w:tcW w:type="dxa" w:w="3552"/>
            <w:vAlign w:val="top"/>
            <w:shd w:fill="D9EAF7"/>
          </w:tcPr>
          <w:p>
            <w:r/>
            <w:r>
              <w:rPr>
                <w:b/>
                <w:sz w:val="17"/>
              </w:rPr>
              <w:t>Source basis</w:t>
            </w:r>
          </w:p>
        </w:tc>
      </w:tr>
      <w:tr>
        <w:trPr>
          <w:cantSplit/>
        </w:trPr>
        <w:tc>
          <w:tcPr>
            <w:tcW w:type="dxa" w:w="3552"/>
            <w:vAlign w:val="top"/>
          </w:tcPr>
          <w:p>
            <w:r/>
            <w:r>
              <w:rPr>
                <w:b w:val="0"/>
                <w:sz w:val="17"/>
              </w:rPr>
              <w:t>Legacy report request</w:t>
            </w:r>
          </w:p>
        </w:tc>
        <w:tc>
          <w:tcPr>
            <w:tcW w:type="dxa" w:w="3552"/>
            <w:vAlign w:val="top"/>
          </w:tcPr>
          <w:p>
            <w:r/>
            <w:r>
              <w:rPr>
                <w:b w:val="0"/>
                <w:sz w:val="17"/>
              </w:rPr>
              <w:t>Client calls /api/v1/reports/types, /preview, or /generate for monthly_enpi.</w:t>
            </w:r>
          </w:p>
        </w:tc>
        <w:tc>
          <w:tcPr>
            <w:tcW w:type="dxa" w:w="3552"/>
            <w:vAlign w:val="top"/>
          </w:tcPr>
          <w:p>
            <w:r/>
            <w:r>
              <w:rPr>
                <w:b w:val="0"/>
                <w:sz w:val="17"/>
              </w:rPr>
              <w:t>analytics/api/routes/reports.py</w:t>
            </w:r>
          </w:p>
        </w:tc>
      </w:tr>
      <w:tr>
        <w:trPr>
          <w:cantSplit/>
        </w:trPr>
        <w:tc>
          <w:tcPr>
            <w:tcW w:type="dxa" w:w="3552"/>
            <w:vAlign w:val="top"/>
          </w:tcPr>
          <w:p>
            <w:r/>
            <w:r>
              <w:rPr>
                <w:b w:val="0"/>
                <w:sz w:val="17"/>
              </w:rPr>
              <w:t>Legacy data assembly</w:t>
            </w:r>
          </w:p>
        </w:tc>
        <w:tc>
          <w:tcPr>
            <w:tcW w:type="dxa" w:w="3552"/>
            <w:vAlign w:val="top"/>
          </w:tcPr>
          <w:p>
            <w:r/>
            <w:r>
              <w:rPr>
                <w:b w:val="0"/>
                <w:sz w:val="17"/>
              </w:rPr>
              <w:t>MonthlyEnPIReport builds summary, machine metrics, EnPI values, targets, achievements, and charts.</w:t>
            </w:r>
          </w:p>
        </w:tc>
        <w:tc>
          <w:tcPr>
            <w:tcW w:type="dxa" w:w="3552"/>
            <w:vAlign w:val="top"/>
          </w:tcPr>
          <w:p>
            <w:r/>
            <w:r>
              <w:rPr>
                <w:b w:val="0"/>
                <w:sz w:val="17"/>
              </w:rPr>
              <w:t>analytics/reports/monthly_enpi_report.py</w:t>
            </w:r>
          </w:p>
        </w:tc>
      </w:tr>
      <w:tr>
        <w:trPr>
          <w:cantSplit/>
        </w:trPr>
        <w:tc>
          <w:tcPr>
            <w:tcW w:type="dxa" w:w="3552"/>
            <w:vAlign w:val="top"/>
          </w:tcPr>
          <w:p>
            <w:r/>
            <w:r>
              <w:rPr>
                <w:b w:val="0"/>
                <w:sz w:val="17"/>
              </w:rPr>
              <w:t>Legacy output</w:t>
            </w:r>
          </w:p>
        </w:tc>
        <w:tc>
          <w:tcPr>
            <w:tcW w:type="dxa" w:w="3552"/>
            <w:vAlign w:val="top"/>
          </w:tcPr>
          <w:p>
            <w:r/>
            <w:r>
              <w:rPr>
                <w:b w:val="0"/>
                <w:sz w:val="17"/>
              </w:rPr>
              <w:t>ReportLab PDF is returned by the route.</w:t>
            </w:r>
          </w:p>
        </w:tc>
        <w:tc>
          <w:tcPr>
            <w:tcW w:type="dxa" w:w="3552"/>
            <w:vAlign w:val="top"/>
          </w:tcPr>
          <w:p>
            <w:r/>
            <w:r>
              <w:rPr>
                <w:b w:val="0"/>
                <w:sz w:val="17"/>
              </w:rPr>
              <w:t>analytics/reports/base_report.py; analytics/api/routes/reports.py</w:t>
            </w:r>
          </w:p>
        </w:tc>
      </w:tr>
      <w:tr>
        <w:trPr>
          <w:cantSplit/>
        </w:trPr>
        <w:tc>
          <w:tcPr>
            <w:tcW w:type="dxa" w:w="3552"/>
            <w:vAlign w:val="top"/>
          </w:tcPr>
          <w:p>
            <w:r/>
            <w:r>
              <w:rPr>
                <w:b w:val="0"/>
                <w:sz w:val="17"/>
              </w:rPr>
              <w:t>V2 report request</w:t>
            </w:r>
          </w:p>
        </w:tc>
        <w:tc>
          <w:tcPr>
            <w:tcW w:type="dxa" w:w="3552"/>
            <w:vAlign w:val="top"/>
          </w:tcPr>
          <w:p>
            <w:r/>
            <w:r>
              <w:rPr>
                <w:b w:val="0"/>
                <w:sz w:val="17"/>
              </w:rPr>
              <w:t>Client calls /api/v1/reports/v2/generate and later /v2/download/{report_id}.</w:t>
            </w:r>
          </w:p>
        </w:tc>
        <w:tc>
          <w:tcPr>
            <w:tcW w:type="dxa" w:w="3552"/>
            <w:vAlign w:val="top"/>
          </w:tcPr>
          <w:p>
            <w:r/>
            <w:r>
              <w:rPr>
                <w:b w:val="0"/>
                <w:sz w:val="17"/>
              </w:rPr>
              <w:t>analytics/api/routes/reports.py</w:t>
            </w:r>
          </w:p>
        </w:tc>
      </w:tr>
      <w:tr>
        <w:trPr>
          <w:cantSplit/>
        </w:trPr>
        <w:tc>
          <w:tcPr>
            <w:tcW w:type="dxa" w:w="3552"/>
            <w:vAlign w:val="top"/>
          </w:tcPr>
          <w:p>
            <w:pPr>
              <w:keepNext/>
            </w:pPr>
            <w:r/>
            <w:r>
              <w:rPr>
                <w:b w:val="0"/>
                <w:sz w:val="17"/>
              </w:rPr>
              <w:t>V2 generation</w:t>
            </w:r>
          </w:p>
        </w:tc>
        <w:tc>
          <w:tcPr>
            <w:tcW w:type="dxa" w:w="3552"/>
            <w:vAlign w:val="top"/>
          </w:tcPr>
          <w:p>
            <w:pPr>
              <w:keepNext/>
            </w:pPr>
            <w:r/>
            <w:r>
              <w:rPr>
                <w:b w:val="0"/>
                <w:sz w:val="17"/>
              </w:rPr>
              <w:t>ReportService coordinates data fetch, components, charts, HTML/PDF generation, and temporary output path.</w:t>
            </w:r>
          </w:p>
        </w:tc>
        <w:tc>
          <w:tcPr>
            <w:tcW w:type="dxa" w:w="3552"/>
            <w:vAlign w:val="top"/>
          </w:tcPr>
          <w:p>
            <w:pPr>
              <w:keepNext/>
            </w:pPr>
            <w:r/>
            <w:r>
              <w:rPr>
                <w:b w:val="0"/>
                <w:sz w:val="17"/>
              </w:rPr>
              <w:t>analytics/reports_v2/services/report_service.py</w:t>
            </w:r>
          </w:p>
        </w:tc>
      </w:tr>
      <w:tr>
        <w:trPr>
          <w:cantSplit/>
        </w:trPr>
        <w:tc>
          <w:tcPr>
            <w:tcW w:type="dxa" w:w="3552"/>
            <w:vAlign w:val="top"/>
          </w:tcPr>
          <w:p>
            <w:r/>
            <w:r>
              <w:rPr>
                <w:b w:val="0"/>
                <w:sz w:val="17"/>
              </w:rPr>
              <w:t>V2 caution</w:t>
            </w:r>
          </w:p>
        </w:tc>
        <w:tc>
          <w:tcPr>
            <w:tcW w:type="dxa" w:w="3552"/>
            <w:vAlign w:val="top"/>
          </w:tcPr>
          <w:p>
            <w:r/>
            <w:r>
              <w:rPr>
                <w:b w:val="0"/>
                <w:sz w:val="17"/>
              </w:rPr>
              <w:t>Some data fetcher/service values are estimated or placeholder-like.</w:t>
            </w:r>
          </w:p>
        </w:tc>
        <w:tc>
          <w:tcPr>
            <w:tcW w:type="dxa" w:w="3552"/>
            <w:vAlign w:val="top"/>
          </w:tcPr>
          <w:p>
            <w:r/>
            <w:r>
              <w:rPr>
                <w:b w:val="0"/>
                <w:sz w:val="17"/>
              </w:rPr>
              <w:t>analytics/reports_v2/services/data_fetcher.py; report_service.py</w:t>
            </w:r>
          </w:p>
        </w:tc>
      </w:tr>
    </w:tbl>
    <w:p/>
    <w:p>
      <w:pPr>
        <w:pStyle w:val="Heading1"/>
      </w:pPr>
      <w:r>
        <w:t>Data-Quality Assumptions</w:t>
      </w:r>
    </w:p>
    <w:p>
      <w:r>
        <w:t>KPI and report outputs assume data freshness, correctly associated machine/factory records, synchronized timestamps, and appropriate tariff/carbon-factor records. These assumptions are not always enforceable by the codebase alone and should be part of operational handover.</w:t>
      </w:r>
    </w:p>
    <w:tbl>
      <w:tblPr>
        <w:tblStyle w:val="TableGrid"/>
        <w:tblW w:type="auto" w:w="0"/>
        <w:jc w:val="center"/>
        <w:tblLook w:firstColumn="1" w:firstRow="1" w:lastColumn="0" w:lastRow="0" w:noHBand="0" w:noVBand="1" w:val="04A0"/>
      </w:tblPr>
      <w:tblGrid>
        <w:gridCol w:w="5328"/>
        <w:gridCol w:w="5328"/>
      </w:tblGrid>
      <w:tr>
        <w:trPr>
          <w:tblHeader w:val="true"/>
          <w:cantSplit/>
        </w:trPr>
        <w:tc>
          <w:tcPr>
            <w:tcW w:type="dxa" w:w="5328"/>
            <w:vAlign w:val="top"/>
            <w:shd w:fill="D9EAF7"/>
          </w:tcPr>
          <w:p>
            <w:r/>
            <w:r>
              <w:rPr>
                <w:b/>
                <w:sz w:val="17"/>
              </w:rPr>
              <w:t>Assumption</w:t>
            </w:r>
          </w:p>
        </w:tc>
        <w:tc>
          <w:tcPr>
            <w:tcW w:type="dxa" w:w="5328"/>
            <w:vAlign w:val="top"/>
            <w:shd w:fill="D9EAF7"/>
          </w:tcPr>
          <w:p>
            <w:r/>
            <w:r>
              <w:rPr>
                <w:b/>
                <w:sz w:val="17"/>
              </w:rPr>
              <w:t>Reason</w:t>
            </w:r>
          </w:p>
        </w:tc>
      </w:tr>
      <w:tr>
        <w:trPr>
          <w:cantSplit/>
        </w:trPr>
        <w:tc>
          <w:tcPr>
            <w:tcW w:type="dxa" w:w="5328"/>
            <w:vAlign w:val="top"/>
          </w:tcPr>
          <w:p>
            <w:r/>
            <w:r>
              <w:rPr>
                <w:b w:val="0"/>
                <w:sz w:val="17"/>
              </w:rPr>
              <w:t>Clock/time range</w:t>
            </w:r>
          </w:p>
        </w:tc>
        <w:tc>
          <w:tcPr>
            <w:tcW w:type="dxa" w:w="5328"/>
            <w:vAlign w:val="top"/>
          </w:tcPr>
          <w:p>
            <w:r/>
            <w:r>
              <w:rPr>
                <w:b w:val="0"/>
                <w:sz w:val="17"/>
              </w:rPr>
              <w:t>KPI, baseline, forecast, and dashboard results assume timestamps are correctly generated and synchronized.</w:t>
            </w:r>
          </w:p>
        </w:tc>
      </w:tr>
      <w:tr>
        <w:trPr>
          <w:cantSplit/>
        </w:trPr>
        <w:tc>
          <w:tcPr>
            <w:tcW w:type="dxa" w:w="5328"/>
            <w:vAlign w:val="top"/>
          </w:tcPr>
          <w:p>
            <w:r/>
            <w:r>
              <w:rPr>
                <w:b w:val="0"/>
                <w:sz w:val="17"/>
              </w:rPr>
              <w:t>Telemetry completeness</w:t>
            </w:r>
          </w:p>
        </w:tc>
        <w:tc>
          <w:tcPr>
            <w:tcW w:type="dxa" w:w="5328"/>
            <w:vAlign w:val="top"/>
          </w:tcPr>
          <w:p>
            <w:r/>
            <w:r>
              <w:rPr>
                <w:b w:val="0"/>
                <w:sz w:val="17"/>
              </w:rPr>
              <w:t>SEC and production-linked KPIs require both energy and production data; missing production affects denominator quality.</w:t>
            </w:r>
          </w:p>
        </w:tc>
      </w:tr>
      <w:tr>
        <w:trPr>
          <w:cantSplit/>
        </w:trPr>
        <w:tc>
          <w:tcPr>
            <w:tcW w:type="dxa" w:w="5328"/>
            <w:vAlign w:val="top"/>
          </w:tcPr>
          <w:p>
            <w:r/>
            <w:r>
              <w:rPr>
                <w:b w:val="0"/>
                <w:sz w:val="17"/>
              </w:rPr>
              <w:t>Topic consistency</w:t>
            </w:r>
          </w:p>
        </w:tc>
        <w:tc>
          <w:tcPr>
            <w:tcW w:type="dxa" w:w="5328"/>
            <w:vAlign w:val="top"/>
          </w:tcPr>
          <w:p>
            <w:r/>
            <w:r>
              <w:rPr>
                <w:b w:val="0"/>
                <w:sz w:val="17"/>
              </w:rPr>
              <w:t>Node-RED routing assumes MQTT topics match expected factory/# structure and payload type handling.</w:t>
            </w:r>
          </w:p>
        </w:tc>
      </w:tr>
      <w:tr>
        <w:trPr>
          <w:cantSplit/>
        </w:trPr>
        <w:tc>
          <w:tcPr>
            <w:tcW w:type="dxa" w:w="5328"/>
            <w:vAlign w:val="top"/>
          </w:tcPr>
          <w:p>
            <w:r/>
            <w:r>
              <w:rPr>
                <w:b w:val="0"/>
                <w:sz w:val="17"/>
              </w:rPr>
              <w:t>Tariff/factor validity</w:t>
            </w:r>
          </w:p>
        </w:tc>
        <w:tc>
          <w:tcPr>
            <w:tcW w:type="dxa" w:w="5328"/>
            <w:vAlign w:val="top"/>
          </w:tcPr>
          <w:p>
            <w:r/>
            <w:r>
              <w:rPr>
                <w:b w:val="0"/>
                <w:sz w:val="17"/>
              </w:rPr>
              <w:t>Cost and carbon outputs depend on active tariff and carbon-factor records or configured fallback factors.</w:t>
            </w:r>
          </w:p>
        </w:tc>
      </w:tr>
      <w:tr>
        <w:trPr>
          <w:cantSplit/>
        </w:trPr>
        <w:tc>
          <w:tcPr>
            <w:tcW w:type="dxa" w:w="5328"/>
            <w:vAlign w:val="top"/>
          </w:tcPr>
          <w:p>
            <w:pPr>
              <w:keepNext/>
            </w:pPr>
            <w:r/>
            <w:r>
              <w:rPr>
                <w:b w:val="0"/>
                <w:sz w:val="17"/>
              </w:rPr>
              <w:t>Simulator vs real data</w:t>
            </w:r>
          </w:p>
        </w:tc>
        <w:tc>
          <w:tcPr>
            <w:tcW w:type="dxa" w:w="5328"/>
            <w:vAlign w:val="top"/>
          </w:tcPr>
          <w:p>
            <w:pPr>
              <w:keepNext/>
            </w:pPr>
            <w:r/>
            <w:r>
              <w:rPr>
                <w:b w:val="0"/>
                <w:sz w:val="17"/>
              </w:rPr>
              <w:t>Seed/demo simulator data is suitable for demonstration but should be separated from live factory evidence.</w:t>
            </w:r>
          </w:p>
        </w:tc>
      </w:tr>
      <w:tr>
        <w:trPr>
          <w:cantSplit/>
        </w:trPr>
        <w:tc>
          <w:tcPr>
            <w:tcW w:type="dxa" w:w="5328"/>
            <w:vAlign w:val="top"/>
          </w:tcPr>
          <w:p>
            <w:r/>
            <w:r>
              <w:rPr>
                <w:b w:val="0"/>
                <w:sz w:val="17"/>
              </w:rPr>
              <w:t>Aggregate freshness</w:t>
            </w:r>
          </w:p>
        </w:tc>
        <w:tc>
          <w:tcPr>
            <w:tcW w:type="dxa" w:w="5328"/>
            <w:vAlign w:val="top"/>
          </w:tcPr>
          <w:p>
            <w:r/>
            <w:r>
              <w:rPr>
                <w:b w:val="0"/>
                <w:sz w:val="17"/>
              </w:rPr>
              <w:t>Continuous aggregates and dashboards depend on database refresh behavior and current ingested data.</w:t>
            </w:r>
          </w:p>
        </w:tc>
      </w:tr>
    </w:tbl>
    <w:p/>
    <w:p>
      <w:pPr>
        <w:pStyle w:val="Heading1"/>
      </w:pPr>
      <w:r>
        <w:t>Audit-Use Cautions</w:t>
      </w:r>
    </w:p>
    <w:p>
      <w:r>
        <w:t>The system implements carbon, cost, EnPI, SEC, forecasting, anomaly, and report capabilities where code/config evidence exists. That does not automatically make every generated output suitable for regulatory, financial, or audited sustainability reporting without governance review.</w:t>
      </w:r>
    </w:p>
    <w:tbl>
      <w:tblPr>
        <w:tblStyle w:val="TableGrid"/>
        <w:tblW w:type="auto" w:w="0"/>
        <w:jc w:val="center"/>
        <w:tblLook w:firstColumn="1" w:firstRow="1" w:lastColumn="0" w:lastRow="0" w:noHBand="0" w:noVBand="1" w:val="04A0"/>
      </w:tblPr>
      <w:tblGrid>
        <w:gridCol w:w="5328"/>
        <w:gridCol w:w="5328"/>
      </w:tblGrid>
      <w:tr>
        <w:trPr>
          <w:tblHeader w:val="true"/>
          <w:cantSplit/>
        </w:trPr>
        <w:tc>
          <w:tcPr>
            <w:tcW w:type="dxa" w:w="5328"/>
            <w:vAlign w:val="top"/>
            <w:shd w:fill="D9EAF7"/>
          </w:tcPr>
          <w:p>
            <w:r/>
            <w:r>
              <w:rPr>
                <w:b/>
                <w:sz w:val="17"/>
              </w:rPr>
              <w:t>Caution</w:t>
            </w:r>
          </w:p>
        </w:tc>
        <w:tc>
          <w:tcPr>
            <w:tcW w:type="dxa" w:w="5328"/>
            <w:vAlign w:val="top"/>
            <w:shd w:fill="D9EAF7"/>
          </w:tcPr>
          <w:p>
            <w:r/>
            <w:r>
              <w:rPr>
                <w:b/>
                <w:sz w:val="17"/>
              </w:rPr>
              <w:t>Stakeholder guidance</w:t>
            </w:r>
          </w:p>
        </w:tc>
      </w:tr>
      <w:tr>
        <w:trPr>
          <w:cantSplit/>
        </w:trPr>
        <w:tc>
          <w:tcPr>
            <w:tcW w:type="dxa" w:w="5328"/>
            <w:vAlign w:val="top"/>
          </w:tcPr>
          <w:p>
            <w:r/>
            <w:r>
              <w:rPr>
                <w:b w:val="0"/>
                <w:sz w:val="17"/>
              </w:rPr>
              <w:t>Audit-grade KPI use</w:t>
            </w:r>
          </w:p>
        </w:tc>
        <w:tc>
          <w:tcPr>
            <w:tcW w:type="dxa" w:w="5328"/>
            <w:vAlign w:val="top"/>
          </w:tcPr>
          <w:p>
            <w:r/>
            <w:r>
              <w:rPr>
                <w:b w:val="0"/>
                <w:sz w:val="17"/>
              </w:rPr>
              <w:t>Do not treat generated reports as audited energy statements without validating formulas, data sources, tariff/factor records, and reporting period boundaries.</w:t>
            </w:r>
          </w:p>
        </w:tc>
      </w:tr>
      <w:tr>
        <w:trPr>
          <w:cantSplit/>
        </w:trPr>
        <w:tc>
          <w:tcPr>
            <w:tcW w:type="dxa" w:w="5328"/>
            <w:vAlign w:val="top"/>
          </w:tcPr>
          <w:p>
            <w:r/>
            <w:r>
              <w:rPr>
                <w:b w:val="0"/>
                <w:sz w:val="17"/>
              </w:rPr>
              <w:t>Carbon reporting</w:t>
            </w:r>
          </w:p>
        </w:tc>
        <w:tc>
          <w:tcPr>
            <w:tcW w:type="dxa" w:w="5328"/>
            <w:vAlign w:val="top"/>
          </w:tcPr>
          <w:p>
            <w:r/>
            <w:r>
              <w:rPr>
                <w:b w:val="0"/>
                <w:sz w:val="17"/>
              </w:rPr>
              <w:t>Carbon/emissions values are implemented where functions/routes/dashboards exist, but formal emissions reporting requires verified factors, scope definitions, and governance outside this codebase.</w:t>
            </w:r>
          </w:p>
        </w:tc>
      </w:tr>
      <w:tr>
        <w:trPr>
          <w:cantSplit/>
        </w:trPr>
        <w:tc>
          <w:tcPr>
            <w:tcW w:type="dxa" w:w="5328"/>
            <w:vAlign w:val="top"/>
          </w:tcPr>
          <w:p>
            <w:pPr>
              <w:keepNext/>
            </w:pPr>
            <w:r/>
            <w:r>
              <w:rPr>
                <w:b w:val="0"/>
                <w:sz w:val="17"/>
              </w:rPr>
              <w:t>Demo seed data</w:t>
            </w:r>
          </w:p>
        </w:tc>
        <w:tc>
          <w:tcPr>
            <w:tcW w:type="dxa" w:w="5328"/>
            <w:vAlign w:val="top"/>
          </w:tcPr>
          <w:p>
            <w:pPr>
              <w:keepNext/>
            </w:pPr>
            <w:r/>
            <w:r>
              <w:rPr>
                <w:b w:val="0"/>
                <w:sz w:val="17"/>
              </w:rPr>
              <w:t>Seeded factories and machines should be labeled as demonstration data unless replaced by real facility data.</w:t>
            </w:r>
          </w:p>
        </w:tc>
      </w:tr>
      <w:tr>
        <w:trPr>
          <w:cantSplit/>
        </w:trPr>
        <w:tc>
          <w:tcPr>
            <w:tcW w:type="dxa" w:w="5328"/>
            <w:vAlign w:val="top"/>
          </w:tcPr>
          <w:p>
            <w:r/>
            <w:r>
              <w:rPr>
                <w:b w:val="0"/>
                <w:sz w:val="17"/>
              </w:rPr>
              <w:t>Placeholder calculations</w:t>
            </w:r>
          </w:p>
        </w:tc>
        <w:tc>
          <w:tcPr>
            <w:tcW w:type="dxa" w:w="5328"/>
            <w:vAlign w:val="top"/>
          </w:tcPr>
          <w:p>
            <w:r/>
            <w:r>
              <w:rPr>
                <w:b w:val="0"/>
                <w:sz w:val="17"/>
              </w:rPr>
              <w:t>Where V2 reports or dashboard panels derive estimates, identify them in stakeholder review rather than presenting them as certified calculations.</w:t>
            </w:r>
          </w:p>
        </w:tc>
      </w:tr>
    </w:tbl>
    <w:p/>
    <w:p>
      <w:pPr>
        <w:pStyle w:val="Heading1"/>
      </w:pPr>
      <w:r>
        <w:t>Implemented, Configured, Partial, And Demo Data Distinctions</w:t>
      </w:r>
    </w:p>
    <w:tbl>
      <w:tblPr>
        <w:tblStyle w:val="TableGrid"/>
        <w:tblW w:type="auto" w:w="0"/>
        <w:jc w:val="center"/>
        <w:tblLook w:firstColumn="1" w:firstRow="1" w:lastColumn="0" w:lastRow="0" w:noHBand="0" w:noVBand="1" w:val="04A0"/>
      </w:tblPr>
      <w:tblGrid>
        <w:gridCol w:w="3552"/>
        <w:gridCol w:w="3552"/>
        <w:gridCol w:w="3552"/>
      </w:tblGrid>
      <w:tr>
        <w:trPr>
          <w:tblHeader w:val="true"/>
          <w:cantSplit/>
        </w:trPr>
        <w:tc>
          <w:tcPr>
            <w:tcW w:type="dxa" w:w="3552"/>
            <w:vAlign w:val="top"/>
            <w:shd w:fill="D9EAF7"/>
          </w:tcPr>
          <w:p>
            <w:r/>
            <w:r>
              <w:rPr>
                <w:b/>
                <w:sz w:val="17"/>
              </w:rPr>
              <w:t>Capability</w:t>
            </w:r>
          </w:p>
        </w:tc>
        <w:tc>
          <w:tcPr>
            <w:tcW w:type="dxa" w:w="3552"/>
            <w:vAlign w:val="top"/>
            <w:shd w:fill="D9EAF7"/>
          </w:tcPr>
          <w:p>
            <w:r/>
            <w:r>
              <w:rPr>
                <w:b/>
                <w:sz w:val="17"/>
              </w:rPr>
              <w:t>Classification</w:t>
            </w:r>
          </w:p>
        </w:tc>
        <w:tc>
          <w:tcPr>
            <w:tcW w:type="dxa" w:w="3552"/>
            <w:vAlign w:val="top"/>
            <w:shd w:fill="D9EAF7"/>
          </w:tcPr>
          <w:p>
            <w:r/>
            <w:r>
              <w:rPr>
                <w:b/>
                <w:sz w:val="17"/>
              </w:rPr>
              <w:t>Reason</w:t>
            </w:r>
          </w:p>
        </w:tc>
      </w:tr>
      <w:tr>
        <w:trPr>
          <w:cantSplit/>
        </w:trPr>
        <w:tc>
          <w:tcPr>
            <w:tcW w:type="dxa" w:w="3552"/>
            <w:vAlign w:val="top"/>
          </w:tcPr>
          <w:p>
            <w:r/>
            <w:r>
              <w:rPr>
                <w:b w:val="0"/>
                <w:sz w:val="17"/>
              </w:rPr>
              <w:t>TimescaleDB energy/production/environmental storage</w:t>
            </w:r>
          </w:p>
        </w:tc>
        <w:tc>
          <w:tcPr>
            <w:tcW w:type="dxa" w:w="3552"/>
            <w:vAlign w:val="top"/>
          </w:tcPr>
          <w:p>
            <w:r/>
            <w:r>
              <w:rPr>
                <w:b w:val="0"/>
                <w:sz w:val="17"/>
              </w:rPr>
              <w:t>Supported by implementation</w:t>
            </w:r>
          </w:p>
        </w:tc>
        <w:tc>
          <w:tcPr>
            <w:tcW w:type="dxa" w:w="3552"/>
            <w:vAlign w:val="top"/>
          </w:tcPr>
          <w:p>
            <w:r/>
            <w:r>
              <w:rPr>
                <w:b w:val="0"/>
                <w:sz w:val="17"/>
              </w:rPr>
              <w:t>Tables, hypertables, and aggregate views are created by SQL init scripts.</w:t>
            </w:r>
          </w:p>
        </w:tc>
      </w:tr>
      <w:tr>
        <w:trPr>
          <w:cantSplit/>
        </w:trPr>
        <w:tc>
          <w:tcPr>
            <w:tcW w:type="dxa" w:w="3552"/>
            <w:vAlign w:val="top"/>
          </w:tcPr>
          <w:p>
            <w:r/>
            <w:r>
              <w:rPr>
                <w:b w:val="0"/>
                <w:sz w:val="17"/>
              </w:rPr>
              <w:t>SEC, peak demand, load factor, cost, carbon KPI functions</w:t>
            </w:r>
          </w:p>
        </w:tc>
        <w:tc>
          <w:tcPr>
            <w:tcW w:type="dxa" w:w="3552"/>
            <w:vAlign w:val="top"/>
          </w:tcPr>
          <w:p>
            <w:r/>
            <w:r>
              <w:rPr>
                <w:b w:val="0"/>
                <w:sz w:val="17"/>
              </w:rPr>
              <w:t>Supported by implementation</w:t>
            </w:r>
          </w:p>
        </w:tc>
        <w:tc>
          <w:tcPr>
            <w:tcW w:type="dxa" w:w="3552"/>
            <w:vAlign w:val="top"/>
          </w:tcPr>
          <w:p>
            <w:r/>
            <w:r>
              <w:rPr>
                <w:b w:val="0"/>
                <w:sz w:val="17"/>
              </w:rPr>
              <w:t>SQL functions and service wrappers exist.</w:t>
            </w:r>
          </w:p>
        </w:tc>
      </w:tr>
      <w:tr>
        <w:trPr>
          <w:cantSplit/>
        </w:trPr>
        <w:tc>
          <w:tcPr>
            <w:tcW w:type="dxa" w:w="3552"/>
            <w:vAlign w:val="top"/>
          </w:tcPr>
          <w:p>
            <w:r/>
            <w:r>
              <w:rPr>
                <w:b w:val="0"/>
                <w:sz w:val="17"/>
              </w:rPr>
              <w:t>Grafana dashboards</w:t>
            </w:r>
          </w:p>
        </w:tc>
        <w:tc>
          <w:tcPr>
            <w:tcW w:type="dxa" w:w="3552"/>
            <w:vAlign w:val="top"/>
          </w:tcPr>
          <w:p>
            <w:r/>
            <w:r>
              <w:rPr>
                <w:b w:val="0"/>
                <w:sz w:val="17"/>
              </w:rPr>
              <w:t>Configured</w:t>
            </w:r>
          </w:p>
        </w:tc>
        <w:tc>
          <w:tcPr>
            <w:tcW w:type="dxa" w:w="3552"/>
            <w:vAlign w:val="top"/>
          </w:tcPr>
          <w:p>
            <w:r/>
            <w:r>
              <w:rPr>
                <w:b w:val="0"/>
                <w:sz w:val="17"/>
              </w:rPr>
              <w:t>Dashboard JSON and provisioning are tracked.</w:t>
            </w:r>
          </w:p>
        </w:tc>
      </w:tr>
      <w:tr>
        <w:trPr>
          <w:cantSplit/>
        </w:trPr>
        <w:tc>
          <w:tcPr>
            <w:tcW w:type="dxa" w:w="3552"/>
            <w:vAlign w:val="top"/>
          </w:tcPr>
          <w:p>
            <w:r/>
            <w:r>
              <w:rPr>
                <w:b w:val="0"/>
                <w:sz w:val="17"/>
              </w:rPr>
              <w:t>Node-RED ingestion</w:t>
            </w:r>
          </w:p>
        </w:tc>
        <w:tc>
          <w:tcPr>
            <w:tcW w:type="dxa" w:w="3552"/>
            <w:vAlign w:val="top"/>
          </w:tcPr>
          <w:p>
            <w:r/>
            <w:r>
              <w:rPr>
                <w:b w:val="0"/>
                <w:sz w:val="17"/>
              </w:rPr>
              <w:t>Configured and implemented</w:t>
            </w:r>
          </w:p>
        </w:tc>
        <w:tc>
          <w:tcPr>
            <w:tcW w:type="dxa" w:w="3552"/>
            <w:vAlign w:val="top"/>
          </w:tcPr>
          <w:p>
            <w:r/>
            <w:r>
              <w:rPr>
                <w:b w:val="0"/>
                <w:sz w:val="17"/>
              </w:rPr>
              <w:t>Flow nodes and settings are tracked; runtime execution not verified in this pass.</w:t>
            </w:r>
          </w:p>
        </w:tc>
      </w:tr>
      <w:tr>
        <w:trPr>
          <w:cantSplit/>
        </w:trPr>
        <w:tc>
          <w:tcPr>
            <w:tcW w:type="dxa" w:w="3552"/>
            <w:vAlign w:val="top"/>
          </w:tcPr>
          <w:p>
            <w:r/>
            <w:r>
              <w:rPr>
                <w:b w:val="0"/>
                <w:sz w:val="17"/>
              </w:rPr>
              <w:t>Sample factories and machines</w:t>
            </w:r>
          </w:p>
        </w:tc>
        <w:tc>
          <w:tcPr>
            <w:tcW w:type="dxa" w:w="3552"/>
            <w:vAlign w:val="top"/>
          </w:tcPr>
          <w:p>
            <w:r/>
            <w:r>
              <w:rPr>
                <w:b w:val="0"/>
                <w:sz w:val="17"/>
              </w:rPr>
              <w:t>Demo/sample data</w:t>
            </w:r>
          </w:p>
        </w:tc>
        <w:tc>
          <w:tcPr>
            <w:tcW w:type="dxa" w:w="3552"/>
            <w:vAlign w:val="top"/>
          </w:tcPr>
          <w:p>
            <w:r/>
            <w:r>
              <w:rPr>
                <w:b w:val="0"/>
                <w:sz w:val="17"/>
              </w:rPr>
              <w:t>Seed SQL inserts named sample facilities and machines.</w:t>
            </w:r>
          </w:p>
        </w:tc>
      </w:tr>
      <w:tr>
        <w:trPr>
          <w:cantSplit/>
        </w:trPr>
        <w:tc>
          <w:tcPr>
            <w:tcW w:type="dxa" w:w="3552"/>
            <w:vAlign w:val="top"/>
          </w:tcPr>
          <w:p>
            <w:pPr>
              <w:keepNext/>
            </w:pPr>
            <w:r/>
            <w:r>
              <w:rPr>
                <w:b w:val="0"/>
                <w:sz w:val="17"/>
              </w:rPr>
              <w:t>V2 report polish/semantic completeness</w:t>
            </w:r>
          </w:p>
        </w:tc>
        <w:tc>
          <w:tcPr>
            <w:tcW w:type="dxa" w:w="3552"/>
            <w:vAlign w:val="top"/>
          </w:tcPr>
          <w:p>
            <w:pPr>
              <w:keepNext/>
            </w:pPr>
            <w:r/>
            <w:r>
              <w:rPr>
                <w:b w:val="0"/>
                <w:sz w:val="17"/>
              </w:rPr>
              <w:t>Partially implemented</w:t>
            </w:r>
          </w:p>
        </w:tc>
        <w:tc>
          <w:tcPr>
            <w:tcW w:type="dxa" w:w="3552"/>
            <w:vAlign w:val="top"/>
          </w:tcPr>
          <w:p>
            <w:pPr>
              <w:keepNext/>
            </w:pPr>
            <w:r/>
            <w:r>
              <w:rPr>
                <w:b w:val="0"/>
                <w:sz w:val="17"/>
              </w:rPr>
              <w:t>Routes/templates exist, but some data calculations are placeholders or estimates.</w:t>
            </w:r>
          </w:p>
        </w:tc>
      </w:tr>
      <w:tr>
        <w:trPr>
          <w:cantSplit/>
        </w:trPr>
        <w:tc>
          <w:tcPr>
            <w:tcW w:type="dxa" w:w="3552"/>
            <w:vAlign w:val="top"/>
          </w:tcPr>
          <w:p>
            <w:r/>
            <w:r>
              <w:rPr>
                <w:b w:val="0"/>
                <w:sz w:val="17"/>
              </w:rPr>
              <w:t>Standalone query API service</w:t>
            </w:r>
          </w:p>
        </w:tc>
        <w:tc>
          <w:tcPr>
            <w:tcW w:type="dxa" w:w="3552"/>
            <w:vAlign w:val="top"/>
          </w:tcPr>
          <w:p>
            <w:r/>
            <w:r>
              <w:rPr>
                <w:b w:val="0"/>
                <w:sz w:val="17"/>
              </w:rPr>
              <w:t>Out of scope</w:t>
            </w:r>
          </w:p>
        </w:tc>
        <w:tc>
          <w:tcPr>
            <w:tcW w:type="dxa" w:w="3552"/>
            <w:vAlign w:val="top"/>
          </w:tcPr>
          <w:p>
            <w:r/>
            <w:r>
              <w:rPr>
                <w:b w:val="0"/>
                <w:sz w:val="17"/>
              </w:rPr>
              <w:t>No separate natural-language query API service is defined in the GitHub production docker-compose.yml.</w:t>
            </w:r>
          </w:p>
        </w:tc>
      </w:tr>
    </w:tbl>
    <w:p/>
    <w:p>
      <w:pPr>
        <w:pStyle w:val="Heading1"/>
      </w:pPr>
      <w:r>
        <w:t>Limitations And Assumptions</w:t>
      </w:r>
    </w:p>
    <w:p>
      <w:r>
        <w:t>The following items should be reviewed before stakeholder distribution. They are documented to avoid overstating the current implementation.</w:t>
      </w:r>
    </w:p>
    <w:tbl>
      <w:tblPr>
        <w:tblStyle w:val="TableGrid"/>
        <w:tblW w:type="auto" w:w="0"/>
        <w:jc w:val="center"/>
        <w:tblLook w:firstColumn="1" w:firstRow="1" w:lastColumn="0" w:lastRow="0" w:noHBand="0" w:noVBand="1" w:val="04A0"/>
      </w:tblPr>
      <w:tblGrid>
        <w:gridCol w:w="5328"/>
        <w:gridCol w:w="5328"/>
      </w:tblGrid>
      <w:tr>
        <w:trPr>
          <w:tblHeader w:val="true"/>
          <w:cantSplit/>
        </w:trPr>
        <w:tc>
          <w:tcPr>
            <w:tcW w:type="dxa" w:w="5328"/>
            <w:vAlign w:val="top"/>
            <w:shd w:fill="D9EAF7"/>
          </w:tcPr>
          <w:p>
            <w:r/>
            <w:r>
              <w:rPr>
                <w:b/>
                <w:sz w:val="17"/>
              </w:rPr>
              <w:t>Item</w:t>
            </w:r>
          </w:p>
        </w:tc>
        <w:tc>
          <w:tcPr>
            <w:tcW w:type="dxa" w:w="5328"/>
            <w:vAlign w:val="top"/>
            <w:shd w:fill="D9EAF7"/>
          </w:tcPr>
          <w:p>
            <w:r/>
            <w:r>
              <w:rPr>
                <w:b/>
                <w:sz w:val="17"/>
              </w:rPr>
              <w:t>Status</w:t>
            </w:r>
          </w:p>
        </w:tc>
      </w:tr>
      <w:tr>
        <w:trPr>
          <w:cantSplit/>
        </w:trPr>
        <w:tc>
          <w:tcPr>
            <w:tcW w:type="dxa" w:w="5328"/>
            <w:vAlign w:val="top"/>
          </w:tcPr>
          <w:p>
            <w:r/>
            <w:r>
              <w:rPr>
                <w:b w:val="0"/>
                <w:sz w:val="17"/>
              </w:rPr>
              <w:t>Runtime verification</w:t>
            </w:r>
          </w:p>
        </w:tc>
        <w:tc>
          <w:tcPr>
            <w:tcW w:type="dxa" w:w="5328"/>
            <w:vAlign w:val="top"/>
          </w:tcPr>
          <w:p>
            <w:r/>
            <w:r>
              <w:rPr>
                <w:b w:val="0"/>
                <w:sz w:val="17"/>
              </w:rPr>
              <w:t>This documentation package records compose validation. Live health checks require a running deployment and are not implied unless run separately.</w:t>
            </w:r>
          </w:p>
        </w:tc>
      </w:tr>
      <w:tr>
        <w:trPr>
          <w:cantSplit/>
        </w:trPr>
        <w:tc>
          <w:tcPr>
            <w:tcW w:type="dxa" w:w="5328"/>
            <w:vAlign w:val="top"/>
          </w:tcPr>
          <w:p>
            <w:r/>
            <w:r>
              <w:rPr>
                <w:b w:val="0"/>
                <w:sz w:val="17"/>
              </w:rPr>
              <w:t>OVOS deployment boundary</w:t>
            </w:r>
          </w:p>
        </w:tc>
        <w:tc>
          <w:tcPr>
            <w:tcW w:type="dxa" w:w="5328"/>
            <w:vAlign w:val="top"/>
          </w:tcPr>
          <w:p>
            <w:r/>
            <w:r>
              <w:rPr>
                <w:b w:val="0"/>
                <w:sz w:val="17"/>
              </w:rPr>
              <w:t>The GitHub production base docker-compose.yml does not define an OVOS service. OVOS-EnMS is documented as a separate source repository and companion assistant runtime.</w:t>
            </w:r>
          </w:p>
        </w:tc>
      </w:tr>
      <w:tr>
        <w:trPr>
          <w:cantSplit/>
        </w:trPr>
        <w:tc>
          <w:tcPr>
            <w:tcW w:type="dxa" w:w="5328"/>
            <w:vAlign w:val="top"/>
          </w:tcPr>
          <w:p>
            <w:r/>
            <w:r>
              <w:rPr>
                <w:b w:val="0"/>
                <w:sz w:val="17"/>
              </w:rPr>
              <w:t>OVOS optional LLM fallback</w:t>
            </w:r>
          </w:p>
        </w:tc>
        <w:tc>
          <w:tcPr>
            <w:tcW w:type="dxa" w:w="5328"/>
            <w:vAlign w:val="top"/>
          </w:tcPr>
          <w:p>
            <w:r/>
            <w:r>
              <w:rPr>
                <w:b w:val="0"/>
                <w:sz w:val="17"/>
              </w:rPr>
              <w:t>The OVOS-EnMS Dockerfile installs LLM fallback dependencies only when INSTALL_LLM_FALLBACK=true. Model availability must be verified in the OVOS-EnMS repository/runtime.</w:t>
            </w:r>
          </w:p>
        </w:tc>
      </w:tr>
      <w:tr>
        <w:trPr>
          <w:cantSplit/>
        </w:trPr>
        <w:tc>
          <w:tcPr>
            <w:tcW w:type="dxa" w:w="5328"/>
            <w:vAlign w:val="top"/>
          </w:tcPr>
          <w:p>
            <w:r/>
            <w:r>
              <w:rPr>
                <w:b w:val="0"/>
                <w:sz w:val="17"/>
              </w:rPr>
              <w:t>Third-party EnMS support</w:t>
            </w:r>
          </w:p>
        </w:tc>
        <w:tc>
          <w:tcPr>
            <w:tcW w:type="dxa" w:w="5328"/>
            <w:vAlign w:val="top"/>
          </w:tcPr>
          <w:p>
            <w:r/>
            <w:r>
              <w:rPr>
                <w:b w:val="0"/>
                <w:sz w:val="17"/>
              </w:rPr>
              <w:t>OVOS portability is through a HumanEnerDIA-compatible API or adapter/proxy, not zero-code support for arbitrary vendor APIs.</w:t>
            </w:r>
          </w:p>
        </w:tc>
      </w:tr>
      <w:tr>
        <w:trPr>
          <w:cantSplit/>
        </w:trPr>
        <w:tc>
          <w:tcPr>
            <w:tcW w:type="dxa" w:w="5328"/>
            <w:vAlign w:val="top"/>
          </w:tcPr>
          <w:p>
            <w:r/>
            <w:r>
              <w:rPr>
                <w:b w:val="0"/>
                <w:sz w:val="17"/>
              </w:rPr>
              <w:t>Reports V2</w:t>
            </w:r>
          </w:p>
        </w:tc>
        <w:tc>
          <w:tcPr>
            <w:tcW w:type="dxa" w:w="5328"/>
            <w:vAlign w:val="top"/>
          </w:tcPr>
          <w:p>
            <w:r/>
            <w:r>
              <w:rPr>
                <w:b w:val="0"/>
                <w:sz w:val="17"/>
              </w:rPr>
              <w:t>V2 report code is implemented, but some service calculations use derived/proportional or placeholder values; final stakeholders should review report semantics before audit use.</w:t>
            </w:r>
          </w:p>
        </w:tc>
      </w:tr>
      <w:tr>
        <w:trPr>
          <w:cantSplit/>
        </w:trPr>
        <w:tc>
          <w:tcPr>
            <w:tcW w:type="dxa" w:w="5328"/>
            <w:vAlign w:val="top"/>
          </w:tcPr>
          <w:p>
            <w:pPr>
              <w:keepNext/>
            </w:pPr>
            <w:r/>
            <w:r>
              <w:rPr>
                <w:b w:val="0"/>
                <w:sz w:val="17"/>
              </w:rPr>
              <w:t>Simulator inventory</w:t>
            </w:r>
          </w:p>
        </w:tc>
        <w:tc>
          <w:tcPr>
            <w:tcW w:type="dxa" w:w="5328"/>
            <w:vAlign w:val="top"/>
          </w:tcPr>
          <w:p>
            <w:pPr>
              <w:keepNext/>
            </w:pPr>
            <w:r/>
            <w:r>
              <w:rPr>
                <w:b w:val="0"/>
                <w:sz w:val="17"/>
              </w:rPr>
              <w:t>The simulator code supports boiler in addition to compressor, HVAC, motor, pump, and injection molding. One simulator info response still lists five machine types.</w:t>
            </w:r>
          </w:p>
        </w:tc>
      </w:tr>
      <w:tr>
        <w:trPr>
          <w:cantSplit/>
        </w:trPr>
        <w:tc>
          <w:tcPr>
            <w:tcW w:type="dxa" w:w="5328"/>
            <w:vAlign w:val="top"/>
          </w:tcPr>
          <w:p>
            <w:r/>
            <w:r>
              <w:rPr>
                <w:b w:val="0"/>
                <w:sz w:val="17"/>
              </w:rPr>
              <w:t>Security posture</w:t>
            </w:r>
          </w:p>
        </w:tc>
        <w:tc>
          <w:tcPr>
            <w:tcW w:type="dxa" w:w="5328"/>
            <w:vAlign w:val="top"/>
          </w:tcPr>
          <w:p>
            <w:r/>
            <w:r>
              <w:rPr>
                <w:b w:val="0"/>
                <w:sz w:val="17"/>
              </w:rPr>
              <w:t>The codebase provides secret placeholders, generated first-run credentials, JWT/bcrypt auth, health checks, and hardening guidance. Public production exposure still requires operator DNS/TLS/firewall/credential work.</w:t>
            </w:r>
          </w:p>
        </w:tc>
      </w:tr>
    </w:tbl>
    <w:p/>
    <w:p>
      <w:pPr>
        <w:pStyle w:val="Heading1"/>
      </w:pPr>
      <w:r>
        <w:t>Source References</w:t>
      </w:r>
    </w:p>
    <w:p>
      <w:r>
        <w:t>The table below lists the main source material used for this document. It is not a full file inventory; it identifies the sources behind the material claims.</w:t>
      </w:r>
    </w:p>
    <w:tbl>
      <w:tblPr>
        <w:tblStyle w:val="TableGrid"/>
        <w:tblW w:type="auto" w:w="0"/>
        <w:jc w:val="center"/>
        <w:tblLook w:firstColumn="1" w:firstRow="1" w:lastColumn="0" w:lastRow="0" w:noHBand="0" w:noVBand="1" w:val="04A0"/>
      </w:tblPr>
      <w:tblGrid>
        <w:gridCol w:w="5328"/>
        <w:gridCol w:w="5328"/>
      </w:tblGrid>
      <w:tr>
        <w:trPr>
          <w:tblHeader w:val="true"/>
          <w:cantSplit/>
        </w:trPr>
        <w:tc>
          <w:tcPr>
            <w:tcW w:type="dxa" w:w="5328"/>
            <w:vAlign w:val="top"/>
            <w:shd w:fill="D9EAF7"/>
          </w:tcPr>
          <w:p>
            <w:r/>
            <w:r>
              <w:rPr>
                <w:b/>
                <w:sz w:val="17"/>
              </w:rPr>
              <w:t>Topic</w:t>
            </w:r>
          </w:p>
        </w:tc>
        <w:tc>
          <w:tcPr>
            <w:tcW w:type="dxa" w:w="5328"/>
            <w:vAlign w:val="top"/>
            <w:shd w:fill="D9EAF7"/>
          </w:tcPr>
          <w:p>
            <w:r/>
            <w:r>
              <w:rPr>
                <w:b/>
                <w:sz w:val="17"/>
              </w:rPr>
              <w:t>Source material</w:t>
            </w:r>
          </w:p>
        </w:tc>
      </w:tr>
      <w:tr>
        <w:trPr>
          <w:cantSplit/>
        </w:trPr>
        <w:tc>
          <w:tcPr>
            <w:tcW w:type="dxa" w:w="5328"/>
            <w:vAlign w:val="top"/>
          </w:tcPr>
          <w:p>
            <w:r/>
            <w:r>
              <w:rPr>
                <w:b w:val="0"/>
                <w:sz w:val="17"/>
              </w:rPr>
              <w:t>KPI functions</w:t>
            </w:r>
          </w:p>
        </w:tc>
        <w:tc>
          <w:tcPr>
            <w:tcW w:type="dxa" w:w="5328"/>
            <w:vAlign w:val="top"/>
          </w:tcPr>
          <w:p>
            <w:r/>
            <w:r>
              <w:rPr>
                <w:b w:val="0"/>
                <w:sz w:val="17"/>
              </w:rPr>
              <w:t>database/init/04-functions.sql</w:t>
            </w:r>
          </w:p>
        </w:tc>
      </w:tr>
      <w:tr>
        <w:trPr>
          <w:cantSplit/>
        </w:trPr>
        <w:tc>
          <w:tcPr>
            <w:tcW w:type="dxa" w:w="5328"/>
            <w:vAlign w:val="top"/>
          </w:tcPr>
          <w:p>
            <w:r/>
            <w:r>
              <w:rPr>
                <w:b w:val="0"/>
                <w:sz w:val="17"/>
              </w:rPr>
              <w:t>KPI routes and service</w:t>
            </w:r>
          </w:p>
        </w:tc>
        <w:tc>
          <w:tcPr>
            <w:tcW w:type="dxa" w:w="5328"/>
            <w:vAlign w:val="top"/>
          </w:tcPr>
          <w:p>
            <w:r/>
            <w:r>
              <w:rPr>
                <w:b w:val="0"/>
                <w:sz w:val="17"/>
              </w:rPr>
              <w:t>analytics/api/routes/kpi.py; analytics/services/kpi_service.py</w:t>
            </w:r>
          </w:p>
        </w:tc>
      </w:tr>
      <w:tr>
        <w:trPr>
          <w:cantSplit/>
        </w:trPr>
        <w:tc>
          <w:tcPr>
            <w:tcW w:type="dxa" w:w="5328"/>
            <w:vAlign w:val="top"/>
          </w:tcPr>
          <w:p>
            <w:r/>
            <w:r>
              <w:rPr>
                <w:b w:val="0"/>
                <w:sz w:val="17"/>
              </w:rPr>
              <w:t>Report routes/services</w:t>
            </w:r>
          </w:p>
        </w:tc>
        <w:tc>
          <w:tcPr>
            <w:tcW w:type="dxa" w:w="5328"/>
            <w:vAlign w:val="top"/>
          </w:tcPr>
          <w:p>
            <w:r/>
            <w:r>
              <w:rPr>
                <w:b w:val="0"/>
                <w:sz w:val="17"/>
              </w:rPr>
              <w:t>analytics/api/routes/reports.py; analytics/reports/; analytics/reports_v2/</w:t>
            </w:r>
          </w:p>
        </w:tc>
      </w:tr>
      <w:tr>
        <w:trPr>
          <w:cantSplit/>
        </w:trPr>
        <w:tc>
          <w:tcPr>
            <w:tcW w:type="dxa" w:w="5328"/>
            <w:vAlign w:val="top"/>
          </w:tcPr>
          <w:p>
            <w:r/>
            <w:r>
              <w:rPr>
                <w:b w:val="0"/>
                <w:sz w:val="17"/>
              </w:rPr>
              <w:t>Database schema</w:t>
            </w:r>
          </w:p>
        </w:tc>
        <w:tc>
          <w:tcPr>
            <w:tcW w:type="dxa" w:w="5328"/>
            <w:vAlign w:val="top"/>
          </w:tcPr>
          <w:p>
            <w:r/>
            <w:r>
              <w:rPr>
                <w:b w:val="0"/>
                <w:sz w:val="17"/>
              </w:rPr>
              <w:t>database/init/02-schema.sql; database/init/03-timescaledb-setup.sql; database/init/04-functions.sql</w:t>
            </w:r>
          </w:p>
        </w:tc>
      </w:tr>
      <w:tr>
        <w:trPr>
          <w:cantSplit/>
        </w:trPr>
        <w:tc>
          <w:tcPr>
            <w:tcW w:type="dxa" w:w="5328"/>
            <w:vAlign w:val="top"/>
          </w:tcPr>
          <w:p>
            <w:r/>
            <w:r>
              <w:rPr>
                <w:b w:val="0"/>
                <w:sz w:val="17"/>
              </w:rPr>
              <w:t>Node-RED</w:t>
            </w:r>
          </w:p>
        </w:tc>
        <w:tc>
          <w:tcPr>
            <w:tcW w:type="dxa" w:w="5328"/>
            <w:vAlign w:val="top"/>
          </w:tcPr>
          <w:p>
            <w:r/>
            <w:r>
              <w:rPr>
                <w:b w:val="0"/>
                <w:sz w:val="17"/>
              </w:rPr>
              <w:t>nodered/data/flows.json; nodered/settings.js; nodered/package.json</w:t>
            </w:r>
          </w:p>
        </w:tc>
      </w:tr>
      <w:tr>
        <w:trPr>
          <w:cantSplit/>
        </w:trPr>
        <w:tc>
          <w:tcPr>
            <w:tcW w:type="dxa" w:w="5328"/>
            <w:vAlign w:val="top"/>
          </w:tcPr>
          <w:p>
            <w:pPr>
              <w:keepNext/>
            </w:pPr>
            <w:r/>
            <w:r>
              <w:rPr>
                <w:b w:val="0"/>
                <w:sz w:val="17"/>
              </w:rPr>
              <w:t>Grafana</w:t>
            </w:r>
          </w:p>
        </w:tc>
        <w:tc>
          <w:tcPr>
            <w:tcW w:type="dxa" w:w="5328"/>
            <w:vAlign w:val="top"/>
          </w:tcPr>
          <w:p>
            <w:pPr>
              <w:keepNext/>
            </w:pPr>
            <w:r/>
            <w:r>
              <w:rPr>
                <w:b w:val="0"/>
                <w:sz w:val="17"/>
              </w:rPr>
              <w:t>grafana/provisioning/; grafana/dashboards/</w:t>
            </w:r>
          </w:p>
        </w:tc>
      </w:tr>
      <w:tr>
        <w:trPr>
          <w:cantSplit/>
        </w:trPr>
        <w:tc>
          <w:tcPr>
            <w:tcW w:type="dxa" w:w="5328"/>
            <w:vAlign w:val="top"/>
          </w:tcPr>
          <w:p>
            <w:r/>
            <w:r>
              <w:rPr>
                <w:b w:val="0"/>
                <w:sz w:val="17"/>
              </w:rPr>
              <w:t>Simulator seed data</w:t>
            </w:r>
          </w:p>
        </w:tc>
        <w:tc>
          <w:tcPr>
            <w:tcW w:type="dxa" w:w="5328"/>
            <w:vAlign w:val="top"/>
          </w:tcPr>
          <w:p>
            <w:r/>
            <w:r>
              <w:rPr>
                <w:b w:val="0"/>
                <w:sz w:val="17"/>
              </w:rPr>
              <w:t>database/init/06-seed-data.sql</w:t>
            </w:r>
          </w:p>
        </w:tc>
      </w:tr>
    </w:tbl>
    <w:p/>
    <w:sectPr w:rsidR="00FC693F" w:rsidRPr="0006063C" w:rsidSect="00034616">
      <w:footerReference w:type="default" r:id="rId10"/>
      <w:pgSz w:w="12240" w:h="15840"/>
      <w:pgMar w:top="864" w:right="792" w:bottom="864"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6"/>
      </w:rPr>
      <w:t>WASABI / HumanEnerDIA / OVOS-EnMS | Energy Management System Reports and KPI Reports | Version 1.1 | 2026-06-09</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F172A"/>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E40A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