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Custom"/>
        <w:jc w:val="center"/>
      </w:pPr>
      <w:r>
        <w:t>Codecov Test Evidence</w:t>
      </w:r>
    </w:p>
    <w:p>
      <w:pPr>
        <w:pStyle w:val="SubtitleCustom"/>
        <w:jc w:val="center"/>
      </w:pPr>
      <w:r>
        <w:t>Campus Food Ordering Platform</w:t>
      </w:r>
    </w:p>
    <w:tbl>
      <w:tblPr>
        <w:tblW w:type="auto" w:w="0"/>
        <w:jc w:val="center"/>
        <w:tblLook w:firstColumn="1" w:firstRow="1" w:lastColumn="0" w:lastRow="0" w:noHBand="0" w:noVBand="1" w:val="04A0"/>
      </w:tblPr>
      <w:tblGrid>
        <w:gridCol w:w="7625"/>
        <w:gridCol w:w="7625"/>
      </w:tblGrid>
      <w:tr>
        <w:tc>
          <w:tcPr>
            <w:tcW w:type="dxa" w:w="7625"/>
            <w:shd w:fill="111827"/>
            <w:tcBorders>
              <w:top w:sz="6" w:val="single" w:color="CBD5E1"/>
              <w:left w:sz="6" w:val="single" w:color="CBD5E1"/>
              <w:bottom w:sz="6" w:val="single" w:color="CBD5E1"/>
              <w:right w:sz="6" w:val="single" w:color="CBD5E1"/>
            </w:tcBorders>
          </w:tcPr>
          <w:p>
            <w:pPr>
              <w:jc w:val="left"/>
            </w:pPr>
            <w:r/>
            <w:r>
              <w:rPr>
                <w:b/>
                <w:color w:val="FFFFFF"/>
                <w:sz w:val="19"/>
              </w:rPr>
              <w:t>Project</w:t>
            </w:r>
          </w:p>
        </w:tc>
        <w:tc>
          <w:tcPr>
            <w:tcW w:type="dxa" w:w="7625"/>
            <w:shd w:fill="FFFFFF"/>
            <w:tcBorders>
              <w:top w:sz="6" w:val="single" w:color="CBD5E1"/>
              <w:left w:sz="6" w:val="single" w:color="CBD5E1"/>
              <w:bottom w:sz="6" w:val="single" w:color="CBD5E1"/>
              <w:right w:sz="6" w:val="single" w:color="CBD5E1"/>
            </w:tcBorders>
          </w:tcPr>
          <w:p>
            <w:pPr>
              <w:jc w:val="left"/>
            </w:pPr>
            <w:r/>
            <w:r>
              <w:rPr>
                <w:b w:val="0"/>
                <w:color w:val="111827"/>
                <w:sz w:val="19"/>
              </w:rPr>
              <w:t>Campus Food Ordering Platform</w:t>
            </w:r>
          </w:p>
        </w:tc>
      </w:tr>
      <w:tr>
        <w:tc>
          <w:tcPr>
            <w:tcW w:type="dxa" w:w="7625"/>
            <w:shd w:fill="111827"/>
            <w:tcBorders>
              <w:top w:sz="6" w:val="single" w:color="CBD5E1"/>
              <w:left w:sz="6" w:val="single" w:color="CBD5E1"/>
              <w:bottom w:sz="6" w:val="single" w:color="CBD5E1"/>
              <w:right w:sz="6" w:val="single" w:color="CBD5E1"/>
            </w:tcBorders>
          </w:tcPr>
          <w:p>
            <w:pPr>
              <w:jc w:val="left"/>
            </w:pPr>
            <w:r/>
            <w:r>
              <w:rPr>
                <w:b/>
                <w:color w:val="FFFFFF"/>
                <w:sz w:val="19"/>
              </w:rPr>
              <w:t>Evidence Type</w:t>
            </w:r>
          </w:p>
        </w:tc>
        <w:tc>
          <w:tcPr>
            <w:tcW w:type="dxa" w:w="7625"/>
            <w:shd w:fill="FFFFFF"/>
            <w:tcBorders>
              <w:top w:sz="6" w:val="single" w:color="CBD5E1"/>
              <w:left w:sz="6" w:val="single" w:color="CBD5E1"/>
              <w:bottom w:sz="6" w:val="single" w:color="CBD5E1"/>
              <w:right w:sz="6" w:val="single" w:color="CBD5E1"/>
            </w:tcBorders>
          </w:tcPr>
          <w:p>
            <w:pPr>
              <w:jc w:val="left"/>
            </w:pPr>
            <w:r/>
            <w:r>
              <w:rPr>
                <w:b w:val="0"/>
                <w:color w:val="111827"/>
                <w:sz w:val="19"/>
              </w:rPr>
              <w:t>Automated testing and code coverage evidence</w:t>
            </w:r>
          </w:p>
        </w:tc>
      </w:tr>
      <w:tr>
        <w:tc>
          <w:tcPr>
            <w:tcW w:type="dxa" w:w="7625"/>
            <w:shd w:fill="111827"/>
            <w:tcBorders>
              <w:top w:sz="6" w:val="single" w:color="CBD5E1"/>
              <w:left w:sz="6" w:val="single" w:color="CBD5E1"/>
              <w:bottom w:sz="6" w:val="single" w:color="CBD5E1"/>
              <w:right w:sz="6" w:val="single" w:color="CBD5E1"/>
            </w:tcBorders>
          </w:tcPr>
          <w:p>
            <w:pPr>
              <w:jc w:val="left"/>
            </w:pPr>
            <w:r/>
            <w:r>
              <w:rPr>
                <w:b/>
                <w:color w:val="FFFFFF"/>
                <w:sz w:val="19"/>
              </w:rPr>
              <w:t>Tool Used</w:t>
            </w:r>
          </w:p>
        </w:tc>
        <w:tc>
          <w:tcPr>
            <w:tcW w:type="dxa" w:w="7625"/>
            <w:shd w:fill="FFFFFF"/>
            <w:tcBorders>
              <w:top w:sz="6" w:val="single" w:color="CBD5E1"/>
              <w:left w:sz="6" w:val="single" w:color="CBD5E1"/>
              <w:bottom w:sz="6" w:val="single" w:color="CBD5E1"/>
              <w:right w:sz="6" w:val="single" w:color="CBD5E1"/>
            </w:tcBorders>
          </w:tcPr>
          <w:p>
            <w:pPr>
              <w:jc w:val="left"/>
            </w:pPr>
            <w:r/>
            <w:r>
              <w:rPr>
                <w:b w:val="0"/>
                <w:color w:val="111827"/>
                <w:sz w:val="19"/>
              </w:rPr>
              <w:t>Codecov</w:t>
            </w:r>
          </w:p>
        </w:tc>
      </w:tr>
      <w:tr>
        <w:tc>
          <w:tcPr>
            <w:tcW w:type="dxa" w:w="7625"/>
            <w:shd w:fill="111827"/>
            <w:tcBorders>
              <w:top w:sz="6" w:val="single" w:color="CBD5E1"/>
              <w:left w:sz="6" w:val="single" w:color="CBD5E1"/>
              <w:bottom w:sz="6" w:val="single" w:color="CBD5E1"/>
              <w:right w:sz="6" w:val="single" w:color="CBD5E1"/>
            </w:tcBorders>
          </w:tcPr>
          <w:p>
            <w:pPr>
              <w:jc w:val="left"/>
            </w:pPr>
            <w:r/>
            <w:r>
              <w:rPr>
                <w:b/>
                <w:color w:val="FFFFFF"/>
                <w:sz w:val="19"/>
              </w:rPr>
              <w:t>Branch Tested</w:t>
            </w:r>
          </w:p>
        </w:tc>
        <w:tc>
          <w:tcPr>
            <w:tcW w:type="dxa" w:w="7625"/>
            <w:shd w:fill="FFFFFF"/>
            <w:tcBorders>
              <w:top w:sz="6" w:val="single" w:color="CBD5E1"/>
              <w:left w:sz="6" w:val="single" w:color="CBD5E1"/>
              <w:bottom w:sz="6" w:val="single" w:color="CBD5E1"/>
              <w:right w:sz="6" w:val="single" w:color="CBD5E1"/>
            </w:tcBorders>
          </w:tcPr>
          <w:p>
            <w:pPr>
              <w:jc w:val="left"/>
            </w:pPr>
            <w:r/>
            <w:r>
              <w:rPr>
                <w:b w:val="0"/>
                <w:color w:val="111827"/>
                <w:sz w:val="19"/>
              </w:rPr>
              <w:t>main</w:t>
            </w:r>
          </w:p>
        </w:tc>
      </w:tr>
      <w:tr>
        <w:tc>
          <w:tcPr>
            <w:tcW w:type="dxa" w:w="7625"/>
            <w:shd w:fill="111827"/>
            <w:tcBorders>
              <w:top w:sz="6" w:val="single" w:color="CBD5E1"/>
              <w:left w:sz="6" w:val="single" w:color="CBD5E1"/>
              <w:bottom w:sz="6" w:val="single" w:color="CBD5E1"/>
              <w:right w:sz="6" w:val="single" w:color="CBD5E1"/>
            </w:tcBorders>
          </w:tcPr>
          <w:p>
            <w:pPr>
              <w:jc w:val="left"/>
            </w:pPr>
            <w:r/>
            <w:r>
              <w:rPr>
                <w:b/>
                <w:color w:val="FFFFFF"/>
                <w:sz w:val="19"/>
              </w:rPr>
              <w:t>Latest Source Commit Shown</w:t>
            </w:r>
          </w:p>
        </w:tc>
        <w:tc>
          <w:tcPr>
            <w:tcW w:type="dxa" w:w="7625"/>
            <w:shd w:fill="FFFFFF"/>
            <w:tcBorders>
              <w:top w:sz="6" w:val="single" w:color="CBD5E1"/>
              <w:left w:sz="6" w:val="single" w:color="CBD5E1"/>
              <w:bottom w:sz="6" w:val="single" w:color="CBD5E1"/>
              <w:right w:sz="6" w:val="single" w:color="CBD5E1"/>
            </w:tcBorders>
          </w:tcPr>
          <w:p>
            <w:pPr>
              <w:jc w:val="left"/>
            </w:pPr>
            <w:r/>
            <w:r>
              <w:rPr>
                <w:b w:val="0"/>
                <w:color w:val="111827"/>
                <w:sz w:val="19"/>
              </w:rPr>
              <w:t>4a0c149</w:t>
            </w:r>
          </w:p>
        </w:tc>
      </w:tr>
      <w:tr>
        <w:tc>
          <w:tcPr>
            <w:tcW w:type="dxa" w:w="7625"/>
            <w:shd w:fill="111827"/>
            <w:tcBorders>
              <w:top w:sz="6" w:val="single" w:color="CBD5E1"/>
              <w:left w:sz="6" w:val="single" w:color="CBD5E1"/>
              <w:bottom w:sz="6" w:val="single" w:color="CBD5E1"/>
              <w:right w:sz="6" w:val="single" w:color="CBD5E1"/>
            </w:tcBorders>
          </w:tcPr>
          <w:p>
            <w:pPr>
              <w:jc w:val="left"/>
            </w:pPr>
            <w:r/>
            <w:r>
              <w:rPr>
                <w:b/>
                <w:color w:val="FFFFFF"/>
                <w:sz w:val="19"/>
              </w:rPr>
              <w:t>Updated Coverage</w:t>
            </w:r>
          </w:p>
        </w:tc>
        <w:tc>
          <w:tcPr>
            <w:tcW w:type="dxa" w:w="7625"/>
            <w:shd w:fill="FFFFFF"/>
            <w:tcBorders>
              <w:top w:sz="6" w:val="single" w:color="CBD5E1"/>
              <w:left w:sz="6" w:val="single" w:color="CBD5E1"/>
              <w:bottom w:sz="6" w:val="single" w:color="CBD5E1"/>
              <w:right w:sz="6" w:val="single" w:color="CBD5E1"/>
            </w:tcBorders>
          </w:tcPr>
          <w:p>
            <w:pPr>
              <w:jc w:val="left"/>
            </w:pPr>
            <w:r/>
            <w:r>
              <w:rPr>
                <w:b w:val="0"/>
                <w:color w:val="111827"/>
                <w:sz w:val="19"/>
              </w:rPr>
              <w:t>81.42%</w:t>
            </w:r>
          </w:p>
        </w:tc>
      </w:tr>
      <w:tr>
        <w:tc>
          <w:tcPr>
            <w:tcW w:type="dxa" w:w="7625"/>
            <w:shd w:fill="111827"/>
            <w:tcBorders>
              <w:top w:sz="6" w:val="single" w:color="CBD5E1"/>
              <w:left w:sz="6" w:val="single" w:color="CBD5E1"/>
              <w:bottom w:sz="6" w:val="single" w:color="CBD5E1"/>
              <w:right w:sz="6" w:val="single" w:color="CBD5E1"/>
            </w:tcBorders>
          </w:tcPr>
          <w:p>
            <w:pPr>
              <w:jc w:val="left"/>
            </w:pPr>
            <w:r/>
            <w:r>
              <w:rPr>
                <w:b/>
                <w:color w:val="FFFFFF"/>
                <w:sz w:val="19"/>
              </w:rPr>
              <w:t>Covered Lines</w:t>
            </w:r>
          </w:p>
        </w:tc>
        <w:tc>
          <w:tcPr>
            <w:tcW w:type="dxa" w:w="7625"/>
            <w:shd w:fill="FFFFFF"/>
            <w:tcBorders>
              <w:top w:sz="6" w:val="single" w:color="CBD5E1"/>
              <w:left w:sz="6" w:val="single" w:color="CBD5E1"/>
              <w:bottom w:sz="6" w:val="single" w:color="CBD5E1"/>
              <w:right w:sz="6" w:val="single" w:color="CBD5E1"/>
            </w:tcBorders>
          </w:tcPr>
          <w:p>
            <w:pPr>
              <w:jc w:val="left"/>
            </w:pPr>
            <w:r/>
            <w:r>
              <w:rPr>
                <w:b w:val="0"/>
                <w:color w:val="111827"/>
                <w:sz w:val="19"/>
              </w:rPr>
              <w:t>1420 of 1744</w:t>
            </w:r>
          </w:p>
        </w:tc>
      </w:tr>
    </w:tbl>
    <w:p/>
    <w:tbl>
      <w:tblPr>
        <w:tblW w:type="auto" w:w="0"/>
        <w:jc w:val="center"/>
        <w:tblLayout w:type="autofit"/>
        <w:tblLook w:firstColumn="1" w:firstRow="1" w:lastColumn="0" w:lastRow="0" w:noHBand="0" w:noVBand="1" w:val="04A0"/>
      </w:tblPr>
      <w:tblGrid>
        <w:gridCol w:w="3812"/>
        <w:gridCol w:w="3812"/>
        <w:gridCol w:w="3812"/>
        <w:gridCol w:w="3812"/>
      </w:tblGrid>
      <w:tr>
        <w:tc>
          <w:tcPr>
            <w:tcW w:type="dxa" w:w="3812"/>
            <w:shd w:fill="EAF7EF"/>
            <w:vAlign w:val="center"/>
            <w:tcBorders>
              <w:top w:sz="6" w:val="single" w:color="B7DCC2"/>
              <w:left w:sz="6" w:val="single" w:color="B7DCC2"/>
              <w:bottom w:sz="6" w:val="single" w:color="B7DCC2"/>
              <w:right w:sz="6" w:val="single" w:color="B7DCC2"/>
            </w:tcBorders>
          </w:tcPr>
          <w:p>
            <w:pPr>
              <w:jc w:val="center"/>
            </w:pPr>
            <w:r>
              <w:rPr>
                <w:b/>
                <w:color w:val="111827"/>
                <w:sz w:val="18"/>
              </w:rPr>
              <w:t>Overall Coverage</w:t>
              <w:br/>
            </w:r>
            <w:r>
              <w:rPr>
                <w:b/>
                <w:color w:val="0E7A34"/>
                <w:sz w:val="36"/>
              </w:rPr>
              <w:t>81.42%</w:t>
              <w:br/>
            </w:r>
            <w:r>
              <w:rPr>
                <w:color w:val="4B5563"/>
                <w:sz w:val="16"/>
              </w:rPr>
              <w:t>Main branch coverage reported by Codecov.</w:t>
            </w:r>
          </w:p>
        </w:tc>
        <w:tc>
          <w:tcPr>
            <w:tcW w:type="dxa" w:w="3812"/>
            <w:shd w:fill="EAF7EF"/>
            <w:vAlign w:val="center"/>
            <w:tcBorders>
              <w:top w:sz="6" w:val="single" w:color="B7DCC2"/>
              <w:left w:sz="6" w:val="single" w:color="B7DCC2"/>
              <w:bottom w:sz="6" w:val="single" w:color="B7DCC2"/>
              <w:right w:sz="6" w:val="single" w:color="B7DCC2"/>
            </w:tcBorders>
          </w:tcPr>
          <w:p>
            <w:pPr>
              <w:jc w:val="center"/>
            </w:pPr>
            <w:r>
              <w:rPr>
                <w:b/>
                <w:color w:val="111827"/>
                <w:sz w:val="18"/>
              </w:rPr>
              <w:t>Covered Lines</w:t>
              <w:br/>
            </w:r>
            <w:r>
              <w:rPr>
                <w:b/>
                <w:color w:val="0E7A34"/>
                <w:sz w:val="36"/>
              </w:rPr>
              <w:t>1420 / 1744</w:t>
              <w:br/>
            </w:r>
            <w:r>
              <w:rPr>
                <w:color w:val="4B5563"/>
                <w:sz w:val="16"/>
              </w:rPr>
              <w:t>Lines covered by automated tests.</w:t>
            </w:r>
          </w:p>
        </w:tc>
        <w:tc>
          <w:tcPr>
            <w:tcW w:type="dxa" w:w="3812"/>
            <w:shd w:fill="EAF7EF"/>
            <w:vAlign w:val="center"/>
            <w:tcBorders>
              <w:top w:sz="6" w:val="single" w:color="B7DCC2"/>
              <w:left w:sz="6" w:val="single" w:color="B7DCC2"/>
              <w:bottom w:sz="6" w:val="single" w:color="B7DCC2"/>
              <w:right w:sz="6" w:val="single" w:color="B7DCC2"/>
            </w:tcBorders>
          </w:tcPr>
          <w:p>
            <w:pPr>
              <w:jc w:val="center"/>
            </w:pPr>
            <w:r>
              <w:rPr>
                <w:b/>
                <w:color w:val="111827"/>
                <w:sz w:val="18"/>
              </w:rPr>
              <w:t>Missed Lines</w:t>
              <w:br/>
            </w:r>
            <w:r>
              <w:rPr>
                <w:b/>
                <w:color w:val="0E7A34"/>
                <w:sz w:val="36"/>
              </w:rPr>
              <w:t>324</w:t>
              <w:br/>
            </w:r>
            <w:r>
              <w:rPr>
                <w:color w:val="4B5563"/>
                <w:sz w:val="16"/>
              </w:rPr>
              <w:t>Tracked lines not covered yet.</w:t>
            </w:r>
          </w:p>
        </w:tc>
        <w:tc>
          <w:tcPr>
            <w:tcW w:type="dxa" w:w="3812"/>
            <w:shd w:fill="EAF7EF"/>
            <w:vAlign w:val="center"/>
            <w:tcBorders>
              <w:top w:sz="6" w:val="single" w:color="B7DCC2"/>
              <w:left w:sz="6" w:val="single" w:color="B7DCC2"/>
              <w:bottom w:sz="6" w:val="single" w:color="B7DCC2"/>
              <w:right w:sz="6" w:val="single" w:color="B7DCC2"/>
            </w:tcBorders>
          </w:tcPr>
          <w:p>
            <w:pPr>
              <w:jc w:val="center"/>
            </w:pPr>
            <w:r>
              <w:rPr>
                <w:b/>
                <w:color w:val="111827"/>
                <w:sz w:val="18"/>
              </w:rPr>
              <w:t>Coverage Trend</w:t>
              <w:br/>
            </w:r>
            <w:r>
              <w:rPr>
                <w:b/>
                <w:color w:val="0E7A34"/>
                <w:sz w:val="36"/>
              </w:rPr>
              <w:t>+100.00%</w:t>
              <w:br/>
            </w:r>
            <w:r>
              <w:rPr>
                <w:color w:val="4B5563"/>
                <w:sz w:val="16"/>
              </w:rPr>
              <w:t>Positive trend shown on Codecov dashboard.</w:t>
            </w:r>
          </w:p>
        </w:tc>
      </w:tr>
    </w:tbl>
    <w:p/>
    <w:p>
      <w:pPr>
        <w:pStyle w:val="Heading1"/>
      </w:pPr>
      <w:r>
        <w:t>1. Purpose of this Document</w:t>
      </w:r>
    </w:p>
    <w:p>
      <w:pPr>
        <w:pStyle w:val="BodyText"/>
      </w:pPr>
      <w:r>
        <w:t>This document provides updated Codecov evidence for the Campus Food Ordering Platform. It shows that automated testing is connected to the GitHub repository and that the main branch has measurable test coverage.</w:t>
      </w:r>
    </w:p>
    <w:p>
      <w:pPr>
        <w:pStyle w:val="BodyText"/>
      </w:pPr>
      <w:r>
        <w:t>The screenshots included below replace the older Codecov screenshots. The latest captured project coverage is 81.42%, with 1420 of 1744 tracked lines covered.</w:t>
      </w:r>
    </w:p>
    <w:p>
      <w:pPr>
        <w:pStyle w:val="Heading1"/>
      </w:pPr>
      <w:r>
        <w:t>2. Executive Summary</w:t>
      </w:r>
    </w:p>
    <w:p>
      <w:pPr>
        <w:pStyle w:val="BodyText"/>
      </w:pPr>
      <w:r>
        <w:t>The updated Codecov report shows that the project has passed the 80% overall coverage target. The strongest tested areas are the vendor code and the Cloudflare API / backend logic. Authentication is also well covered. The student area has acceptable coverage, but some user-interface heavy files can still be improved in future work.</w:t>
      </w:r>
    </w:p>
    <w:p>
      <w:r>
        <w:br w:type="page"/>
      </w:r>
    </w:p>
    <w:p>
      <w:pPr>
        <w:pStyle w:val="Heading1"/>
      </w:pPr>
      <w:r>
        <w:t>3. Overall Coverage Breakdown</w:t>
      </w:r>
    </w:p>
    <w:p>
      <w:pPr>
        <w:pStyle w:val="BodyText"/>
      </w:pPr>
      <w:r>
        <w:t>The table below summarises the updated Codecov folder-level results from the latest screenshots.</w:t>
      </w:r>
    </w:p>
    <w:tbl>
      <w:tblPr>
        <w:tblW w:type="auto" w:w="0"/>
        <w:jc w:val="center"/>
        <w:tblLook w:firstColumn="1" w:firstRow="1" w:lastColumn="0" w:lastRow="0" w:noHBand="0" w:noVBand="1" w:val="04A0"/>
      </w:tblPr>
      <w:tblGrid>
        <w:gridCol w:w="2542"/>
        <w:gridCol w:w="2542"/>
        <w:gridCol w:w="2542"/>
        <w:gridCol w:w="2542"/>
        <w:gridCol w:w="2542"/>
        <w:gridCol w:w="2542"/>
      </w:tblGrid>
      <w:tr>
        <w:tc>
          <w:tcPr>
            <w:tcW w:type="dxa" w:w="2542"/>
            <w:shd w:fill="111827"/>
            <w:tcBorders>
              <w:top w:sz="6" w:val="single" w:color="CBD5E1"/>
              <w:left w:sz="6" w:val="single" w:color="CBD5E1"/>
              <w:bottom w:sz="6" w:val="single" w:color="CBD5E1"/>
              <w:right w:sz="6" w:val="single" w:color="CBD5E1"/>
            </w:tcBorders>
          </w:tcPr>
          <w:p>
            <w:pPr>
              <w:jc w:val="left"/>
            </w:pPr>
            <w:r/>
            <w:r>
              <w:rPr>
                <w:b/>
                <w:color w:val="FFFFFF"/>
                <w:sz w:val="17"/>
              </w:rPr>
              <w:t>Area</w:t>
            </w:r>
          </w:p>
        </w:tc>
        <w:tc>
          <w:tcPr>
            <w:tcW w:type="dxa" w:w="2542"/>
            <w:shd w:fill="111827"/>
            <w:tcBorders>
              <w:top w:sz="6" w:val="single" w:color="CBD5E1"/>
              <w:left w:sz="6" w:val="single" w:color="CBD5E1"/>
              <w:bottom w:sz="6" w:val="single" w:color="CBD5E1"/>
              <w:right w:sz="6" w:val="single" w:color="CBD5E1"/>
            </w:tcBorders>
          </w:tcPr>
          <w:p>
            <w:pPr>
              <w:jc w:val="left"/>
            </w:pPr>
            <w:r/>
            <w:r>
              <w:rPr>
                <w:b/>
                <w:color w:val="FFFFFF"/>
                <w:sz w:val="17"/>
              </w:rPr>
              <w:t>Tracked Lines</w:t>
            </w:r>
          </w:p>
        </w:tc>
        <w:tc>
          <w:tcPr>
            <w:tcW w:type="dxa" w:w="2542"/>
            <w:shd w:fill="111827"/>
            <w:tcBorders>
              <w:top w:sz="6" w:val="single" w:color="CBD5E1"/>
              <w:left w:sz="6" w:val="single" w:color="CBD5E1"/>
              <w:bottom w:sz="6" w:val="single" w:color="CBD5E1"/>
              <w:right w:sz="6" w:val="single" w:color="CBD5E1"/>
            </w:tcBorders>
          </w:tcPr>
          <w:p>
            <w:pPr>
              <w:jc w:val="left"/>
            </w:pPr>
            <w:r/>
            <w:r>
              <w:rPr>
                <w:b/>
                <w:color w:val="FFFFFF"/>
                <w:sz w:val="17"/>
              </w:rPr>
              <w:t>Covered</w:t>
            </w:r>
          </w:p>
        </w:tc>
        <w:tc>
          <w:tcPr>
            <w:tcW w:type="dxa" w:w="2542"/>
            <w:shd w:fill="111827"/>
            <w:tcBorders>
              <w:top w:sz="6" w:val="single" w:color="CBD5E1"/>
              <w:left w:sz="6" w:val="single" w:color="CBD5E1"/>
              <w:bottom w:sz="6" w:val="single" w:color="CBD5E1"/>
              <w:right w:sz="6" w:val="single" w:color="CBD5E1"/>
            </w:tcBorders>
          </w:tcPr>
          <w:p>
            <w:pPr>
              <w:jc w:val="left"/>
            </w:pPr>
            <w:r/>
            <w:r>
              <w:rPr>
                <w:b/>
                <w:color w:val="FFFFFF"/>
                <w:sz w:val="17"/>
              </w:rPr>
              <w:t>Missed</w:t>
            </w:r>
          </w:p>
        </w:tc>
        <w:tc>
          <w:tcPr>
            <w:tcW w:type="dxa" w:w="2542"/>
            <w:shd w:fill="111827"/>
            <w:tcBorders>
              <w:top w:sz="6" w:val="single" w:color="CBD5E1"/>
              <w:left w:sz="6" w:val="single" w:color="CBD5E1"/>
              <w:bottom w:sz="6" w:val="single" w:color="CBD5E1"/>
              <w:right w:sz="6" w:val="single" w:color="CBD5E1"/>
            </w:tcBorders>
          </w:tcPr>
          <w:p>
            <w:pPr>
              <w:jc w:val="left"/>
            </w:pPr>
            <w:r/>
            <w:r>
              <w:rPr>
                <w:b/>
                <w:color w:val="FFFFFF"/>
                <w:sz w:val="17"/>
              </w:rPr>
              <w:t>Coverage</w:t>
            </w:r>
          </w:p>
        </w:tc>
        <w:tc>
          <w:tcPr>
            <w:tcW w:type="dxa" w:w="2542"/>
            <w:shd w:fill="111827"/>
            <w:tcBorders>
              <w:top w:sz="6" w:val="single" w:color="CBD5E1"/>
              <w:left w:sz="6" w:val="single" w:color="CBD5E1"/>
              <w:bottom w:sz="6" w:val="single" w:color="CBD5E1"/>
              <w:right w:sz="6" w:val="single" w:color="CBD5E1"/>
            </w:tcBorders>
          </w:tcPr>
          <w:p>
            <w:pPr>
              <w:jc w:val="left"/>
            </w:pPr>
            <w:r/>
            <w:r>
              <w:rPr>
                <w:b/>
                <w:color w:val="FFFFFF"/>
                <w:sz w:val="17"/>
              </w:rPr>
              <w:t>Interpretation</w:t>
            </w:r>
          </w:p>
        </w:tc>
      </w:tr>
      <w:tr>
        <w:tc>
          <w:tcPr>
            <w:tcW w:type="dxa" w:w="2542"/>
            <w:shd w:fill="FFFFFF"/>
            <w:tcBorders>
              <w:top w:sz="6" w:val="single" w:color="CBD5E1"/>
              <w:left w:sz="6" w:val="single" w:color="CBD5E1"/>
              <w:bottom w:sz="6" w:val="single" w:color="CBD5E1"/>
              <w:right w:sz="6" w:val="single" w:color="CBD5E1"/>
            </w:tcBorders>
          </w:tcPr>
          <w:p>
            <w:pPr>
              <w:jc w:val="left"/>
            </w:pPr>
            <w:r/>
            <w:r>
              <w:rPr>
                <w:b w:val="0"/>
                <w:color w:val="111827"/>
                <w:sz w:val="17"/>
              </w:rPr>
              <w:t>auth</w:t>
            </w:r>
          </w:p>
        </w:tc>
        <w:tc>
          <w:tcPr>
            <w:tcW w:type="dxa" w:w="2542"/>
            <w:shd w:fill="FFFFFF"/>
            <w:tcBorders>
              <w:top w:sz="6" w:val="single" w:color="CBD5E1"/>
              <w:left w:sz="6" w:val="single" w:color="CBD5E1"/>
              <w:bottom w:sz="6" w:val="single" w:color="CBD5E1"/>
              <w:right w:sz="6" w:val="single" w:color="CBD5E1"/>
            </w:tcBorders>
          </w:tcPr>
          <w:p>
            <w:pPr>
              <w:jc w:val="left"/>
            </w:pPr>
            <w:r/>
            <w:r>
              <w:rPr>
                <w:b w:val="0"/>
                <w:color w:val="111827"/>
                <w:sz w:val="17"/>
              </w:rPr>
              <w:t>195</w:t>
            </w:r>
          </w:p>
        </w:tc>
        <w:tc>
          <w:tcPr>
            <w:tcW w:type="dxa" w:w="2542"/>
            <w:shd w:fill="FFFFFF"/>
            <w:tcBorders>
              <w:top w:sz="6" w:val="single" w:color="CBD5E1"/>
              <w:left w:sz="6" w:val="single" w:color="CBD5E1"/>
              <w:bottom w:sz="6" w:val="single" w:color="CBD5E1"/>
              <w:right w:sz="6" w:val="single" w:color="CBD5E1"/>
            </w:tcBorders>
          </w:tcPr>
          <w:p>
            <w:pPr>
              <w:jc w:val="left"/>
            </w:pPr>
            <w:r/>
            <w:r>
              <w:rPr>
                <w:b w:val="0"/>
                <w:color w:val="111827"/>
                <w:sz w:val="17"/>
              </w:rPr>
              <w:t>161</w:t>
            </w:r>
          </w:p>
        </w:tc>
        <w:tc>
          <w:tcPr>
            <w:tcW w:type="dxa" w:w="2542"/>
            <w:shd w:fill="FFFFFF"/>
            <w:tcBorders>
              <w:top w:sz="6" w:val="single" w:color="CBD5E1"/>
              <w:left w:sz="6" w:val="single" w:color="CBD5E1"/>
              <w:bottom w:sz="6" w:val="single" w:color="CBD5E1"/>
              <w:right w:sz="6" w:val="single" w:color="CBD5E1"/>
            </w:tcBorders>
          </w:tcPr>
          <w:p>
            <w:pPr>
              <w:jc w:val="left"/>
            </w:pPr>
            <w:r/>
            <w:r>
              <w:rPr>
                <w:b w:val="0"/>
                <w:color w:val="111827"/>
                <w:sz w:val="17"/>
              </w:rPr>
              <w:t>34</w:t>
            </w:r>
          </w:p>
        </w:tc>
        <w:tc>
          <w:tcPr>
            <w:tcW w:type="dxa" w:w="2542"/>
            <w:shd w:fill="FFFFFF"/>
            <w:tcBorders>
              <w:top w:sz="6" w:val="single" w:color="CBD5E1"/>
              <w:left w:sz="6" w:val="single" w:color="CBD5E1"/>
              <w:bottom w:sz="6" w:val="single" w:color="CBD5E1"/>
              <w:right w:sz="6" w:val="single" w:color="CBD5E1"/>
            </w:tcBorders>
          </w:tcPr>
          <w:p>
            <w:pPr>
              <w:jc w:val="left"/>
            </w:pPr>
            <w:r/>
            <w:r>
              <w:rPr>
                <w:b w:val="0"/>
                <w:color w:val="111827"/>
                <w:sz w:val="17"/>
              </w:rPr>
              <w:t>82.56%</w:t>
            </w:r>
          </w:p>
        </w:tc>
        <w:tc>
          <w:tcPr>
            <w:tcW w:type="dxa" w:w="2542"/>
            <w:shd w:fill="FFFFFF"/>
            <w:tcBorders>
              <w:top w:sz="6" w:val="single" w:color="CBD5E1"/>
              <w:left w:sz="6" w:val="single" w:color="CBD5E1"/>
              <w:bottom w:sz="6" w:val="single" w:color="CBD5E1"/>
              <w:right w:sz="6" w:val="single" w:color="CBD5E1"/>
            </w:tcBorders>
          </w:tcPr>
          <w:p>
            <w:pPr>
              <w:jc w:val="left"/>
            </w:pPr>
            <w:r/>
            <w:r>
              <w:rPr>
                <w:b w:val="0"/>
                <w:color w:val="111827"/>
                <w:sz w:val="17"/>
              </w:rPr>
              <w:t>Good coverage for login and registration logic.</w:t>
            </w:r>
          </w:p>
        </w:tc>
      </w:tr>
      <w:tr>
        <w:tc>
          <w:tcPr>
            <w:tcW w:type="dxa" w:w="2542"/>
            <w:shd w:fill="FFFFFF"/>
            <w:tcBorders>
              <w:top w:sz="6" w:val="single" w:color="CBD5E1"/>
              <w:left w:sz="6" w:val="single" w:color="CBD5E1"/>
              <w:bottom w:sz="6" w:val="single" w:color="CBD5E1"/>
              <w:right w:sz="6" w:val="single" w:color="CBD5E1"/>
            </w:tcBorders>
          </w:tcPr>
          <w:p>
            <w:pPr>
              <w:jc w:val="left"/>
            </w:pPr>
            <w:r/>
            <w:r>
              <w:rPr>
                <w:b w:val="0"/>
                <w:color w:val="111827"/>
                <w:sz w:val="17"/>
              </w:rPr>
              <w:t>functions/api</w:t>
            </w:r>
          </w:p>
        </w:tc>
        <w:tc>
          <w:tcPr>
            <w:tcW w:type="dxa" w:w="2542"/>
            <w:shd w:fill="FFFFFF"/>
            <w:tcBorders>
              <w:top w:sz="6" w:val="single" w:color="CBD5E1"/>
              <w:left w:sz="6" w:val="single" w:color="CBD5E1"/>
              <w:bottom w:sz="6" w:val="single" w:color="CBD5E1"/>
              <w:right w:sz="6" w:val="single" w:color="CBD5E1"/>
            </w:tcBorders>
          </w:tcPr>
          <w:p>
            <w:pPr>
              <w:jc w:val="left"/>
            </w:pPr>
            <w:r/>
            <w:r>
              <w:rPr>
                <w:b w:val="0"/>
                <w:color w:val="111827"/>
                <w:sz w:val="17"/>
              </w:rPr>
              <w:t>138</w:t>
            </w:r>
          </w:p>
        </w:tc>
        <w:tc>
          <w:tcPr>
            <w:tcW w:type="dxa" w:w="2542"/>
            <w:shd w:fill="FFFFFF"/>
            <w:tcBorders>
              <w:top w:sz="6" w:val="single" w:color="CBD5E1"/>
              <w:left w:sz="6" w:val="single" w:color="CBD5E1"/>
              <w:bottom w:sz="6" w:val="single" w:color="CBD5E1"/>
              <w:right w:sz="6" w:val="single" w:color="CBD5E1"/>
            </w:tcBorders>
          </w:tcPr>
          <w:p>
            <w:pPr>
              <w:jc w:val="left"/>
            </w:pPr>
            <w:r/>
            <w:r>
              <w:rPr>
                <w:b w:val="0"/>
                <w:color w:val="111827"/>
                <w:sz w:val="17"/>
              </w:rPr>
              <w:t>127</w:t>
            </w:r>
          </w:p>
        </w:tc>
        <w:tc>
          <w:tcPr>
            <w:tcW w:type="dxa" w:w="2542"/>
            <w:shd w:fill="FFFFFF"/>
            <w:tcBorders>
              <w:top w:sz="6" w:val="single" w:color="CBD5E1"/>
              <w:left w:sz="6" w:val="single" w:color="CBD5E1"/>
              <w:bottom w:sz="6" w:val="single" w:color="CBD5E1"/>
              <w:right w:sz="6" w:val="single" w:color="CBD5E1"/>
            </w:tcBorders>
          </w:tcPr>
          <w:p>
            <w:pPr>
              <w:jc w:val="left"/>
            </w:pPr>
            <w:r/>
            <w:r>
              <w:rPr>
                <w:b w:val="0"/>
                <w:color w:val="111827"/>
                <w:sz w:val="17"/>
              </w:rPr>
              <w:t>11</w:t>
            </w:r>
          </w:p>
        </w:tc>
        <w:tc>
          <w:tcPr>
            <w:tcW w:type="dxa" w:w="2542"/>
            <w:shd w:fill="FFFFFF"/>
            <w:tcBorders>
              <w:top w:sz="6" w:val="single" w:color="CBD5E1"/>
              <w:left w:sz="6" w:val="single" w:color="CBD5E1"/>
              <w:bottom w:sz="6" w:val="single" w:color="CBD5E1"/>
              <w:right w:sz="6" w:val="single" w:color="CBD5E1"/>
            </w:tcBorders>
          </w:tcPr>
          <w:p>
            <w:pPr>
              <w:jc w:val="left"/>
            </w:pPr>
            <w:r/>
            <w:r>
              <w:rPr>
                <w:b w:val="0"/>
                <w:color w:val="111827"/>
                <w:sz w:val="17"/>
              </w:rPr>
              <w:t>92.03%</w:t>
            </w:r>
          </w:p>
        </w:tc>
        <w:tc>
          <w:tcPr>
            <w:tcW w:type="dxa" w:w="2542"/>
            <w:shd w:fill="FFFFFF"/>
            <w:tcBorders>
              <w:top w:sz="6" w:val="single" w:color="CBD5E1"/>
              <w:left w:sz="6" w:val="single" w:color="CBD5E1"/>
              <w:bottom w:sz="6" w:val="single" w:color="CBD5E1"/>
              <w:right w:sz="6" w:val="single" w:color="CBD5E1"/>
            </w:tcBorders>
          </w:tcPr>
          <w:p>
            <w:pPr>
              <w:jc w:val="left"/>
            </w:pPr>
            <w:r/>
            <w:r>
              <w:rPr>
                <w:b w:val="0"/>
                <w:color w:val="111827"/>
                <w:sz w:val="17"/>
              </w:rPr>
              <w:t>Very strong coverage for API, analytics, and payment logic.</w:t>
            </w:r>
          </w:p>
        </w:tc>
      </w:tr>
      <w:tr>
        <w:tc>
          <w:tcPr>
            <w:tcW w:type="dxa" w:w="2542"/>
            <w:shd w:fill="FFFFFF"/>
            <w:tcBorders>
              <w:top w:sz="6" w:val="single" w:color="CBD5E1"/>
              <w:left w:sz="6" w:val="single" w:color="CBD5E1"/>
              <w:bottom w:sz="6" w:val="single" w:color="CBD5E1"/>
              <w:right w:sz="6" w:val="single" w:color="CBD5E1"/>
            </w:tcBorders>
          </w:tcPr>
          <w:p>
            <w:pPr>
              <w:jc w:val="left"/>
            </w:pPr>
            <w:r/>
            <w:r>
              <w:rPr>
                <w:b w:val="0"/>
                <w:color w:val="111827"/>
                <w:sz w:val="17"/>
              </w:rPr>
              <w:t>student</w:t>
            </w:r>
          </w:p>
        </w:tc>
        <w:tc>
          <w:tcPr>
            <w:tcW w:type="dxa" w:w="2542"/>
            <w:shd w:fill="FFFFFF"/>
            <w:tcBorders>
              <w:top w:sz="6" w:val="single" w:color="CBD5E1"/>
              <w:left w:sz="6" w:val="single" w:color="CBD5E1"/>
              <w:bottom w:sz="6" w:val="single" w:color="CBD5E1"/>
              <w:right w:sz="6" w:val="single" w:color="CBD5E1"/>
            </w:tcBorders>
          </w:tcPr>
          <w:p>
            <w:pPr>
              <w:jc w:val="left"/>
            </w:pPr>
            <w:r/>
            <w:r>
              <w:rPr>
                <w:b w:val="0"/>
                <w:color w:val="111827"/>
                <w:sz w:val="17"/>
              </w:rPr>
              <w:t>898</w:t>
            </w:r>
          </w:p>
        </w:tc>
        <w:tc>
          <w:tcPr>
            <w:tcW w:type="dxa" w:w="2542"/>
            <w:shd w:fill="FFFFFF"/>
            <w:tcBorders>
              <w:top w:sz="6" w:val="single" w:color="CBD5E1"/>
              <w:left w:sz="6" w:val="single" w:color="CBD5E1"/>
              <w:bottom w:sz="6" w:val="single" w:color="CBD5E1"/>
              <w:right w:sz="6" w:val="single" w:color="CBD5E1"/>
            </w:tcBorders>
          </w:tcPr>
          <w:p>
            <w:pPr>
              <w:jc w:val="left"/>
            </w:pPr>
            <w:r/>
            <w:r>
              <w:rPr>
                <w:b w:val="0"/>
                <w:color w:val="111827"/>
                <w:sz w:val="17"/>
              </w:rPr>
              <w:t>668</w:t>
            </w:r>
          </w:p>
        </w:tc>
        <w:tc>
          <w:tcPr>
            <w:tcW w:type="dxa" w:w="2542"/>
            <w:shd w:fill="FFFFFF"/>
            <w:tcBorders>
              <w:top w:sz="6" w:val="single" w:color="CBD5E1"/>
              <w:left w:sz="6" w:val="single" w:color="CBD5E1"/>
              <w:bottom w:sz="6" w:val="single" w:color="CBD5E1"/>
              <w:right w:sz="6" w:val="single" w:color="CBD5E1"/>
            </w:tcBorders>
          </w:tcPr>
          <w:p>
            <w:pPr>
              <w:jc w:val="left"/>
            </w:pPr>
            <w:r/>
            <w:r>
              <w:rPr>
                <w:b w:val="0"/>
                <w:color w:val="111827"/>
                <w:sz w:val="17"/>
              </w:rPr>
              <w:t>230</w:t>
            </w:r>
          </w:p>
        </w:tc>
        <w:tc>
          <w:tcPr>
            <w:tcW w:type="dxa" w:w="2542"/>
            <w:shd w:fill="FFFFFF"/>
            <w:tcBorders>
              <w:top w:sz="6" w:val="single" w:color="CBD5E1"/>
              <w:left w:sz="6" w:val="single" w:color="CBD5E1"/>
              <w:bottom w:sz="6" w:val="single" w:color="CBD5E1"/>
              <w:right w:sz="6" w:val="single" w:color="CBD5E1"/>
            </w:tcBorders>
          </w:tcPr>
          <w:p>
            <w:pPr>
              <w:jc w:val="left"/>
            </w:pPr>
            <w:r/>
            <w:r>
              <w:rPr>
                <w:b w:val="0"/>
                <w:color w:val="111827"/>
                <w:sz w:val="17"/>
              </w:rPr>
              <w:t>74.39%</w:t>
            </w:r>
          </w:p>
        </w:tc>
        <w:tc>
          <w:tcPr>
            <w:tcW w:type="dxa" w:w="2542"/>
            <w:shd w:fill="FFFFFF"/>
            <w:tcBorders>
              <w:top w:sz="6" w:val="single" w:color="CBD5E1"/>
              <w:left w:sz="6" w:val="single" w:color="CBD5E1"/>
              <w:bottom w:sz="6" w:val="single" w:color="CBD5E1"/>
              <w:right w:sz="6" w:val="single" w:color="CBD5E1"/>
            </w:tcBorders>
          </w:tcPr>
          <w:p>
            <w:pPr>
              <w:jc w:val="left"/>
            </w:pPr>
            <w:r/>
            <w:r>
              <w:rPr>
                <w:b w:val="0"/>
                <w:color w:val="111827"/>
                <w:sz w:val="17"/>
              </w:rPr>
              <w:t>Acceptable coverage; more UI paths can be tested later.</w:t>
            </w:r>
          </w:p>
        </w:tc>
      </w:tr>
      <w:tr>
        <w:tc>
          <w:tcPr>
            <w:tcW w:type="dxa" w:w="2542"/>
            <w:shd w:fill="FFFFFF"/>
            <w:tcBorders>
              <w:top w:sz="6" w:val="single" w:color="CBD5E1"/>
              <w:left w:sz="6" w:val="single" w:color="CBD5E1"/>
              <w:bottom w:sz="6" w:val="single" w:color="CBD5E1"/>
              <w:right w:sz="6" w:val="single" w:color="CBD5E1"/>
            </w:tcBorders>
          </w:tcPr>
          <w:p>
            <w:pPr>
              <w:jc w:val="left"/>
            </w:pPr>
            <w:r/>
            <w:r>
              <w:rPr>
                <w:b w:val="0"/>
                <w:color w:val="111827"/>
                <w:sz w:val="17"/>
              </w:rPr>
              <w:t>tests/mocks</w:t>
            </w:r>
          </w:p>
        </w:tc>
        <w:tc>
          <w:tcPr>
            <w:tcW w:type="dxa" w:w="2542"/>
            <w:shd w:fill="FFFFFF"/>
            <w:tcBorders>
              <w:top w:sz="6" w:val="single" w:color="CBD5E1"/>
              <w:left w:sz="6" w:val="single" w:color="CBD5E1"/>
              <w:bottom w:sz="6" w:val="single" w:color="CBD5E1"/>
              <w:right w:sz="6" w:val="single" w:color="CBD5E1"/>
            </w:tcBorders>
          </w:tcPr>
          <w:p>
            <w:pPr>
              <w:jc w:val="left"/>
            </w:pPr>
            <w:r/>
            <w:r>
              <w:rPr>
                <w:b w:val="0"/>
                <w:color w:val="111827"/>
                <w:sz w:val="17"/>
              </w:rPr>
              <w:t>18</w:t>
            </w:r>
          </w:p>
        </w:tc>
        <w:tc>
          <w:tcPr>
            <w:tcW w:type="dxa" w:w="2542"/>
            <w:shd w:fill="FFFFFF"/>
            <w:tcBorders>
              <w:top w:sz="6" w:val="single" w:color="CBD5E1"/>
              <w:left w:sz="6" w:val="single" w:color="CBD5E1"/>
              <w:bottom w:sz="6" w:val="single" w:color="CBD5E1"/>
              <w:right w:sz="6" w:val="single" w:color="CBD5E1"/>
            </w:tcBorders>
          </w:tcPr>
          <w:p>
            <w:pPr>
              <w:jc w:val="left"/>
            </w:pPr>
            <w:r/>
            <w:r>
              <w:rPr>
                <w:b w:val="0"/>
                <w:color w:val="111827"/>
                <w:sz w:val="17"/>
              </w:rPr>
              <w:t>2</w:t>
            </w:r>
          </w:p>
        </w:tc>
        <w:tc>
          <w:tcPr>
            <w:tcW w:type="dxa" w:w="2542"/>
            <w:shd w:fill="FFFFFF"/>
            <w:tcBorders>
              <w:top w:sz="6" w:val="single" w:color="CBD5E1"/>
              <w:left w:sz="6" w:val="single" w:color="CBD5E1"/>
              <w:bottom w:sz="6" w:val="single" w:color="CBD5E1"/>
              <w:right w:sz="6" w:val="single" w:color="CBD5E1"/>
            </w:tcBorders>
          </w:tcPr>
          <w:p>
            <w:pPr>
              <w:jc w:val="left"/>
            </w:pPr>
            <w:r/>
            <w:r>
              <w:rPr>
                <w:b w:val="0"/>
                <w:color w:val="111827"/>
                <w:sz w:val="17"/>
              </w:rPr>
              <w:t>16</w:t>
            </w:r>
          </w:p>
        </w:tc>
        <w:tc>
          <w:tcPr>
            <w:tcW w:type="dxa" w:w="2542"/>
            <w:shd w:fill="FFFFFF"/>
            <w:tcBorders>
              <w:top w:sz="6" w:val="single" w:color="CBD5E1"/>
              <w:left w:sz="6" w:val="single" w:color="CBD5E1"/>
              <w:bottom w:sz="6" w:val="single" w:color="CBD5E1"/>
              <w:right w:sz="6" w:val="single" w:color="CBD5E1"/>
            </w:tcBorders>
          </w:tcPr>
          <w:p>
            <w:pPr>
              <w:jc w:val="left"/>
            </w:pPr>
            <w:r/>
            <w:r>
              <w:rPr>
                <w:b w:val="0"/>
                <w:color w:val="111827"/>
                <w:sz w:val="17"/>
              </w:rPr>
              <w:t>11.11%</w:t>
            </w:r>
          </w:p>
        </w:tc>
        <w:tc>
          <w:tcPr>
            <w:tcW w:type="dxa" w:w="2542"/>
            <w:shd w:fill="FFFFFF"/>
            <w:tcBorders>
              <w:top w:sz="6" w:val="single" w:color="CBD5E1"/>
              <w:left w:sz="6" w:val="single" w:color="CBD5E1"/>
              <w:bottom w:sz="6" w:val="single" w:color="CBD5E1"/>
              <w:right w:sz="6" w:val="single" w:color="CBD5E1"/>
            </w:tcBorders>
          </w:tcPr>
          <w:p>
            <w:pPr>
              <w:jc w:val="left"/>
            </w:pPr>
            <w:r/>
            <w:r>
              <w:rPr>
                <w:b w:val="0"/>
                <w:color w:val="111827"/>
                <w:sz w:val="17"/>
              </w:rPr>
              <w:t>Low coverage is expected because mocks support tests rather than production features.</w:t>
            </w:r>
          </w:p>
        </w:tc>
      </w:tr>
      <w:tr>
        <w:tc>
          <w:tcPr>
            <w:tcW w:type="dxa" w:w="2542"/>
            <w:shd w:fill="FFFFFF"/>
            <w:tcBorders>
              <w:top w:sz="6" w:val="single" w:color="CBD5E1"/>
              <w:left w:sz="6" w:val="single" w:color="CBD5E1"/>
              <w:bottom w:sz="6" w:val="single" w:color="CBD5E1"/>
              <w:right w:sz="6" w:val="single" w:color="CBD5E1"/>
            </w:tcBorders>
          </w:tcPr>
          <w:p>
            <w:pPr>
              <w:jc w:val="left"/>
            </w:pPr>
            <w:r/>
            <w:r>
              <w:rPr>
                <w:b w:val="0"/>
                <w:color w:val="111827"/>
                <w:sz w:val="17"/>
              </w:rPr>
              <w:t>vendor</w:t>
            </w:r>
          </w:p>
        </w:tc>
        <w:tc>
          <w:tcPr>
            <w:tcW w:type="dxa" w:w="2542"/>
            <w:shd w:fill="FFFFFF"/>
            <w:tcBorders>
              <w:top w:sz="6" w:val="single" w:color="CBD5E1"/>
              <w:left w:sz="6" w:val="single" w:color="CBD5E1"/>
              <w:bottom w:sz="6" w:val="single" w:color="CBD5E1"/>
              <w:right w:sz="6" w:val="single" w:color="CBD5E1"/>
            </w:tcBorders>
          </w:tcPr>
          <w:p>
            <w:pPr>
              <w:jc w:val="left"/>
            </w:pPr>
            <w:r/>
            <w:r>
              <w:rPr>
                <w:b w:val="0"/>
                <w:color w:val="111827"/>
                <w:sz w:val="17"/>
              </w:rPr>
              <w:t>495</w:t>
            </w:r>
          </w:p>
        </w:tc>
        <w:tc>
          <w:tcPr>
            <w:tcW w:type="dxa" w:w="2542"/>
            <w:shd w:fill="FFFFFF"/>
            <w:tcBorders>
              <w:top w:sz="6" w:val="single" w:color="CBD5E1"/>
              <w:left w:sz="6" w:val="single" w:color="CBD5E1"/>
              <w:bottom w:sz="6" w:val="single" w:color="CBD5E1"/>
              <w:right w:sz="6" w:val="single" w:color="CBD5E1"/>
            </w:tcBorders>
          </w:tcPr>
          <w:p>
            <w:pPr>
              <w:jc w:val="left"/>
            </w:pPr>
            <w:r/>
            <w:r>
              <w:rPr>
                <w:b w:val="0"/>
                <w:color w:val="111827"/>
                <w:sz w:val="17"/>
              </w:rPr>
              <w:t>462</w:t>
            </w:r>
          </w:p>
        </w:tc>
        <w:tc>
          <w:tcPr>
            <w:tcW w:type="dxa" w:w="2542"/>
            <w:shd w:fill="FFFFFF"/>
            <w:tcBorders>
              <w:top w:sz="6" w:val="single" w:color="CBD5E1"/>
              <w:left w:sz="6" w:val="single" w:color="CBD5E1"/>
              <w:bottom w:sz="6" w:val="single" w:color="CBD5E1"/>
              <w:right w:sz="6" w:val="single" w:color="CBD5E1"/>
            </w:tcBorders>
          </w:tcPr>
          <w:p>
            <w:pPr>
              <w:jc w:val="left"/>
            </w:pPr>
            <w:r/>
            <w:r>
              <w:rPr>
                <w:b w:val="0"/>
                <w:color w:val="111827"/>
                <w:sz w:val="17"/>
              </w:rPr>
              <w:t>33</w:t>
            </w:r>
          </w:p>
        </w:tc>
        <w:tc>
          <w:tcPr>
            <w:tcW w:type="dxa" w:w="2542"/>
            <w:shd w:fill="FFFFFF"/>
            <w:tcBorders>
              <w:top w:sz="6" w:val="single" w:color="CBD5E1"/>
              <w:left w:sz="6" w:val="single" w:color="CBD5E1"/>
              <w:bottom w:sz="6" w:val="single" w:color="CBD5E1"/>
              <w:right w:sz="6" w:val="single" w:color="CBD5E1"/>
            </w:tcBorders>
          </w:tcPr>
          <w:p>
            <w:pPr>
              <w:jc w:val="left"/>
            </w:pPr>
            <w:r/>
            <w:r>
              <w:rPr>
                <w:b w:val="0"/>
                <w:color w:val="111827"/>
                <w:sz w:val="17"/>
              </w:rPr>
              <w:t>93.33%</w:t>
            </w:r>
          </w:p>
        </w:tc>
        <w:tc>
          <w:tcPr>
            <w:tcW w:type="dxa" w:w="2542"/>
            <w:shd w:fill="FFFFFF"/>
            <w:tcBorders>
              <w:top w:sz="6" w:val="single" w:color="CBD5E1"/>
              <w:left w:sz="6" w:val="single" w:color="CBD5E1"/>
              <w:bottom w:sz="6" w:val="single" w:color="CBD5E1"/>
              <w:right w:sz="6" w:val="single" w:color="CBD5E1"/>
            </w:tcBorders>
          </w:tcPr>
          <w:p>
            <w:pPr>
              <w:jc w:val="left"/>
            </w:pPr>
            <w:r/>
            <w:r>
              <w:rPr>
                <w:b w:val="0"/>
                <w:color w:val="111827"/>
                <w:sz w:val="17"/>
              </w:rPr>
              <w:t>Very strong coverage for vendor workflows.</w:t>
            </w:r>
          </w:p>
        </w:tc>
      </w:tr>
      <w:tr>
        <w:tc>
          <w:tcPr>
            <w:tcW w:type="dxa" w:w="2542"/>
            <w:shd w:fill="E5E7EB"/>
            <w:tcBorders>
              <w:top w:sz="6" w:val="single" w:color="CBD5E1"/>
              <w:left w:sz="6" w:val="single" w:color="CBD5E1"/>
              <w:bottom w:sz="6" w:val="single" w:color="CBD5E1"/>
              <w:right w:sz="6" w:val="single" w:color="CBD5E1"/>
            </w:tcBorders>
          </w:tcPr>
          <w:p>
            <w:pPr>
              <w:jc w:val="left"/>
            </w:pPr>
            <w:r/>
            <w:r>
              <w:rPr>
                <w:b/>
                <w:color w:val="111827"/>
                <w:sz w:val="17"/>
              </w:rPr>
              <w:t>Subtotal</w:t>
            </w:r>
          </w:p>
        </w:tc>
        <w:tc>
          <w:tcPr>
            <w:tcW w:type="dxa" w:w="2542"/>
            <w:shd w:fill="E5E7EB"/>
            <w:tcBorders>
              <w:top w:sz="6" w:val="single" w:color="CBD5E1"/>
              <w:left w:sz="6" w:val="single" w:color="CBD5E1"/>
              <w:bottom w:sz="6" w:val="single" w:color="CBD5E1"/>
              <w:right w:sz="6" w:val="single" w:color="CBD5E1"/>
            </w:tcBorders>
          </w:tcPr>
          <w:p>
            <w:pPr>
              <w:jc w:val="left"/>
            </w:pPr>
            <w:r/>
            <w:r>
              <w:rPr>
                <w:b/>
                <w:color w:val="111827"/>
                <w:sz w:val="17"/>
              </w:rPr>
              <w:t>1744</w:t>
            </w:r>
          </w:p>
        </w:tc>
        <w:tc>
          <w:tcPr>
            <w:tcW w:type="dxa" w:w="2542"/>
            <w:shd w:fill="E5E7EB"/>
            <w:tcBorders>
              <w:top w:sz="6" w:val="single" w:color="CBD5E1"/>
              <w:left w:sz="6" w:val="single" w:color="CBD5E1"/>
              <w:bottom w:sz="6" w:val="single" w:color="CBD5E1"/>
              <w:right w:sz="6" w:val="single" w:color="CBD5E1"/>
            </w:tcBorders>
          </w:tcPr>
          <w:p>
            <w:pPr>
              <w:jc w:val="left"/>
            </w:pPr>
            <w:r/>
            <w:r>
              <w:rPr>
                <w:b/>
                <w:color w:val="111827"/>
                <w:sz w:val="17"/>
              </w:rPr>
              <w:t>1420</w:t>
            </w:r>
          </w:p>
        </w:tc>
        <w:tc>
          <w:tcPr>
            <w:tcW w:type="dxa" w:w="2542"/>
            <w:shd w:fill="E5E7EB"/>
            <w:tcBorders>
              <w:top w:sz="6" w:val="single" w:color="CBD5E1"/>
              <w:left w:sz="6" w:val="single" w:color="CBD5E1"/>
              <w:bottom w:sz="6" w:val="single" w:color="CBD5E1"/>
              <w:right w:sz="6" w:val="single" w:color="CBD5E1"/>
            </w:tcBorders>
          </w:tcPr>
          <w:p>
            <w:pPr>
              <w:jc w:val="left"/>
            </w:pPr>
            <w:r/>
            <w:r>
              <w:rPr>
                <w:b/>
                <w:color w:val="111827"/>
                <w:sz w:val="17"/>
              </w:rPr>
              <w:t>324</w:t>
            </w:r>
          </w:p>
        </w:tc>
        <w:tc>
          <w:tcPr>
            <w:tcW w:type="dxa" w:w="2542"/>
            <w:shd w:fill="E5E7EB"/>
            <w:tcBorders>
              <w:top w:sz="6" w:val="single" w:color="CBD5E1"/>
              <w:left w:sz="6" w:val="single" w:color="CBD5E1"/>
              <w:bottom w:sz="6" w:val="single" w:color="CBD5E1"/>
              <w:right w:sz="6" w:val="single" w:color="CBD5E1"/>
            </w:tcBorders>
          </w:tcPr>
          <w:p>
            <w:pPr>
              <w:jc w:val="left"/>
            </w:pPr>
            <w:r/>
            <w:r>
              <w:rPr>
                <w:b/>
                <w:color w:val="111827"/>
                <w:sz w:val="17"/>
              </w:rPr>
              <w:t>81.42%</w:t>
            </w:r>
          </w:p>
        </w:tc>
        <w:tc>
          <w:tcPr>
            <w:tcW w:type="dxa" w:w="2542"/>
            <w:shd w:fill="E5E7EB"/>
            <w:tcBorders>
              <w:top w:sz="6" w:val="single" w:color="CBD5E1"/>
              <w:left w:sz="6" w:val="single" w:color="CBD5E1"/>
              <w:bottom w:sz="6" w:val="single" w:color="CBD5E1"/>
              <w:right w:sz="6" w:val="single" w:color="CBD5E1"/>
            </w:tcBorders>
          </w:tcPr>
          <w:p>
            <w:pPr>
              <w:jc w:val="left"/>
            </w:pPr>
            <w:r/>
            <w:r>
              <w:rPr>
                <w:b/>
                <w:color w:val="111827"/>
                <w:sz w:val="17"/>
              </w:rPr>
              <w:t>Overall project coverage is above 80%.</w:t>
            </w:r>
          </w:p>
        </w:tc>
      </w:tr>
    </w:tbl>
    <w:p/>
    <w:p>
      <w:r>
        <w:br w:type="page"/>
      </w:r>
    </w:p>
    <w:p>
      <w:pPr>
        <w:pStyle w:val="Heading1"/>
      </w:pPr>
      <w:r>
        <w:t>Figure 1: Codecov main branch overview</w:t>
      </w:r>
    </w:p>
    <w:p>
      <w:pPr>
        <w:pStyle w:val="BodyText"/>
      </w:pPr>
      <w:r>
        <w:t>This overview confirms that Codecov is connected to the repository and that the main branch is being measured. The latest captured coverage is 81.42%, with 1420 of 1744 tracked lines covered. The dashboard also shows the latest source commit as 4a0c149 and a +100.00% trend.</w:t>
      </w:r>
    </w:p>
    <w:p>
      <w:pPr>
        <w:jc w:val="center"/>
      </w:pPr>
      <w:r>
        <w:drawing>
          <wp:inline xmlns:a="http://schemas.openxmlformats.org/drawingml/2006/main" xmlns:pic="http://schemas.openxmlformats.org/drawingml/2006/picture">
            <wp:extent cx="9555480" cy="2081442"/>
            <wp:docPr id="1" name="Picture 1"/>
            <wp:cNvGraphicFramePr>
              <a:graphicFrameLocks noChangeAspect="1"/>
            </wp:cNvGraphicFramePr>
            <a:graphic>
              <a:graphicData uri="http://schemas.openxmlformats.org/drawingml/2006/picture">
                <pic:pic>
                  <pic:nvPicPr>
                    <pic:cNvPr id="0" name="58caf900-4629-4a74-ad30-82f04f7a8810.png"/>
                    <pic:cNvPicPr/>
                  </pic:nvPicPr>
                  <pic:blipFill>
                    <a:blip r:embed="rId11"/>
                    <a:stretch>
                      <a:fillRect/>
                    </a:stretch>
                  </pic:blipFill>
                  <pic:spPr>
                    <a:xfrm>
                      <a:off x="0" y="0"/>
                      <a:ext cx="9555480" cy="2081442"/>
                    </a:xfrm>
                    <a:prstGeom prst="rect"/>
                  </pic:spPr>
                </pic:pic>
              </a:graphicData>
            </a:graphic>
          </wp:inline>
        </w:drawing>
      </w:r>
    </w:p>
    <w:p>
      <w:pPr>
        <w:pStyle w:val="CaptionCustom"/>
      </w:pPr>
      <w:r>
        <w:t>Figure 1: Codecov main branch overview.</w:t>
      </w:r>
    </w:p>
    <w:p>
      <w:r>
        <w:br w:type="page"/>
      </w:r>
    </w:p>
    <w:p>
      <w:pPr>
        <w:pStyle w:val="Heading1"/>
      </w:pPr>
      <w:r>
        <w:t>Figure 2: Codecov coverage trend and repository coverage wheel</w:t>
      </w:r>
    </w:p>
    <w:p>
      <w:pPr>
        <w:pStyle w:val="BodyText"/>
      </w:pPr>
      <w:r>
        <w:t>This screenshot gives visual evidence of the coverage trend over time. It also shows the repository-level coverage wheel, which provides a quick visual summary of covered and missed code areas.</w:t>
      </w:r>
    </w:p>
    <w:p>
      <w:pPr>
        <w:jc w:val="center"/>
      </w:pPr>
      <w:r>
        <w:drawing>
          <wp:inline xmlns:a="http://schemas.openxmlformats.org/drawingml/2006/main" xmlns:pic="http://schemas.openxmlformats.org/drawingml/2006/picture">
            <wp:extent cx="9326880" cy="4021548"/>
            <wp:docPr id="2" name="Picture 2"/>
            <wp:cNvGraphicFramePr>
              <a:graphicFrameLocks noChangeAspect="1"/>
            </wp:cNvGraphicFramePr>
            <a:graphic>
              <a:graphicData uri="http://schemas.openxmlformats.org/drawingml/2006/picture">
                <pic:pic>
                  <pic:nvPicPr>
                    <pic:cNvPr id="0" name="4ba2291e-7366-413f-8503-81fe79429d51.png"/>
                    <pic:cNvPicPr/>
                  </pic:nvPicPr>
                  <pic:blipFill>
                    <a:blip r:embed="rId12"/>
                    <a:stretch>
                      <a:fillRect/>
                    </a:stretch>
                  </pic:blipFill>
                  <pic:spPr>
                    <a:xfrm>
                      <a:off x="0" y="0"/>
                      <a:ext cx="9326880" cy="4021548"/>
                    </a:xfrm>
                    <a:prstGeom prst="rect"/>
                  </pic:spPr>
                </pic:pic>
              </a:graphicData>
            </a:graphic>
          </wp:inline>
        </w:drawing>
      </w:r>
    </w:p>
    <w:p>
      <w:pPr>
        <w:pStyle w:val="CaptionCustom"/>
      </w:pPr>
      <w:r>
        <w:t>Figure 2: Codecov coverage trend and repository coverage wheel.</w:t>
      </w:r>
    </w:p>
    <w:p>
      <w:r>
        <w:br w:type="page"/>
      </w:r>
    </w:p>
    <w:p>
      <w:pPr>
        <w:pStyle w:val="Heading1"/>
      </w:pPr>
      <w:r>
        <w:t>Figure 3: Folder-level coverage breakdown</w:t>
      </w:r>
    </w:p>
    <w:p>
      <w:pPr>
        <w:pStyle w:val="BodyText"/>
      </w:pPr>
      <w:r>
        <w:t>This breakdown shows the main folders included in the coverage report. The strongest production-code coverage is in functions/api and vendor. The student folder is still acceptable but has more missed lines because it contains more interface and interaction logic. The tests/mocks folder is low because mock files support tests rather than representing production features.</w:t>
      </w:r>
    </w:p>
    <w:p>
      <w:pPr>
        <w:jc w:val="center"/>
      </w:pPr>
      <w:r>
        <w:drawing>
          <wp:inline xmlns:a="http://schemas.openxmlformats.org/drawingml/2006/main" xmlns:pic="http://schemas.openxmlformats.org/drawingml/2006/picture">
            <wp:extent cx="9555480" cy="2974255"/>
            <wp:docPr id="3" name="Picture 3"/>
            <wp:cNvGraphicFramePr>
              <a:graphicFrameLocks noChangeAspect="1"/>
            </wp:cNvGraphicFramePr>
            <a:graphic>
              <a:graphicData uri="http://schemas.openxmlformats.org/drawingml/2006/picture">
                <pic:pic>
                  <pic:nvPicPr>
                    <pic:cNvPr id="0" name="ec50cbe1-69f2-47c9-bfb7-c8033e732383.png"/>
                    <pic:cNvPicPr/>
                  </pic:nvPicPr>
                  <pic:blipFill>
                    <a:blip r:embed="rId13"/>
                    <a:stretch>
                      <a:fillRect/>
                    </a:stretch>
                  </pic:blipFill>
                  <pic:spPr>
                    <a:xfrm>
                      <a:off x="0" y="0"/>
                      <a:ext cx="9555480" cy="2974255"/>
                    </a:xfrm>
                    <a:prstGeom prst="rect"/>
                  </pic:spPr>
                </pic:pic>
              </a:graphicData>
            </a:graphic>
          </wp:inline>
        </w:drawing>
      </w:r>
    </w:p>
    <w:p>
      <w:pPr>
        <w:pStyle w:val="CaptionCustom"/>
      </w:pPr>
      <w:r>
        <w:t>Figure 3: Folder-level coverage breakdown.</w:t>
      </w:r>
    </w:p>
    <w:p>
      <w:r>
        <w:br w:type="page"/>
      </w:r>
    </w:p>
    <w:p>
      <w:pPr>
        <w:pStyle w:val="Heading1"/>
      </w:pPr>
      <w:r>
        <w:t>Figure 4: Authentication file coverage</w:t>
      </w:r>
    </w:p>
    <w:p>
      <w:pPr>
        <w:pStyle w:val="BodyText"/>
      </w:pPr>
      <w:r>
        <w:t>The authentication files have strong coverage overall. login.js and register.js are both above 82%, showing that the login and registration logic was tested as part of the automated test suite.</w:t>
      </w:r>
    </w:p>
    <w:p>
      <w:pPr>
        <w:jc w:val="center"/>
      </w:pPr>
      <w:r>
        <w:drawing>
          <wp:inline xmlns:a="http://schemas.openxmlformats.org/drawingml/2006/main" xmlns:pic="http://schemas.openxmlformats.org/drawingml/2006/picture">
            <wp:extent cx="9555480" cy="2167171"/>
            <wp:docPr id="4" name="Picture 4"/>
            <wp:cNvGraphicFramePr>
              <a:graphicFrameLocks noChangeAspect="1"/>
            </wp:cNvGraphicFramePr>
            <a:graphic>
              <a:graphicData uri="http://schemas.openxmlformats.org/drawingml/2006/picture">
                <pic:pic>
                  <pic:nvPicPr>
                    <pic:cNvPr id="0" name="7ef0de94-e387-4a6b-b8ba-34656f1352df.png"/>
                    <pic:cNvPicPr/>
                  </pic:nvPicPr>
                  <pic:blipFill>
                    <a:blip r:embed="rId14"/>
                    <a:stretch>
                      <a:fillRect/>
                    </a:stretch>
                  </pic:blipFill>
                  <pic:spPr>
                    <a:xfrm>
                      <a:off x="0" y="0"/>
                      <a:ext cx="9555480" cy="2167171"/>
                    </a:xfrm>
                    <a:prstGeom prst="rect"/>
                  </pic:spPr>
                </pic:pic>
              </a:graphicData>
            </a:graphic>
          </wp:inline>
        </w:drawing>
      </w:r>
    </w:p>
    <w:p>
      <w:pPr>
        <w:pStyle w:val="CaptionCustom"/>
      </w:pPr>
      <w:r>
        <w:t>Figure 4: Authentication file coverage.</w:t>
      </w:r>
    </w:p>
    <w:p>
      <w:r>
        <w:br w:type="page"/>
      </w:r>
    </w:p>
    <w:p>
      <w:pPr>
        <w:pStyle w:val="Heading1"/>
      </w:pPr>
      <w:r>
        <w:t>Figure 5: API and payment-related coverage</w:t>
      </w:r>
    </w:p>
    <w:p>
      <w:pPr>
        <w:pStyle w:val="BodyText"/>
      </w:pPr>
      <w:r>
        <w:t>The API folder has very strong coverage. The PayFast folder is fully covered, while analytics.js and payment.js are both above 87%. This is important because payment and analytics logic are key backend features in the project.</w:t>
      </w:r>
    </w:p>
    <w:p>
      <w:pPr>
        <w:jc w:val="center"/>
      </w:pPr>
      <w:r>
        <w:drawing>
          <wp:inline xmlns:a="http://schemas.openxmlformats.org/drawingml/2006/main" xmlns:pic="http://schemas.openxmlformats.org/drawingml/2006/picture">
            <wp:extent cx="9555480" cy="2366451"/>
            <wp:docPr id="5" name="Picture 5"/>
            <wp:cNvGraphicFramePr>
              <a:graphicFrameLocks noChangeAspect="1"/>
            </wp:cNvGraphicFramePr>
            <a:graphic>
              <a:graphicData uri="http://schemas.openxmlformats.org/drawingml/2006/picture">
                <pic:pic>
                  <pic:nvPicPr>
                    <pic:cNvPr id="0" name="7e724585-f472-417d-b765-07f5588abea6.png"/>
                    <pic:cNvPicPr/>
                  </pic:nvPicPr>
                  <pic:blipFill>
                    <a:blip r:embed="rId15"/>
                    <a:stretch>
                      <a:fillRect/>
                    </a:stretch>
                  </pic:blipFill>
                  <pic:spPr>
                    <a:xfrm>
                      <a:off x="0" y="0"/>
                      <a:ext cx="9555480" cy="2366451"/>
                    </a:xfrm>
                    <a:prstGeom prst="rect"/>
                  </pic:spPr>
                </pic:pic>
              </a:graphicData>
            </a:graphic>
          </wp:inline>
        </w:drawing>
      </w:r>
    </w:p>
    <w:p>
      <w:pPr>
        <w:pStyle w:val="CaptionCustom"/>
      </w:pPr>
      <w:r>
        <w:t>Figure 5: API and payment-related coverage.</w:t>
      </w:r>
    </w:p>
    <w:p>
      <w:r>
        <w:br w:type="page"/>
      </w:r>
    </w:p>
    <w:p>
      <w:pPr>
        <w:pStyle w:val="Heading1"/>
      </w:pPr>
      <w:r>
        <w:t>Figure 6: Student feature coverage</w:t>
      </w:r>
    </w:p>
    <w:p>
      <w:pPr>
        <w:pStyle w:val="BodyText"/>
      </w:pPr>
      <w:r>
        <w:t>The student folder includes cart, dashboard, menu, and order-tracking logic. student-cart.js and student-dashboard.js are strongly covered, while my-orders.js and student-menu.js have lower coverage because they include more DOM rendering and user-interface paths.</w:t>
      </w:r>
    </w:p>
    <w:p>
      <w:pPr>
        <w:jc w:val="center"/>
      </w:pPr>
      <w:r>
        <w:drawing>
          <wp:inline xmlns:a="http://schemas.openxmlformats.org/drawingml/2006/main" xmlns:pic="http://schemas.openxmlformats.org/drawingml/2006/picture">
            <wp:extent cx="9555480" cy="2601961"/>
            <wp:docPr id="6" name="Picture 6"/>
            <wp:cNvGraphicFramePr>
              <a:graphicFrameLocks noChangeAspect="1"/>
            </wp:cNvGraphicFramePr>
            <a:graphic>
              <a:graphicData uri="http://schemas.openxmlformats.org/drawingml/2006/picture">
                <pic:pic>
                  <pic:nvPicPr>
                    <pic:cNvPr id="0" name="c3dac6ff-f009-4b40-9157-04424b553a42.png"/>
                    <pic:cNvPicPr/>
                  </pic:nvPicPr>
                  <pic:blipFill>
                    <a:blip r:embed="rId16"/>
                    <a:stretch>
                      <a:fillRect/>
                    </a:stretch>
                  </pic:blipFill>
                  <pic:spPr>
                    <a:xfrm>
                      <a:off x="0" y="0"/>
                      <a:ext cx="9555480" cy="2601961"/>
                    </a:xfrm>
                    <a:prstGeom prst="rect"/>
                  </pic:spPr>
                </pic:pic>
              </a:graphicData>
            </a:graphic>
          </wp:inline>
        </w:drawing>
      </w:r>
    </w:p>
    <w:p>
      <w:pPr>
        <w:pStyle w:val="CaptionCustom"/>
      </w:pPr>
      <w:r>
        <w:t>Figure 6: Student feature coverage.</w:t>
      </w:r>
    </w:p>
    <w:p>
      <w:r>
        <w:br w:type="page"/>
      </w:r>
    </w:p>
    <w:p>
      <w:pPr>
        <w:pStyle w:val="Heading1"/>
      </w:pPr>
      <w:r>
        <w:t>Figure 7: Vendor feature coverage</w:t>
      </w:r>
    </w:p>
    <w:p>
      <w:pPr>
        <w:pStyle w:val="BodyText"/>
      </w:pPr>
      <w:r>
        <w:t>The vendor folder has strong coverage overall. menuCreation.js and orders.js are both above 96%, showing strong test coverage for core vendor workflows. vendor-dashboard.js has lower coverage and is noted as an area for future improvement.</w:t>
      </w:r>
    </w:p>
    <w:p>
      <w:pPr>
        <w:jc w:val="center"/>
      </w:pPr>
      <w:r>
        <w:drawing>
          <wp:inline xmlns:a="http://schemas.openxmlformats.org/drawingml/2006/main" xmlns:pic="http://schemas.openxmlformats.org/drawingml/2006/picture">
            <wp:extent cx="9555480" cy="2570713"/>
            <wp:docPr id="7" name="Picture 7"/>
            <wp:cNvGraphicFramePr>
              <a:graphicFrameLocks noChangeAspect="1"/>
            </wp:cNvGraphicFramePr>
            <a:graphic>
              <a:graphicData uri="http://schemas.openxmlformats.org/drawingml/2006/picture">
                <pic:pic>
                  <pic:nvPicPr>
                    <pic:cNvPr id="0" name="9df0d047-88c7-4671-b945-599fce444281.png"/>
                    <pic:cNvPicPr/>
                  </pic:nvPicPr>
                  <pic:blipFill>
                    <a:blip r:embed="rId17"/>
                    <a:stretch>
                      <a:fillRect/>
                    </a:stretch>
                  </pic:blipFill>
                  <pic:spPr>
                    <a:xfrm>
                      <a:off x="0" y="0"/>
                      <a:ext cx="9555480" cy="2570713"/>
                    </a:xfrm>
                    <a:prstGeom prst="rect"/>
                  </pic:spPr>
                </pic:pic>
              </a:graphicData>
            </a:graphic>
          </wp:inline>
        </w:drawing>
      </w:r>
    </w:p>
    <w:p>
      <w:pPr>
        <w:pStyle w:val="CaptionCustom"/>
      </w:pPr>
      <w:r>
        <w:t>Figure 7: Vendor feature coverage.</w:t>
      </w:r>
    </w:p>
    <w:p>
      <w:r>
        <w:br w:type="page"/>
      </w:r>
    </w:p>
    <w:p>
      <w:pPr>
        <w:pStyle w:val="Heading1"/>
      </w:pPr>
      <w:r>
        <w:t>10. Detailed Coverage Interpretation</w:t>
      </w:r>
    </w:p>
    <w:p>
      <w:pPr>
        <w:pStyle w:val="BodyText"/>
      </w:pPr>
      <w:r>
        <w:t>The tables below explain the most important coverage results from the Codecov screenshots. These values help show which parts of the application were tested most strongly and which parts could be improved in future iterations.</w:t>
      </w:r>
    </w:p>
    <w:p>
      <w:pPr>
        <w:pStyle w:val="Heading2"/>
      </w:pPr>
      <w:r>
        <w:t>Authentication Coverage</w:t>
      </w:r>
    </w:p>
    <w:tbl>
      <w:tblPr>
        <w:tblW w:type="auto" w:w="0"/>
        <w:jc w:val="center"/>
        <w:tblLook w:firstColumn="1" w:firstRow="1" w:lastColumn="0" w:lastRow="0" w:noHBand="0" w:noVBand="1" w:val="04A0"/>
      </w:tblPr>
      <w:tblGrid>
        <w:gridCol w:w="3812"/>
        <w:gridCol w:w="3812"/>
        <w:gridCol w:w="3812"/>
        <w:gridCol w:w="3812"/>
      </w:tblGrid>
      <w:tr>
        <w:tc>
          <w:tcPr>
            <w:tcW w:type="dxa" w:w="3812"/>
            <w:shd w:fill="0B7A34"/>
            <w:tcBorders>
              <w:top w:sz="6" w:val="single" w:color="CBD5E1"/>
              <w:left w:sz="6" w:val="single" w:color="CBD5E1"/>
              <w:bottom w:sz="6" w:val="single" w:color="CBD5E1"/>
              <w:right w:sz="6" w:val="single" w:color="CBD5E1"/>
            </w:tcBorders>
          </w:tcPr>
          <w:p>
            <w:pPr>
              <w:jc w:val="left"/>
            </w:pPr>
            <w:r/>
            <w:r>
              <w:rPr>
                <w:b/>
                <w:color w:val="FFFFFF"/>
                <w:sz w:val="17"/>
              </w:rPr>
              <w:t>File / Area</w:t>
            </w:r>
          </w:p>
        </w:tc>
        <w:tc>
          <w:tcPr>
            <w:tcW w:type="dxa" w:w="3812"/>
            <w:shd w:fill="0B7A34"/>
            <w:tcBorders>
              <w:top w:sz="6" w:val="single" w:color="CBD5E1"/>
              <w:left w:sz="6" w:val="single" w:color="CBD5E1"/>
              <w:bottom w:sz="6" w:val="single" w:color="CBD5E1"/>
              <w:right w:sz="6" w:val="single" w:color="CBD5E1"/>
            </w:tcBorders>
          </w:tcPr>
          <w:p>
            <w:pPr>
              <w:jc w:val="left"/>
            </w:pPr>
            <w:r/>
            <w:r>
              <w:rPr>
                <w:b/>
                <w:color w:val="FFFFFF"/>
                <w:sz w:val="17"/>
              </w:rPr>
              <w:t>Coverage</w:t>
            </w:r>
          </w:p>
        </w:tc>
        <w:tc>
          <w:tcPr>
            <w:tcW w:type="dxa" w:w="3812"/>
            <w:shd w:fill="0B7A34"/>
            <w:tcBorders>
              <w:top w:sz="6" w:val="single" w:color="CBD5E1"/>
              <w:left w:sz="6" w:val="single" w:color="CBD5E1"/>
              <w:bottom w:sz="6" w:val="single" w:color="CBD5E1"/>
              <w:right w:sz="6" w:val="single" w:color="CBD5E1"/>
            </w:tcBorders>
          </w:tcPr>
          <w:p>
            <w:pPr>
              <w:jc w:val="left"/>
            </w:pPr>
            <w:r/>
            <w:r>
              <w:rPr>
                <w:b/>
                <w:color w:val="FFFFFF"/>
                <w:sz w:val="17"/>
              </w:rPr>
              <w:t>Covered Lines</w:t>
            </w:r>
          </w:p>
        </w:tc>
        <w:tc>
          <w:tcPr>
            <w:tcW w:type="dxa" w:w="3812"/>
            <w:shd w:fill="0B7A34"/>
            <w:tcBorders>
              <w:top w:sz="6" w:val="single" w:color="CBD5E1"/>
              <w:left w:sz="6" w:val="single" w:color="CBD5E1"/>
              <w:bottom w:sz="6" w:val="single" w:color="CBD5E1"/>
              <w:right w:sz="6" w:val="single" w:color="CBD5E1"/>
            </w:tcBorders>
          </w:tcPr>
          <w:p>
            <w:pPr>
              <w:jc w:val="left"/>
            </w:pPr>
            <w:r/>
            <w:r>
              <w:rPr>
                <w:b/>
                <w:color w:val="FFFFFF"/>
                <w:sz w:val="17"/>
              </w:rPr>
              <w:t>Comment</w:t>
            </w:r>
          </w:p>
        </w:tc>
      </w:tr>
      <w:tr>
        <w:tc>
          <w:tcPr>
            <w:tcW w:type="dxa" w:w="3812"/>
            <w:shd w:fill="FFFFFF"/>
            <w:tcBorders>
              <w:top w:sz="6" w:val="single" w:color="CBD5E1"/>
              <w:left w:sz="6" w:val="single" w:color="CBD5E1"/>
              <w:bottom w:sz="6" w:val="single" w:color="CBD5E1"/>
              <w:right w:sz="6" w:val="single" w:color="CBD5E1"/>
            </w:tcBorders>
          </w:tcPr>
          <w:p>
            <w:pPr>
              <w:jc w:val="left"/>
            </w:pPr>
            <w:r/>
            <w:r>
              <w:rPr>
                <w:b w:val="0"/>
                <w:color w:val="111827"/>
                <w:sz w:val="17"/>
              </w:rPr>
              <w:t>login.js</w:t>
            </w:r>
          </w:p>
        </w:tc>
        <w:tc>
          <w:tcPr>
            <w:tcW w:type="dxa" w:w="3812"/>
            <w:shd w:fill="FFFFFF"/>
            <w:tcBorders>
              <w:top w:sz="6" w:val="single" w:color="CBD5E1"/>
              <w:left w:sz="6" w:val="single" w:color="CBD5E1"/>
              <w:bottom w:sz="6" w:val="single" w:color="CBD5E1"/>
              <w:right w:sz="6" w:val="single" w:color="CBD5E1"/>
            </w:tcBorders>
          </w:tcPr>
          <w:p>
            <w:pPr>
              <w:jc w:val="left"/>
            </w:pPr>
            <w:r/>
            <w:r>
              <w:rPr>
                <w:b w:val="0"/>
                <w:color w:val="111827"/>
                <w:sz w:val="17"/>
              </w:rPr>
              <w:t>82.28%</w:t>
            </w:r>
          </w:p>
        </w:tc>
        <w:tc>
          <w:tcPr>
            <w:tcW w:type="dxa" w:w="3812"/>
            <w:shd w:fill="FFFFFF"/>
            <w:tcBorders>
              <w:top w:sz="6" w:val="single" w:color="CBD5E1"/>
              <w:left w:sz="6" w:val="single" w:color="CBD5E1"/>
              <w:bottom w:sz="6" w:val="single" w:color="CBD5E1"/>
              <w:right w:sz="6" w:val="single" w:color="CBD5E1"/>
            </w:tcBorders>
          </w:tcPr>
          <w:p>
            <w:pPr>
              <w:jc w:val="left"/>
            </w:pPr>
            <w:r/>
            <w:r>
              <w:rPr>
                <w:b w:val="0"/>
                <w:color w:val="111827"/>
                <w:sz w:val="17"/>
              </w:rPr>
              <w:t>65 of 79</w:t>
            </w:r>
          </w:p>
        </w:tc>
        <w:tc>
          <w:tcPr>
            <w:tcW w:type="dxa" w:w="3812"/>
            <w:shd w:fill="FFFFFF"/>
            <w:tcBorders>
              <w:top w:sz="6" w:val="single" w:color="CBD5E1"/>
              <w:left w:sz="6" w:val="single" w:color="CBD5E1"/>
              <w:bottom w:sz="6" w:val="single" w:color="CBD5E1"/>
              <w:right w:sz="6" w:val="single" w:color="CBD5E1"/>
            </w:tcBorders>
          </w:tcPr>
          <w:p>
            <w:pPr>
              <w:jc w:val="left"/>
            </w:pPr>
            <w:r/>
            <w:r>
              <w:rPr>
                <w:b w:val="0"/>
                <w:color w:val="111827"/>
                <w:sz w:val="17"/>
              </w:rPr>
              <w:t>Login logic is well covered.</w:t>
            </w:r>
          </w:p>
        </w:tc>
      </w:tr>
      <w:tr>
        <w:tc>
          <w:tcPr>
            <w:tcW w:type="dxa" w:w="3812"/>
            <w:shd w:fill="FFFFFF"/>
            <w:tcBorders>
              <w:top w:sz="6" w:val="single" w:color="CBD5E1"/>
              <w:left w:sz="6" w:val="single" w:color="CBD5E1"/>
              <w:bottom w:sz="6" w:val="single" w:color="CBD5E1"/>
              <w:right w:sz="6" w:val="single" w:color="CBD5E1"/>
            </w:tcBorders>
          </w:tcPr>
          <w:p>
            <w:pPr>
              <w:jc w:val="left"/>
            </w:pPr>
            <w:r/>
            <w:r>
              <w:rPr>
                <w:b w:val="0"/>
                <w:color w:val="111827"/>
                <w:sz w:val="17"/>
              </w:rPr>
              <w:t>register.js</w:t>
            </w:r>
          </w:p>
        </w:tc>
        <w:tc>
          <w:tcPr>
            <w:tcW w:type="dxa" w:w="3812"/>
            <w:shd w:fill="FFFFFF"/>
            <w:tcBorders>
              <w:top w:sz="6" w:val="single" w:color="CBD5E1"/>
              <w:left w:sz="6" w:val="single" w:color="CBD5E1"/>
              <w:bottom w:sz="6" w:val="single" w:color="CBD5E1"/>
              <w:right w:sz="6" w:val="single" w:color="CBD5E1"/>
            </w:tcBorders>
          </w:tcPr>
          <w:p>
            <w:pPr>
              <w:jc w:val="left"/>
            </w:pPr>
            <w:r/>
            <w:r>
              <w:rPr>
                <w:b w:val="0"/>
                <w:color w:val="111827"/>
                <w:sz w:val="17"/>
              </w:rPr>
              <w:t>82.76%</w:t>
            </w:r>
          </w:p>
        </w:tc>
        <w:tc>
          <w:tcPr>
            <w:tcW w:type="dxa" w:w="3812"/>
            <w:shd w:fill="FFFFFF"/>
            <w:tcBorders>
              <w:top w:sz="6" w:val="single" w:color="CBD5E1"/>
              <w:left w:sz="6" w:val="single" w:color="CBD5E1"/>
              <w:bottom w:sz="6" w:val="single" w:color="CBD5E1"/>
              <w:right w:sz="6" w:val="single" w:color="CBD5E1"/>
            </w:tcBorders>
          </w:tcPr>
          <w:p>
            <w:pPr>
              <w:jc w:val="left"/>
            </w:pPr>
            <w:r/>
            <w:r>
              <w:rPr>
                <w:b w:val="0"/>
                <w:color w:val="111827"/>
                <w:sz w:val="17"/>
              </w:rPr>
              <w:t>96 of 116</w:t>
            </w:r>
          </w:p>
        </w:tc>
        <w:tc>
          <w:tcPr>
            <w:tcW w:type="dxa" w:w="3812"/>
            <w:shd w:fill="FFFFFF"/>
            <w:tcBorders>
              <w:top w:sz="6" w:val="single" w:color="CBD5E1"/>
              <w:left w:sz="6" w:val="single" w:color="CBD5E1"/>
              <w:bottom w:sz="6" w:val="single" w:color="CBD5E1"/>
              <w:right w:sz="6" w:val="single" w:color="CBD5E1"/>
            </w:tcBorders>
          </w:tcPr>
          <w:p>
            <w:pPr>
              <w:jc w:val="left"/>
            </w:pPr>
            <w:r/>
            <w:r>
              <w:rPr>
                <w:b w:val="0"/>
                <w:color w:val="111827"/>
                <w:sz w:val="17"/>
              </w:rPr>
              <w:t>Registration logic is well covered.</w:t>
            </w:r>
          </w:p>
        </w:tc>
      </w:tr>
    </w:tbl>
    <w:p/>
    <w:p>
      <w:pPr>
        <w:pStyle w:val="Heading2"/>
      </w:pPr>
      <w:r>
        <w:t>API / Backend Coverage</w:t>
      </w:r>
    </w:p>
    <w:tbl>
      <w:tblPr>
        <w:tblW w:type="auto" w:w="0"/>
        <w:jc w:val="center"/>
        <w:tblLook w:firstColumn="1" w:firstRow="1" w:lastColumn="0" w:lastRow="0" w:noHBand="0" w:noVBand="1" w:val="04A0"/>
      </w:tblPr>
      <w:tblGrid>
        <w:gridCol w:w="3812"/>
        <w:gridCol w:w="3812"/>
        <w:gridCol w:w="3812"/>
        <w:gridCol w:w="3812"/>
      </w:tblGrid>
      <w:tr>
        <w:tc>
          <w:tcPr>
            <w:tcW w:type="dxa" w:w="3812"/>
            <w:shd w:fill="0B7A34"/>
            <w:tcBorders>
              <w:top w:sz="6" w:val="single" w:color="CBD5E1"/>
              <w:left w:sz="6" w:val="single" w:color="CBD5E1"/>
              <w:bottom w:sz="6" w:val="single" w:color="CBD5E1"/>
              <w:right w:sz="6" w:val="single" w:color="CBD5E1"/>
            </w:tcBorders>
          </w:tcPr>
          <w:p>
            <w:pPr>
              <w:jc w:val="left"/>
            </w:pPr>
            <w:r/>
            <w:r>
              <w:rPr>
                <w:b/>
                <w:color w:val="FFFFFF"/>
                <w:sz w:val="17"/>
              </w:rPr>
              <w:t>File / Area</w:t>
            </w:r>
          </w:p>
        </w:tc>
        <w:tc>
          <w:tcPr>
            <w:tcW w:type="dxa" w:w="3812"/>
            <w:shd w:fill="0B7A34"/>
            <w:tcBorders>
              <w:top w:sz="6" w:val="single" w:color="CBD5E1"/>
              <w:left w:sz="6" w:val="single" w:color="CBD5E1"/>
              <w:bottom w:sz="6" w:val="single" w:color="CBD5E1"/>
              <w:right w:sz="6" w:val="single" w:color="CBD5E1"/>
            </w:tcBorders>
          </w:tcPr>
          <w:p>
            <w:pPr>
              <w:jc w:val="left"/>
            </w:pPr>
            <w:r/>
            <w:r>
              <w:rPr>
                <w:b/>
                <w:color w:val="FFFFFF"/>
                <w:sz w:val="17"/>
              </w:rPr>
              <w:t>Coverage</w:t>
            </w:r>
          </w:p>
        </w:tc>
        <w:tc>
          <w:tcPr>
            <w:tcW w:type="dxa" w:w="3812"/>
            <w:shd w:fill="0B7A34"/>
            <w:tcBorders>
              <w:top w:sz="6" w:val="single" w:color="CBD5E1"/>
              <w:left w:sz="6" w:val="single" w:color="CBD5E1"/>
              <w:bottom w:sz="6" w:val="single" w:color="CBD5E1"/>
              <w:right w:sz="6" w:val="single" w:color="CBD5E1"/>
            </w:tcBorders>
          </w:tcPr>
          <w:p>
            <w:pPr>
              <w:jc w:val="left"/>
            </w:pPr>
            <w:r/>
            <w:r>
              <w:rPr>
                <w:b/>
                <w:color w:val="FFFFFF"/>
                <w:sz w:val="17"/>
              </w:rPr>
              <w:t>Covered Lines</w:t>
            </w:r>
          </w:p>
        </w:tc>
        <w:tc>
          <w:tcPr>
            <w:tcW w:type="dxa" w:w="3812"/>
            <w:shd w:fill="0B7A34"/>
            <w:tcBorders>
              <w:top w:sz="6" w:val="single" w:color="CBD5E1"/>
              <w:left w:sz="6" w:val="single" w:color="CBD5E1"/>
              <w:bottom w:sz="6" w:val="single" w:color="CBD5E1"/>
              <w:right w:sz="6" w:val="single" w:color="CBD5E1"/>
            </w:tcBorders>
          </w:tcPr>
          <w:p>
            <w:pPr>
              <w:jc w:val="left"/>
            </w:pPr>
            <w:r/>
            <w:r>
              <w:rPr>
                <w:b/>
                <w:color w:val="FFFFFF"/>
                <w:sz w:val="17"/>
              </w:rPr>
              <w:t>Comment</w:t>
            </w:r>
          </w:p>
        </w:tc>
      </w:tr>
      <w:tr>
        <w:tc>
          <w:tcPr>
            <w:tcW w:type="dxa" w:w="3812"/>
            <w:shd w:fill="FFFFFF"/>
            <w:tcBorders>
              <w:top w:sz="6" w:val="single" w:color="CBD5E1"/>
              <w:left w:sz="6" w:val="single" w:color="CBD5E1"/>
              <w:bottom w:sz="6" w:val="single" w:color="CBD5E1"/>
              <w:right w:sz="6" w:val="single" w:color="CBD5E1"/>
            </w:tcBorders>
          </w:tcPr>
          <w:p>
            <w:pPr>
              <w:jc w:val="left"/>
            </w:pPr>
            <w:r/>
            <w:r>
              <w:rPr>
                <w:b w:val="0"/>
                <w:color w:val="111827"/>
                <w:sz w:val="17"/>
              </w:rPr>
              <w:t>payfast folder</w:t>
            </w:r>
          </w:p>
        </w:tc>
        <w:tc>
          <w:tcPr>
            <w:tcW w:type="dxa" w:w="3812"/>
            <w:shd w:fill="FFFFFF"/>
            <w:tcBorders>
              <w:top w:sz="6" w:val="single" w:color="CBD5E1"/>
              <w:left w:sz="6" w:val="single" w:color="CBD5E1"/>
              <w:bottom w:sz="6" w:val="single" w:color="CBD5E1"/>
              <w:right w:sz="6" w:val="single" w:color="CBD5E1"/>
            </w:tcBorders>
          </w:tcPr>
          <w:p>
            <w:pPr>
              <w:jc w:val="left"/>
            </w:pPr>
            <w:r/>
            <w:r>
              <w:rPr>
                <w:b w:val="0"/>
                <w:color w:val="111827"/>
                <w:sz w:val="17"/>
              </w:rPr>
              <w:t>100.00%</w:t>
            </w:r>
          </w:p>
        </w:tc>
        <w:tc>
          <w:tcPr>
            <w:tcW w:type="dxa" w:w="3812"/>
            <w:shd w:fill="FFFFFF"/>
            <w:tcBorders>
              <w:top w:sz="6" w:val="single" w:color="CBD5E1"/>
              <w:left w:sz="6" w:val="single" w:color="CBD5E1"/>
              <w:bottom w:sz="6" w:val="single" w:color="CBD5E1"/>
              <w:right w:sz="6" w:val="single" w:color="CBD5E1"/>
            </w:tcBorders>
          </w:tcPr>
          <w:p>
            <w:pPr>
              <w:jc w:val="left"/>
            </w:pPr>
            <w:r/>
            <w:r>
              <w:rPr>
                <w:b w:val="0"/>
                <w:color w:val="111827"/>
                <w:sz w:val="17"/>
              </w:rPr>
              <w:t>39 of 39</w:t>
            </w:r>
          </w:p>
        </w:tc>
        <w:tc>
          <w:tcPr>
            <w:tcW w:type="dxa" w:w="3812"/>
            <w:shd w:fill="FFFFFF"/>
            <w:tcBorders>
              <w:top w:sz="6" w:val="single" w:color="CBD5E1"/>
              <w:left w:sz="6" w:val="single" w:color="CBD5E1"/>
              <w:bottom w:sz="6" w:val="single" w:color="CBD5E1"/>
              <w:right w:sz="6" w:val="single" w:color="CBD5E1"/>
            </w:tcBorders>
          </w:tcPr>
          <w:p>
            <w:pPr>
              <w:jc w:val="left"/>
            </w:pPr>
            <w:r/>
            <w:r>
              <w:rPr>
                <w:b w:val="0"/>
                <w:color w:val="111827"/>
                <w:sz w:val="17"/>
              </w:rPr>
              <w:t>PayFast callback/payment support logic is fully covered.</w:t>
            </w:r>
          </w:p>
        </w:tc>
      </w:tr>
      <w:tr>
        <w:tc>
          <w:tcPr>
            <w:tcW w:type="dxa" w:w="3812"/>
            <w:shd w:fill="FFFFFF"/>
            <w:tcBorders>
              <w:top w:sz="6" w:val="single" w:color="CBD5E1"/>
              <w:left w:sz="6" w:val="single" w:color="CBD5E1"/>
              <w:bottom w:sz="6" w:val="single" w:color="CBD5E1"/>
              <w:right w:sz="6" w:val="single" w:color="CBD5E1"/>
            </w:tcBorders>
          </w:tcPr>
          <w:p>
            <w:pPr>
              <w:jc w:val="left"/>
            </w:pPr>
            <w:r/>
            <w:r>
              <w:rPr>
                <w:b w:val="0"/>
                <w:color w:val="111827"/>
                <w:sz w:val="17"/>
              </w:rPr>
              <w:t>analytics.js</w:t>
            </w:r>
          </w:p>
        </w:tc>
        <w:tc>
          <w:tcPr>
            <w:tcW w:type="dxa" w:w="3812"/>
            <w:shd w:fill="FFFFFF"/>
            <w:tcBorders>
              <w:top w:sz="6" w:val="single" w:color="CBD5E1"/>
              <w:left w:sz="6" w:val="single" w:color="CBD5E1"/>
              <w:bottom w:sz="6" w:val="single" w:color="CBD5E1"/>
              <w:right w:sz="6" w:val="single" w:color="CBD5E1"/>
            </w:tcBorders>
          </w:tcPr>
          <w:p>
            <w:pPr>
              <w:jc w:val="left"/>
            </w:pPr>
            <w:r/>
            <w:r>
              <w:rPr>
                <w:b w:val="0"/>
                <w:color w:val="111827"/>
                <w:sz w:val="17"/>
              </w:rPr>
              <w:t>87.50%</w:t>
            </w:r>
          </w:p>
        </w:tc>
        <w:tc>
          <w:tcPr>
            <w:tcW w:type="dxa" w:w="3812"/>
            <w:shd w:fill="FFFFFF"/>
            <w:tcBorders>
              <w:top w:sz="6" w:val="single" w:color="CBD5E1"/>
              <w:left w:sz="6" w:val="single" w:color="CBD5E1"/>
              <w:bottom w:sz="6" w:val="single" w:color="CBD5E1"/>
              <w:right w:sz="6" w:val="single" w:color="CBD5E1"/>
            </w:tcBorders>
          </w:tcPr>
          <w:p>
            <w:pPr>
              <w:jc w:val="left"/>
            </w:pPr>
            <w:r/>
            <w:r>
              <w:rPr>
                <w:b w:val="0"/>
                <w:color w:val="111827"/>
                <w:sz w:val="17"/>
              </w:rPr>
              <w:t>42 of 48</w:t>
            </w:r>
          </w:p>
        </w:tc>
        <w:tc>
          <w:tcPr>
            <w:tcW w:type="dxa" w:w="3812"/>
            <w:shd w:fill="FFFFFF"/>
            <w:tcBorders>
              <w:top w:sz="6" w:val="single" w:color="CBD5E1"/>
              <w:left w:sz="6" w:val="single" w:color="CBD5E1"/>
              <w:bottom w:sz="6" w:val="single" w:color="CBD5E1"/>
              <w:right w:sz="6" w:val="single" w:color="CBD5E1"/>
            </w:tcBorders>
          </w:tcPr>
          <w:p>
            <w:pPr>
              <w:jc w:val="left"/>
            </w:pPr>
            <w:r/>
            <w:r>
              <w:rPr>
                <w:b w:val="0"/>
                <w:color w:val="111827"/>
                <w:sz w:val="17"/>
              </w:rPr>
              <w:t>Analytics endpoint logic is strongly covered.</w:t>
            </w:r>
          </w:p>
        </w:tc>
      </w:tr>
      <w:tr>
        <w:tc>
          <w:tcPr>
            <w:tcW w:type="dxa" w:w="3812"/>
            <w:shd w:fill="FFFFFF"/>
            <w:tcBorders>
              <w:top w:sz="6" w:val="single" w:color="CBD5E1"/>
              <w:left w:sz="6" w:val="single" w:color="CBD5E1"/>
              <w:bottom w:sz="6" w:val="single" w:color="CBD5E1"/>
              <w:right w:sz="6" w:val="single" w:color="CBD5E1"/>
            </w:tcBorders>
          </w:tcPr>
          <w:p>
            <w:pPr>
              <w:jc w:val="left"/>
            </w:pPr>
            <w:r/>
            <w:r>
              <w:rPr>
                <w:b w:val="0"/>
                <w:color w:val="111827"/>
                <w:sz w:val="17"/>
              </w:rPr>
              <w:t>payment.js</w:t>
            </w:r>
          </w:p>
        </w:tc>
        <w:tc>
          <w:tcPr>
            <w:tcW w:type="dxa" w:w="3812"/>
            <w:shd w:fill="FFFFFF"/>
            <w:tcBorders>
              <w:top w:sz="6" w:val="single" w:color="CBD5E1"/>
              <w:left w:sz="6" w:val="single" w:color="CBD5E1"/>
              <w:bottom w:sz="6" w:val="single" w:color="CBD5E1"/>
              <w:right w:sz="6" w:val="single" w:color="CBD5E1"/>
            </w:tcBorders>
          </w:tcPr>
          <w:p>
            <w:pPr>
              <w:jc w:val="left"/>
            </w:pPr>
            <w:r/>
            <w:r>
              <w:rPr>
                <w:b w:val="0"/>
                <w:color w:val="111827"/>
                <w:sz w:val="17"/>
              </w:rPr>
              <w:t>90.20%</w:t>
            </w:r>
          </w:p>
        </w:tc>
        <w:tc>
          <w:tcPr>
            <w:tcW w:type="dxa" w:w="3812"/>
            <w:shd w:fill="FFFFFF"/>
            <w:tcBorders>
              <w:top w:sz="6" w:val="single" w:color="CBD5E1"/>
              <w:left w:sz="6" w:val="single" w:color="CBD5E1"/>
              <w:bottom w:sz="6" w:val="single" w:color="CBD5E1"/>
              <w:right w:sz="6" w:val="single" w:color="CBD5E1"/>
            </w:tcBorders>
          </w:tcPr>
          <w:p>
            <w:pPr>
              <w:jc w:val="left"/>
            </w:pPr>
            <w:r/>
            <w:r>
              <w:rPr>
                <w:b w:val="0"/>
                <w:color w:val="111827"/>
                <w:sz w:val="17"/>
              </w:rPr>
              <w:t>46 of 51</w:t>
            </w:r>
          </w:p>
        </w:tc>
        <w:tc>
          <w:tcPr>
            <w:tcW w:type="dxa" w:w="3812"/>
            <w:shd w:fill="FFFFFF"/>
            <w:tcBorders>
              <w:top w:sz="6" w:val="single" w:color="CBD5E1"/>
              <w:left w:sz="6" w:val="single" w:color="CBD5E1"/>
              <w:bottom w:sz="6" w:val="single" w:color="CBD5E1"/>
              <w:right w:sz="6" w:val="single" w:color="CBD5E1"/>
            </w:tcBorders>
          </w:tcPr>
          <w:p>
            <w:pPr>
              <w:jc w:val="left"/>
            </w:pPr>
            <w:r/>
            <w:r>
              <w:rPr>
                <w:b w:val="0"/>
                <w:color w:val="111827"/>
                <w:sz w:val="17"/>
              </w:rPr>
              <w:t>Payment API logic is strongly covered.</w:t>
            </w:r>
          </w:p>
        </w:tc>
      </w:tr>
    </w:tbl>
    <w:p/>
    <w:p>
      <w:pPr>
        <w:pStyle w:val="Heading2"/>
      </w:pPr>
      <w:r>
        <w:t>Student Feature Coverage</w:t>
      </w:r>
    </w:p>
    <w:tbl>
      <w:tblPr>
        <w:tblW w:type="auto" w:w="0"/>
        <w:jc w:val="center"/>
        <w:tblLook w:firstColumn="1" w:firstRow="1" w:lastColumn="0" w:lastRow="0" w:noHBand="0" w:noVBand="1" w:val="04A0"/>
      </w:tblPr>
      <w:tblGrid>
        <w:gridCol w:w="3812"/>
        <w:gridCol w:w="3812"/>
        <w:gridCol w:w="3812"/>
        <w:gridCol w:w="3812"/>
      </w:tblGrid>
      <w:tr>
        <w:tc>
          <w:tcPr>
            <w:tcW w:type="dxa" w:w="3812"/>
            <w:shd w:fill="0B7A34"/>
            <w:tcBorders>
              <w:top w:sz="6" w:val="single" w:color="CBD5E1"/>
              <w:left w:sz="6" w:val="single" w:color="CBD5E1"/>
              <w:bottom w:sz="6" w:val="single" w:color="CBD5E1"/>
              <w:right w:sz="6" w:val="single" w:color="CBD5E1"/>
            </w:tcBorders>
          </w:tcPr>
          <w:p>
            <w:pPr>
              <w:jc w:val="left"/>
            </w:pPr>
            <w:r/>
            <w:r>
              <w:rPr>
                <w:b/>
                <w:color w:val="FFFFFF"/>
                <w:sz w:val="17"/>
              </w:rPr>
              <w:t>File / Area</w:t>
            </w:r>
          </w:p>
        </w:tc>
        <w:tc>
          <w:tcPr>
            <w:tcW w:type="dxa" w:w="3812"/>
            <w:shd w:fill="0B7A34"/>
            <w:tcBorders>
              <w:top w:sz="6" w:val="single" w:color="CBD5E1"/>
              <w:left w:sz="6" w:val="single" w:color="CBD5E1"/>
              <w:bottom w:sz="6" w:val="single" w:color="CBD5E1"/>
              <w:right w:sz="6" w:val="single" w:color="CBD5E1"/>
            </w:tcBorders>
          </w:tcPr>
          <w:p>
            <w:pPr>
              <w:jc w:val="left"/>
            </w:pPr>
            <w:r/>
            <w:r>
              <w:rPr>
                <w:b/>
                <w:color w:val="FFFFFF"/>
                <w:sz w:val="17"/>
              </w:rPr>
              <w:t>Coverage</w:t>
            </w:r>
          </w:p>
        </w:tc>
        <w:tc>
          <w:tcPr>
            <w:tcW w:type="dxa" w:w="3812"/>
            <w:shd w:fill="0B7A34"/>
            <w:tcBorders>
              <w:top w:sz="6" w:val="single" w:color="CBD5E1"/>
              <w:left w:sz="6" w:val="single" w:color="CBD5E1"/>
              <w:bottom w:sz="6" w:val="single" w:color="CBD5E1"/>
              <w:right w:sz="6" w:val="single" w:color="CBD5E1"/>
            </w:tcBorders>
          </w:tcPr>
          <w:p>
            <w:pPr>
              <w:jc w:val="left"/>
            </w:pPr>
            <w:r/>
            <w:r>
              <w:rPr>
                <w:b/>
                <w:color w:val="FFFFFF"/>
                <w:sz w:val="17"/>
              </w:rPr>
              <w:t>Covered Lines</w:t>
            </w:r>
          </w:p>
        </w:tc>
        <w:tc>
          <w:tcPr>
            <w:tcW w:type="dxa" w:w="3812"/>
            <w:shd w:fill="0B7A34"/>
            <w:tcBorders>
              <w:top w:sz="6" w:val="single" w:color="CBD5E1"/>
              <w:left w:sz="6" w:val="single" w:color="CBD5E1"/>
              <w:bottom w:sz="6" w:val="single" w:color="CBD5E1"/>
              <w:right w:sz="6" w:val="single" w:color="CBD5E1"/>
            </w:tcBorders>
          </w:tcPr>
          <w:p>
            <w:pPr>
              <w:jc w:val="left"/>
            </w:pPr>
            <w:r/>
            <w:r>
              <w:rPr>
                <w:b/>
                <w:color w:val="FFFFFF"/>
                <w:sz w:val="17"/>
              </w:rPr>
              <w:t>Comment</w:t>
            </w:r>
          </w:p>
        </w:tc>
      </w:tr>
      <w:tr>
        <w:tc>
          <w:tcPr>
            <w:tcW w:type="dxa" w:w="3812"/>
            <w:shd w:fill="FFFFFF"/>
            <w:tcBorders>
              <w:top w:sz="6" w:val="single" w:color="CBD5E1"/>
              <w:left w:sz="6" w:val="single" w:color="CBD5E1"/>
              <w:bottom w:sz="6" w:val="single" w:color="CBD5E1"/>
              <w:right w:sz="6" w:val="single" w:color="CBD5E1"/>
            </w:tcBorders>
          </w:tcPr>
          <w:p>
            <w:pPr>
              <w:jc w:val="left"/>
            </w:pPr>
            <w:r/>
            <w:r>
              <w:rPr>
                <w:b w:val="0"/>
                <w:color w:val="111827"/>
                <w:sz w:val="17"/>
              </w:rPr>
              <w:t>my-orders.js</w:t>
            </w:r>
          </w:p>
        </w:tc>
        <w:tc>
          <w:tcPr>
            <w:tcW w:type="dxa" w:w="3812"/>
            <w:shd w:fill="FFFFFF"/>
            <w:tcBorders>
              <w:top w:sz="6" w:val="single" w:color="CBD5E1"/>
              <w:left w:sz="6" w:val="single" w:color="CBD5E1"/>
              <w:bottom w:sz="6" w:val="single" w:color="CBD5E1"/>
              <w:right w:sz="6" w:val="single" w:color="CBD5E1"/>
            </w:tcBorders>
          </w:tcPr>
          <w:p>
            <w:pPr>
              <w:jc w:val="left"/>
            </w:pPr>
            <w:r/>
            <w:r>
              <w:rPr>
                <w:b w:val="0"/>
                <w:color w:val="111827"/>
                <w:sz w:val="17"/>
              </w:rPr>
              <w:t>65.15%</w:t>
            </w:r>
          </w:p>
        </w:tc>
        <w:tc>
          <w:tcPr>
            <w:tcW w:type="dxa" w:w="3812"/>
            <w:shd w:fill="FFFFFF"/>
            <w:tcBorders>
              <w:top w:sz="6" w:val="single" w:color="CBD5E1"/>
              <w:left w:sz="6" w:val="single" w:color="CBD5E1"/>
              <w:bottom w:sz="6" w:val="single" w:color="CBD5E1"/>
              <w:right w:sz="6" w:val="single" w:color="CBD5E1"/>
            </w:tcBorders>
          </w:tcPr>
          <w:p>
            <w:pPr>
              <w:jc w:val="left"/>
            </w:pPr>
            <w:r/>
            <w:r>
              <w:rPr>
                <w:b w:val="0"/>
                <w:color w:val="111827"/>
                <w:sz w:val="17"/>
              </w:rPr>
              <w:t>157 of 241</w:t>
            </w:r>
          </w:p>
        </w:tc>
        <w:tc>
          <w:tcPr>
            <w:tcW w:type="dxa" w:w="3812"/>
            <w:shd w:fill="FFFFFF"/>
            <w:tcBorders>
              <w:top w:sz="6" w:val="single" w:color="CBD5E1"/>
              <w:left w:sz="6" w:val="single" w:color="CBD5E1"/>
              <w:bottom w:sz="6" w:val="single" w:color="CBD5E1"/>
              <w:right w:sz="6" w:val="single" w:color="CBD5E1"/>
            </w:tcBorders>
          </w:tcPr>
          <w:p>
            <w:pPr>
              <w:jc w:val="left"/>
            </w:pPr>
            <w:r/>
            <w:r>
              <w:rPr>
                <w:b w:val="0"/>
                <w:color w:val="111827"/>
                <w:sz w:val="17"/>
              </w:rPr>
              <w:t>Order display logic has partial coverage and can be improved.</w:t>
            </w:r>
          </w:p>
        </w:tc>
      </w:tr>
      <w:tr>
        <w:tc>
          <w:tcPr>
            <w:tcW w:type="dxa" w:w="3812"/>
            <w:shd w:fill="FFFFFF"/>
            <w:tcBorders>
              <w:top w:sz="6" w:val="single" w:color="CBD5E1"/>
              <w:left w:sz="6" w:val="single" w:color="CBD5E1"/>
              <w:bottom w:sz="6" w:val="single" w:color="CBD5E1"/>
              <w:right w:sz="6" w:val="single" w:color="CBD5E1"/>
            </w:tcBorders>
          </w:tcPr>
          <w:p>
            <w:pPr>
              <w:jc w:val="left"/>
            </w:pPr>
            <w:r/>
            <w:r>
              <w:rPr>
                <w:b w:val="0"/>
                <w:color w:val="111827"/>
                <w:sz w:val="17"/>
              </w:rPr>
              <w:t>student-cart.js</w:t>
            </w:r>
          </w:p>
        </w:tc>
        <w:tc>
          <w:tcPr>
            <w:tcW w:type="dxa" w:w="3812"/>
            <w:shd w:fill="FFFFFF"/>
            <w:tcBorders>
              <w:top w:sz="6" w:val="single" w:color="CBD5E1"/>
              <w:left w:sz="6" w:val="single" w:color="CBD5E1"/>
              <w:bottom w:sz="6" w:val="single" w:color="CBD5E1"/>
              <w:right w:sz="6" w:val="single" w:color="CBD5E1"/>
            </w:tcBorders>
          </w:tcPr>
          <w:p>
            <w:pPr>
              <w:jc w:val="left"/>
            </w:pPr>
            <w:r/>
            <w:r>
              <w:rPr>
                <w:b w:val="0"/>
                <w:color w:val="111827"/>
                <w:sz w:val="17"/>
              </w:rPr>
              <w:t>85.98%</w:t>
            </w:r>
          </w:p>
        </w:tc>
        <w:tc>
          <w:tcPr>
            <w:tcW w:type="dxa" w:w="3812"/>
            <w:shd w:fill="FFFFFF"/>
            <w:tcBorders>
              <w:top w:sz="6" w:val="single" w:color="CBD5E1"/>
              <w:left w:sz="6" w:val="single" w:color="CBD5E1"/>
              <w:bottom w:sz="6" w:val="single" w:color="CBD5E1"/>
              <w:right w:sz="6" w:val="single" w:color="CBD5E1"/>
            </w:tcBorders>
          </w:tcPr>
          <w:p>
            <w:pPr>
              <w:jc w:val="left"/>
            </w:pPr>
            <w:r/>
            <w:r>
              <w:rPr>
                <w:b w:val="0"/>
                <w:color w:val="111827"/>
                <w:sz w:val="17"/>
              </w:rPr>
              <w:t>227 of 264</w:t>
            </w:r>
          </w:p>
        </w:tc>
        <w:tc>
          <w:tcPr>
            <w:tcW w:type="dxa" w:w="3812"/>
            <w:shd w:fill="FFFFFF"/>
            <w:tcBorders>
              <w:top w:sz="6" w:val="single" w:color="CBD5E1"/>
              <w:left w:sz="6" w:val="single" w:color="CBD5E1"/>
              <w:bottom w:sz="6" w:val="single" w:color="CBD5E1"/>
              <w:right w:sz="6" w:val="single" w:color="CBD5E1"/>
            </w:tcBorders>
          </w:tcPr>
          <w:p>
            <w:pPr>
              <w:jc w:val="left"/>
            </w:pPr>
            <w:r/>
            <w:r>
              <w:rPr>
                <w:b w:val="0"/>
                <w:color w:val="111827"/>
                <w:sz w:val="17"/>
              </w:rPr>
              <w:t>Cart logic is strongly covered.</w:t>
            </w:r>
          </w:p>
        </w:tc>
      </w:tr>
      <w:tr>
        <w:tc>
          <w:tcPr>
            <w:tcW w:type="dxa" w:w="3812"/>
            <w:shd w:fill="FFFFFF"/>
            <w:tcBorders>
              <w:top w:sz="6" w:val="single" w:color="CBD5E1"/>
              <w:left w:sz="6" w:val="single" w:color="CBD5E1"/>
              <w:bottom w:sz="6" w:val="single" w:color="CBD5E1"/>
              <w:right w:sz="6" w:val="single" w:color="CBD5E1"/>
            </w:tcBorders>
          </w:tcPr>
          <w:p>
            <w:pPr>
              <w:jc w:val="left"/>
            </w:pPr>
            <w:r/>
            <w:r>
              <w:rPr>
                <w:b w:val="0"/>
                <w:color w:val="111827"/>
                <w:sz w:val="17"/>
              </w:rPr>
              <w:t>student-dashboard.js</w:t>
            </w:r>
          </w:p>
        </w:tc>
        <w:tc>
          <w:tcPr>
            <w:tcW w:type="dxa" w:w="3812"/>
            <w:shd w:fill="FFFFFF"/>
            <w:tcBorders>
              <w:top w:sz="6" w:val="single" w:color="CBD5E1"/>
              <w:left w:sz="6" w:val="single" w:color="CBD5E1"/>
              <w:bottom w:sz="6" w:val="single" w:color="CBD5E1"/>
              <w:right w:sz="6" w:val="single" w:color="CBD5E1"/>
            </w:tcBorders>
          </w:tcPr>
          <w:p>
            <w:pPr>
              <w:jc w:val="left"/>
            </w:pPr>
            <w:r/>
            <w:r>
              <w:rPr>
                <w:b w:val="0"/>
                <w:color w:val="111827"/>
                <w:sz w:val="17"/>
              </w:rPr>
              <w:t>87.88%</w:t>
            </w:r>
          </w:p>
        </w:tc>
        <w:tc>
          <w:tcPr>
            <w:tcW w:type="dxa" w:w="3812"/>
            <w:shd w:fill="FFFFFF"/>
            <w:tcBorders>
              <w:top w:sz="6" w:val="single" w:color="CBD5E1"/>
              <w:left w:sz="6" w:val="single" w:color="CBD5E1"/>
              <w:bottom w:sz="6" w:val="single" w:color="CBD5E1"/>
              <w:right w:sz="6" w:val="single" w:color="CBD5E1"/>
            </w:tcBorders>
          </w:tcPr>
          <w:p>
            <w:pPr>
              <w:jc w:val="left"/>
            </w:pPr>
            <w:r/>
            <w:r>
              <w:rPr>
                <w:b w:val="0"/>
                <w:color w:val="111827"/>
                <w:sz w:val="17"/>
              </w:rPr>
              <w:t>116 of 132</w:t>
            </w:r>
          </w:p>
        </w:tc>
        <w:tc>
          <w:tcPr>
            <w:tcW w:type="dxa" w:w="3812"/>
            <w:shd w:fill="FFFFFF"/>
            <w:tcBorders>
              <w:top w:sz="6" w:val="single" w:color="CBD5E1"/>
              <w:left w:sz="6" w:val="single" w:color="CBD5E1"/>
              <w:bottom w:sz="6" w:val="single" w:color="CBD5E1"/>
              <w:right w:sz="6" w:val="single" w:color="CBD5E1"/>
            </w:tcBorders>
          </w:tcPr>
          <w:p>
            <w:pPr>
              <w:jc w:val="left"/>
            </w:pPr>
            <w:r/>
            <w:r>
              <w:rPr>
                <w:b w:val="0"/>
                <w:color w:val="111827"/>
                <w:sz w:val="17"/>
              </w:rPr>
              <w:t>Dashboard logic is strongly covered.</w:t>
            </w:r>
          </w:p>
        </w:tc>
      </w:tr>
      <w:tr>
        <w:tc>
          <w:tcPr>
            <w:tcW w:type="dxa" w:w="3812"/>
            <w:shd w:fill="FFFFFF"/>
            <w:tcBorders>
              <w:top w:sz="6" w:val="single" w:color="CBD5E1"/>
              <w:left w:sz="6" w:val="single" w:color="CBD5E1"/>
              <w:bottom w:sz="6" w:val="single" w:color="CBD5E1"/>
              <w:right w:sz="6" w:val="single" w:color="CBD5E1"/>
            </w:tcBorders>
          </w:tcPr>
          <w:p>
            <w:pPr>
              <w:jc w:val="left"/>
            </w:pPr>
            <w:r/>
            <w:r>
              <w:rPr>
                <w:b w:val="0"/>
                <w:color w:val="111827"/>
                <w:sz w:val="17"/>
              </w:rPr>
              <w:t>student-menu.js</w:t>
            </w:r>
          </w:p>
        </w:tc>
        <w:tc>
          <w:tcPr>
            <w:tcW w:type="dxa" w:w="3812"/>
            <w:shd w:fill="FFFFFF"/>
            <w:tcBorders>
              <w:top w:sz="6" w:val="single" w:color="CBD5E1"/>
              <w:left w:sz="6" w:val="single" w:color="CBD5E1"/>
              <w:bottom w:sz="6" w:val="single" w:color="CBD5E1"/>
              <w:right w:sz="6" w:val="single" w:color="CBD5E1"/>
            </w:tcBorders>
          </w:tcPr>
          <w:p>
            <w:pPr>
              <w:jc w:val="left"/>
            </w:pPr>
            <w:r/>
            <w:r>
              <w:rPr>
                <w:b w:val="0"/>
                <w:color w:val="111827"/>
                <w:sz w:val="17"/>
              </w:rPr>
              <w:t>64.37%</w:t>
            </w:r>
          </w:p>
        </w:tc>
        <w:tc>
          <w:tcPr>
            <w:tcW w:type="dxa" w:w="3812"/>
            <w:shd w:fill="FFFFFF"/>
            <w:tcBorders>
              <w:top w:sz="6" w:val="single" w:color="CBD5E1"/>
              <w:left w:sz="6" w:val="single" w:color="CBD5E1"/>
              <w:bottom w:sz="6" w:val="single" w:color="CBD5E1"/>
              <w:right w:sz="6" w:val="single" w:color="CBD5E1"/>
            </w:tcBorders>
          </w:tcPr>
          <w:p>
            <w:pPr>
              <w:jc w:val="left"/>
            </w:pPr>
            <w:r/>
            <w:r>
              <w:rPr>
                <w:b w:val="0"/>
                <w:color w:val="111827"/>
                <w:sz w:val="17"/>
              </w:rPr>
              <w:t>168 of 261</w:t>
            </w:r>
          </w:p>
        </w:tc>
        <w:tc>
          <w:tcPr>
            <w:tcW w:type="dxa" w:w="3812"/>
            <w:shd w:fill="FFFFFF"/>
            <w:tcBorders>
              <w:top w:sz="6" w:val="single" w:color="CBD5E1"/>
              <w:left w:sz="6" w:val="single" w:color="CBD5E1"/>
              <w:bottom w:sz="6" w:val="single" w:color="CBD5E1"/>
              <w:right w:sz="6" w:val="single" w:color="CBD5E1"/>
            </w:tcBorders>
          </w:tcPr>
          <w:p>
            <w:pPr>
              <w:jc w:val="left"/>
            </w:pPr>
            <w:r/>
            <w:r>
              <w:rPr>
                <w:b w:val="0"/>
                <w:color w:val="111827"/>
                <w:sz w:val="17"/>
              </w:rPr>
              <w:t>Menu browsing and filtering has partial coverage and can be improved.</w:t>
            </w:r>
          </w:p>
        </w:tc>
      </w:tr>
    </w:tbl>
    <w:p/>
    <w:p>
      <w:pPr>
        <w:pStyle w:val="Heading2"/>
      </w:pPr>
      <w:r>
        <w:t>Vendor Feature Coverage</w:t>
      </w:r>
    </w:p>
    <w:tbl>
      <w:tblPr>
        <w:tblW w:type="auto" w:w="0"/>
        <w:jc w:val="center"/>
        <w:tblLook w:firstColumn="1" w:firstRow="1" w:lastColumn="0" w:lastRow="0" w:noHBand="0" w:noVBand="1" w:val="04A0"/>
      </w:tblPr>
      <w:tblGrid>
        <w:gridCol w:w="3812"/>
        <w:gridCol w:w="3812"/>
        <w:gridCol w:w="3812"/>
        <w:gridCol w:w="3812"/>
      </w:tblGrid>
      <w:tr>
        <w:tc>
          <w:tcPr>
            <w:tcW w:type="dxa" w:w="3812"/>
            <w:shd w:fill="0B7A34"/>
            <w:tcBorders>
              <w:top w:sz="6" w:val="single" w:color="CBD5E1"/>
              <w:left w:sz="6" w:val="single" w:color="CBD5E1"/>
              <w:bottom w:sz="6" w:val="single" w:color="CBD5E1"/>
              <w:right w:sz="6" w:val="single" w:color="CBD5E1"/>
            </w:tcBorders>
          </w:tcPr>
          <w:p>
            <w:pPr>
              <w:jc w:val="left"/>
            </w:pPr>
            <w:r/>
            <w:r>
              <w:rPr>
                <w:b/>
                <w:color w:val="FFFFFF"/>
                <w:sz w:val="17"/>
              </w:rPr>
              <w:t>File / Area</w:t>
            </w:r>
          </w:p>
        </w:tc>
        <w:tc>
          <w:tcPr>
            <w:tcW w:type="dxa" w:w="3812"/>
            <w:shd w:fill="0B7A34"/>
            <w:tcBorders>
              <w:top w:sz="6" w:val="single" w:color="CBD5E1"/>
              <w:left w:sz="6" w:val="single" w:color="CBD5E1"/>
              <w:bottom w:sz="6" w:val="single" w:color="CBD5E1"/>
              <w:right w:sz="6" w:val="single" w:color="CBD5E1"/>
            </w:tcBorders>
          </w:tcPr>
          <w:p>
            <w:pPr>
              <w:jc w:val="left"/>
            </w:pPr>
            <w:r/>
            <w:r>
              <w:rPr>
                <w:b/>
                <w:color w:val="FFFFFF"/>
                <w:sz w:val="17"/>
              </w:rPr>
              <w:t>Coverage</w:t>
            </w:r>
          </w:p>
        </w:tc>
        <w:tc>
          <w:tcPr>
            <w:tcW w:type="dxa" w:w="3812"/>
            <w:shd w:fill="0B7A34"/>
            <w:tcBorders>
              <w:top w:sz="6" w:val="single" w:color="CBD5E1"/>
              <w:left w:sz="6" w:val="single" w:color="CBD5E1"/>
              <w:bottom w:sz="6" w:val="single" w:color="CBD5E1"/>
              <w:right w:sz="6" w:val="single" w:color="CBD5E1"/>
            </w:tcBorders>
          </w:tcPr>
          <w:p>
            <w:pPr>
              <w:jc w:val="left"/>
            </w:pPr>
            <w:r/>
            <w:r>
              <w:rPr>
                <w:b/>
                <w:color w:val="FFFFFF"/>
                <w:sz w:val="17"/>
              </w:rPr>
              <w:t>Covered Lines</w:t>
            </w:r>
          </w:p>
        </w:tc>
        <w:tc>
          <w:tcPr>
            <w:tcW w:type="dxa" w:w="3812"/>
            <w:shd w:fill="0B7A34"/>
            <w:tcBorders>
              <w:top w:sz="6" w:val="single" w:color="CBD5E1"/>
              <w:left w:sz="6" w:val="single" w:color="CBD5E1"/>
              <w:bottom w:sz="6" w:val="single" w:color="CBD5E1"/>
              <w:right w:sz="6" w:val="single" w:color="CBD5E1"/>
            </w:tcBorders>
          </w:tcPr>
          <w:p>
            <w:pPr>
              <w:jc w:val="left"/>
            </w:pPr>
            <w:r/>
            <w:r>
              <w:rPr>
                <w:b/>
                <w:color w:val="FFFFFF"/>
                <w:sz w:val="17"/>
              </w:rPr>
              <w:t>Comment</w:t>
            </w:r>
          </w:p>
        </w:tc>
      </w:tr>
      <w:tr>
        <w:tc>
          <w:tcPr>
            <w:tcW w:type="dxa" w:w="3812"/>
            <w:shd w:fill="FFFFFF"/>
            <w:tcBorders>
              <w:top w:sz="6" w:val="single" w:color="CBD5E1"/>
              <w:left w:sz="6" w:val="single" w:color="CBD5E1"/>
              <w:bottom w:sz="6" w:val="single" w:color="CBD5E1"/>
              <w:right w:sz="6" w:val="single" w:color="CBD5E1"/>
            </w:tcBorders>
          </w:tcPr>
          <w:p>
            <w:pPr>
              <w:jc w:val="left"/>
            </w:pPr>
            <w:r/>
            <w:r>
              <w:rPr>
                <w:b w:val="0"/>
                <w:color w:val="111827"/>
                <w:sz w:val="17"/>
              </w:rPr>
              <w:t>menuCreation.js</w:t>
            </w:r>
          </w:p>
        </w:tc>
        <w:tc>
          <w:tcPr>
            <w:tcW w:type="dxa" w:w="3812"/>
            <w:shd w:fill="FFFFFF"/>
            <w:tcBorders>
              <w:top w:sz="6" w:val="single" w:color="CBD5E1"/>
              <w:left w:sz="6" w:val="single" w:color="CBD5E1"/>
              <w:bottom w:sz="6" w:val="single" w:color="CBD5E1"/>
              <w:right w:sz="6" w:val="single" w:color="CBD5E1"/>
            </w:tcBorders>
          </w:tcPr>
          <w:p>
            <w:pPr>
              <w:jc w:val="left"/>
            </w:pPr>
            <w:r/>
            <w:r>
              <w:rPr>
                <w:b w:val="0"/>
                <w:color w:val="111827"/>
                <w:sz w:val="17"/>
              </w:rPr>
              <w:t>96.25%</w:t>
            </w:r>
          </w:p>
        </w:tc>
        <w:tc>
          <w:tcPr>
            <w:tcW w:type="dxa" w:w="3812"/>
            <w:shd w:fill="FFFFFF"/>
            <w:tcBorders>
              <w:top w:sz="6" w:val="single" w:color="CBD5E1"/>
              <w:left w:sz="6" w:val="single" w:color="CBD5E1"/>
              <w:bottom w:sz="6" w:val="single" w:color="CBD5E1"/>
              <w:right w:sz="6" w:val="single" w:color="CBD5E1"/>
            </w:tcBorders>
          </w:tcPr>
          <w:p>
            <w:pPr>
              <w:jc w:val="left"/>
            </w:pPr>
            <w:r/>
            <w:r>
              <w:rPr>
                <w:b w:val="0"/>
                <w:color w:val="111827"/>
                <w:sz w:val="17"/>
              </w:rPr>
              <w:t>257 of 267</w:t>
            </w:r>
          </w:p>
        </w:tc>
        <w:tc>
          <w:tcPr>
            <w:tcW w:type="dxa" w:w="3812"/>
            <w:shd w:fill="FFFFFF"/>
            <w:tcBorders>
              <w:top w:sz="6" w:val="single" w:color="CBD5E1"/>
              <w:left w:sz="6" w:val="single" w:color="CBD5E1"/>
              <w:bottom w:sz="6" w:val="single" w:color="CBD5E1"/>
              <w:right w:sz="6" w:val="single" w:color="CBD5E1"/>
            </w:tcBorders>
          </w:tcPr>
          <w:p>
            <w:pPr>
              <w:jc w:val="left"/>
            </w:pPr>
            <w:r/>
            <w:r>
              <w:rPr>
                <w:b w:val="0"/>
                <w:color w:val="111827"/>
                <w:sz w:val="17"/>
              </w:rPr>
              <w:t>Menu creation and update logic is very strongly covered.</w:t>
            </w:r>
          </w:p>
        </w:tc>
      </w:tr>
      <w:tr>
        <w:tc>
          <w:tcPr>
            <w:tcW w:type="dxa" w:w="3812"/>
            <w:shd w:fill="FFFFFF"/>
            <w:tcBorders>
              <w:top w:sz="6" w:val="single" w:color="CBD5E1"/>
              <w:left w:sz="6" w:val="single" w:color="CBD5E1"/>
              <w:bottom w:sz="6" w:val="single" w:color="CBD5E1"/>
              <w:right w:sz="6" w:val="single" w:color="CBD5E1"/>
            </w:tcBorders>
          </w:tcPr>
          <w:p>
            <w:pPr>
              <w:jc w:val="left"/>
            </w:pPr>
            <w:r/>
            <w:r>
              <w:rPr>
                <w:b w:val="0"/>
                <w:color w:val="111827"/>
                <w:sz w:val="17"/>
              </w:rPr>
              <w:t>orders.js</w:t>
            </w:r>
          </w:p>
        </w:tc>
        <w:tc>
          <w:tcPr>
            <w:tcW w:type="dxa" w:w="3812"/>
            <w:shd w:fill="FFFFFF"/>
            <w:tcBorders>
              <w:top w:sz="6" w:val="single" w:color="CBD5E1"/>
              <w:left w:sz="6" w:val="single" w:color="CBD5E1"/>
              <w:bottom w:sz="6" w:val="single" w:color="CBD5E1"/>
              <w:right w:sz="6" w:val="single" w:color="CBD5E1"/>
            </w:tcBorders>
          </w:tcPr>
          <w:p>
            <w:pPr>
              <w:jc w:val="left"/>
            </w:pPr>
            <w:r/>
            <w:r>
              <w:rPr>
                <w:b w:val="0"/>
                <w:color w:val="111827"/>
                <w:sz w:val="17"/>
              </w:rPr>
              <w:t>97.04%</w:t>
            </w:r>
          </w:p>
        </w:tc>
        <w:tc>
          <w:tcPr>
            <w:tcW w:type="dxa" w:w="3812"/>
            <w:shd w:fill="FFFFFF"/>
            <w:tcBorders>
              <w:top w:sz="6" w:val="single" w:color="CBD5E1"/>
              <w:left w:sz="6" w:val="single" w:color="CBD5E1"/>
              <w:bottom w:sz="6" w:val="single" w:color="CBD5E1"/>
              <w:right w:sz="6" w:val="single" w:color="CBD5E1"/>
            </w:tcBorders>
          </w:tcPr>
          <w:p>
            <w:pPr>
              <w:jc w:val="left"/>
            </w:pPr>
            <w:r/>
            <w:r>
              <w:rPr>
                <w:b w:val="0"/>
                <w:color w:val="111827"/>
                <w:sz w:val="17"/>
              </w:rPr>
              <w:t>164 of 169</w:t>
            </w:r>
          </w:p>
        </w:tc>
        <w:tc>
          <w:tcPr>
            <w:tcW w:type="dxa" w:w="3812"/>
            <w:shd w:fill="FFFFFF"/>
            <w:tcBorders>
              <w:top w:sz="6" w:val="single" w:color="CBD5E1"/>
              <w:left w:sz="6" w:val="single" w:color="CBD5E1"/>
              <w:bottom w:sz="6" w:val="single" w:color="CBD5E1"/>
              <w:right w:sz="6" w:val="single" w:color="CBD5E1"/>
            </w:tcBorders>
          </w:tcPr>
          <w:p>
            <w:pPr>
              <w:jc w:val="left"/>
            </w:pPr>
            <w:r/>
            <w:r>
              <w:rPr>
                <w:b w:val="0"/>
                <w:color w:val="111827"/>
                <w:sz w:val="17"/>
              </w:rPr>
              <w:t>Vendor order workflow is very strongly covered.</w:t>
            </w:r>
          </w:p>
        </w:tc>
      </w:tr>
      <w:tr>
        <w:tc>
          <w:tcPr>
            <w:tcW w:type="dxa" w:w="3812"/>
            <w:shd w:fill="FFFFFF"/>
            <w:tcBorders>
              <w:top w:sz="6" w:val="single" w:color="CBD5E1"/>
              <w:left w:sz="6" w:val="single" w:color="CBD5E1"/>
              <w:bottom w:sz="6" w:val="single" w:color="CBD5E1"/>
              <w:right w:sz="6" w:val="single" w:color="CBD5E1"/>
            </w:tcBorders>
          </w:tcPr>
          <w:p>
            <w:pPr>
              <w:jc w:val="left"/>
            </w:pPr>
            <w:r/>
            <w:r>
              <w:rPr>
                <w:b w:val="0"/>
                <w:color w:val="111827"/>
                <w:sz w:val="17"/>
              </w:rPr>
              <w:t>vendor-dashboard.js</w:t>
            </w:r>
          </w:p>
        </w:tc>
        <w:tc>
          <w:tcPr>
            <w:tcW w:type="dxa" w:w="3812"/>
            <w:shd w:fill="FFFFFF"/>
            <w:tcBorders>
              <w:top w:sz="6" w:val="single" w:color="CBD5E1"/>
              <w:left w:sz="6" w:val="single" w:color="CBD5E1"/>
              <w:bottom w:sz="6" w:val="single" w:color="CBD5E1"/>
              <w:right w:sz="6" w:val="single" w:color="CBD5E1"/>
            </w:tcBorders>
          </w:tcPr>
          <w:p>
            <w:pPr>
              <w:jc w:val="left"/>
            </w:pPr>
            <w:r/>
            <w:r>
              <w:rPr>
                <w:b w:val="0"/>
                <w:color w:val="111827"/>
                <w:sz w:val="17"/>
              </w:rPr>
              <w:t>69.49%</w:t>
            </w:r>
          </w:p>
        </w:tc>
        <w:tc>
          <w:tcPr>
            <w:tcW w:type="dxa" w:w="3812"/>
            <w:shd w:fill="FFFFFF"/>
            <w:tcBorders>
              <w:top w:sz="6" w:val="single" w:color="CBD5E1"/>
              <w:left w:sz="6" w:val="single" w:color="CBD5E1"/>
              <w:bottom w:sz="6" w:val="single" w:color="CBD5E1"/>
              <w:right w:sz="6" w:val="single" w:color="CBD5E1"/>
            </w:tcBorders>
          </w:tcPr>
          <w:p>
            <w:pPr>
              <w:jc w:val="left"/>
            </w:pPr>
            <w:r/>
            <w:r>
              <w:rPr>
                <w:b w:val="0"/>
                <w:color w:val="111827"/>
                <w:sz w:val="17"/>
              </w:rPr>
              <w:t>41 of 59</w:t>
            </w:r>
          </w:p>
        </w:tc>
        <w:tc>
          <w:tcPr>
            <w:tcW w:type="dxa" w:w="3812"/>
            <w:shd w:fill="FFFFFF"/>
            <w:tcBorders>
              <w:top w:sz="6" w:val="single" w:color="CBD5E1"/>
              <w:left w:sz="6" w:val="single" w:color="CBD5E1"/>
              <w:bottom w:sz="6" w:val="single" w:color="CBD5E1"/>
              <w:right w:sz="6" w:val="single" w:color="CBD5E1"/>
            </w:tcBorders>
          </w:tcPr>
          <w:p>
            <w:pPr>
              <w:jc w:val="left"/>
            </w:pPr>
            <w:r/>
            <w:r>
              <w:rPr>
                <w:b w:val="0"/>
                <w:color w:val="111827"/>
                <w:sz w:val="17"/>
              </w:rPr>
              <w:t>Dashboard display logic has acceptable but improvable coverage.</w:t>
            </w:r>
          </w:p>
        </w:tc>
      </w:tr>
    </w:tbl>
    <w:p/>
    <w:p>
      <w:r>
        <w:br w:type="page"/>
      </w:r>
    </w:p>
    <w:p>
      <w:pPr>
        <w:pStyle w:val="Heading1"/>
      </w:pPr>
      <w:r>
        <w:t>11. Assessment Relevance</w:t>
      </w:r>
    </w:p>
    <w:p>
      <w:pPr>
        <w:pStyle w:val="BodyText"/>
      </w:pPr>
      <w:r>
        <w:t>This evidence supports the testing and continuous integration requirements of the final submission. It shows that the project is not only implemented, but also connected to an automated coverage reporting workflow.</w:t>
      </w:r>
    </w:p>
    <w:tbl>
      <w:tblPr>
        <w:tblW w:type="auto" w:w="0"/>
        <w:jc w:val="center"/>
        <w:tblLook w:firstColumn="1" w:firstRow="1" w:lastColumn="0" w:lastRow="0" w:noHBand="0" w:noVBand="1" w:val="04A0"/>
      </w:tblPr>
      <w:tblGrid>
        <w:gridCol w:w="7625"/>
        <w:gridCol w:w="7625"/>
      </w:tblGrid>
      <w:tr>
        <w:tc>
          <w:tcPr>
            <w:tcW w:type="dxa" w:w="7625"/>
            <w:shd w:fill="111827"/>
            <w:tcBorders>
              <w:top w:sz="6" w:val="single" w:color="CBD5E1"/>
              <w:left w:sz="6" w:val="single" w:color="CBD5E1"/>
              <w:bottom w:sz="6" w:val="single" w:color="CBD5E1"/>
              <w:right w:sz="6" w:val="single" w:color="CBD5E1"/>
            </w:tcBorders>
          </w:tcPr>
          <w:p>
            <w:pPr>
              <w:jc w:val="left"/>
            </w:pPr>
            <w:r/>
            <w:r>
              <w:rPr>
                <w:b/>
                <w:color w:val="FFFFFF"/>
                <w:sz w:val="18"/>
              </w:rPr>
              <w:t>Requirement</w:t>
            </w:r>
          </w:p>
        </w:tc>
        <w:tc>
          <w:tcPr>
            <w:tcW w:type="dxa" w:w="7625"/>
            <w:shd w:fill="111827"/>
            <w:tcBorders>
              <w:top w:sz="6" w:val="single" w:color="CBD5E1"/>
              <w:left w:sz="6" w:val="single" w:color="CBD5E1"/>
              <w:bottom w:sz="6" w:val="single" w:color="CBD5E1"/>
              <w:right w:sz="6" w:val="single" w:color="CBD5E1"/>
            </w:tcBorders>
          </w:tcPr>
          <w:p>
            <w:pPr>
              <w:jc w:val="left"/>
            </w:pPr>
            <w:r/>
            <w:r>
              <w:rPr>
                <w:b/>
                <w:color w:val="FFFFFF"/>
                <w:sz w:val="18"/>
              </w:rPr>
              <w:t>Evidence in this document</w:t>
            </w:r>
          </w:p>
        </w:tc>
      </w:tr>
      <w:tr>
        <w:tc>
          <w:tcPr>
            <w:tcW w:type="dxa" w:w="7625"/>
            <w:shd w:fill="FFFFFF"/>
            <w:tcBorders>
              <w:top w:sz="6" w:val="single" w:color="CBD5E1"/>
              <w:left w:sz="6" w:val="single" w:color="CBD5E1"/>
              <w:bottom w:sz="6" w:val="single" w:color="CBD5E1"/>
              <w:right w:sz="6" w:val="single" w:color="CBD5E1"/>
            </w:tcBorders>
          </w:tcPr>
          <w:p>
            <w:pPr>
              <w:jc w:val="left"/>
            </w:pPr>
            <w:r/>
            <w:r>
              <w:rPr>
                <w:b w:val="0"/>
                <w:color w:val="111827"/>
                <w:sz w:val="18"/>
              </w:rPr>
              <w:t>Automated testing evidence</w:t>
            </w:r>
          </w:p>
        </w:tc>
        <w:tc>
          <w:tcPr>
            <w:tcW w:type="dxa" w:w="7625"/>
            <w:shd w:fill="FFFFFF"/>
            <w:tcBorders>
              <w:top w:sz="6" w:val="single" w:color="CBD5E1"/>
              <w:left w:sz="6" w:val="single" w:color="CBD5E1"/>
              <w:bottom w:sz="6" w:val="single" w:color="CBD5E1"/>
              <w:right w:sz="6" w:val="single" w:color="CBD5E1"/>
            </w:tcBorders>
          </w:tcPr>
          <w:p>
            <w:pPr>
              <w:jc w:val="left"/>
            </w:pPr>
            <w:r/>
            <w:r>
              <w:rPr>
                <w:b w:val="0"/>
                <w:color w:val="111827"/>
                <w:sz w:val="18"/>
              </w:rPr>
              <w:t>Codecov dashboard screenshots show measured test coverage on the main branch.</w:t>
            </w:r>
          </w:p>
        </w:tc>
      </w:tr>
      <w:tr>
        <w:tc>
          <w:tcPr>
            <w:tcW w:type="dxa" w:w="7625"/>
            <w:shd w:fill="FFFFFF"/>
            <w:tcBorders>
              <w:top w:sz="6" w:val="single" w:color="CBD5E1"/>
              <w:left w:sz="6" w:val="single" w:color="CBD5E1"/>
              <w:bottom w:sz="6" w:val="single" w:color="CBD5E1"/>
              <w:right w:sz="6" w:val="single" w:color="CBD5E1"/>
            </w:tcBorders>
          </w:tcPr>
          <w:p>
            <w:pPr>
              <w:jc w:val="left"/>
            </w:pPr>
            <w:r/>
            <w:r>
              <w:rPr>
                <w:b w:val="0"/>
                <w:color w:val="111827"/>
                <w:sz w:val="18"/>
              </w:rPr>
              <w:t>Coverage percentage</w:t>
            </w:r>
          </w:p>
        </w:tc>
        <w:tc>
          <w:tcPr>
            <w:tcW w:type="dxa" w:w="7625"/>
            <w:shd w:fill="FFFFFF"/>
            <w:tcBorders>
              <w:top w:sz="6" w:val="single" w:color="CBD5E1"/>
              <w:left w:sz="6" w:val="single" w:color="CBD5E1"/>
              <w:bottom w:sz="6" w:val="single" w:color="CBD5E1"/>
              <w:right w:sz="6" w:val="single" w:color="CBD5E1"/>
            </w:tcBorders>
          </w:tcPr>
          <w:p>
            <w:pPr>
              <w:jc w:val="left"/>
            </w:pPr>
            <w:r/>
            <w:r>
              <w:rPr>
                <w:b w:val="0"/>
                <w:color w:val="111827"/>
                <w:sz w:val="18"/>
              </w:rPr>
              <w:t>Overall coverage is 81.42%, which is above the 80% target.</w:t>
            </w:r>
          </w:p>
        </w:tc>
      </w:tr>
      <w:tr>
        <w:tc>
          <w:tcPr>
            <w:tcW w:type="dxa" w:w="7625"/>
            <w:shd w:fill="FFFFFF"/>
            <w:tcBorders>
              <w:top w:sz="6" w:val="single" w:color="CBD5E1"/>
              <w:left w:sz="6" w:val="single" w:color="CBD5E1"/>
              <w:bottom w:sz="6" w:val="single" w:color="CBD5E1"/>
              <w:right w:sz="6" w:val="single" w:color="CBD5E1"/>
            </w:tcBorders>
          </w:tcPr>
          <w:p>
            <w:pPr>
              <w:jc w:val="left"/>
            </w:pPr>
            <w:r/>
            <w:r>
              <w:rPr>
                <w:b w:val="0"/>
                <w:color w:val="111827"/>
                <w:sz w:val="18"/>
              </w:rPr>
              <w:t>Backend/API testing</w:t>
            </w:r>
          </w:p>
        </w:tc>
        <w:tc>
          <w:tcPr>
            <w:tcW w:type="dxa" w:w="7625"/>
            <w:shd w:fill="FFFFFF"/>
            <w:tcBorders>
              <w:top w:sz="6" w:val="single" w:color="CBD5E1"/>
              <w:left w:sz="6" w:val="single" w:color="CBD5E1"/>
              <w:bottom w:sz="6" w:val="single" w:color="CBD5E1"/>
              <w:right w:sz="6" w:val="single" w:color="CBD5E1"/>
            </w:tcBorders>
          </w:tcPr>
          <w:p>
            <w:pPr>
              <w:jc w:val="left"/>
            </w:pPr>
            <w:r/>
            <w:r>
              <w:rPr>
                <w:b w:val="0"/>
                <w:color w:val="111827"/>
                <w:sz w:val="18"/>
              </w:rPr>
              <w:t>functions/api has 92.03% coverage, including strong payment and analytics coverage.</w:t>
            </w:r>
          </w:p>
        </w:tc>
      </w:tr>
      <w:tr>
        <w:tc>
          <w:tcPr>
            <w:tcW w:type="dxa" w:w="7625"/>
            <w:shd w:fill="FFFFFF"/>
            <w:tcBorders>
              <w:top w:sz="6" w:val="single" w:color="CBD5E1"/>
              <w:left w:sz="6" w:val="single" w:color="CBD5E1"/>
              <w:bottom w:sz="6" w:val="single" w:color="CBD5E1"/>
              <w:right w:sz="6" w:val="single" w:color="CBD5E1"/>
            </w:tcBorders>
          </w:tcPr>
          <w:p>
            <w:pPr>
              <w:jc w:val="left"/>
            </w:pPr>
            <w:r/>
            <w:r>
              <w:rPr>
                <w:b w:val="0"/>
                <w:color w:val="111827"/>
                <w:sz w:val="18"/>
              </w:rPr>
              <w:t>Frontend testing</w:t>
            </w:r>
          </w:p>
        </w:tc>
        <w:tc>
          <w:tcPr>
            <w:tcW w:type="dxa" w:w="7625"/>
            <w:shd w:fill="FFFFFF"/>
            <w:tcBorders>
              <w:top w:sz="6" w:val="single" w:color="CBD5E1"/>
              <w:left w:sz="6" w:val="single" w:color="CBD5E1"/>
              <w:bottom w:sz="6" w:val="single" w:color="CBD5E1"/>
              <w:right w:sz="6" w:val="single" w:color="CBD5E1"/>
            </w:tcBorders>
          </w:tcPr>
          <w:p>
            <w:pPr>
              <w:jc w:val="left"/>
            </w:pPr>
            <w:r/>
            <w:r>
              <w:rPr>
                <w:b w:val="0"/>
                <w:color w:val="111827"/>
                <w:sz w:val="18"/>
              </w:rPr>
              <w:t>auth, student, and vendor folders show measurable coverage across main user workflows.</w:t>
            </w:r>
          </w:p>
        </w:tc>
      </w:tr>
      <w:tr>
        <w:tc>
          <w:tcPr>
            <w:tcW w:type="dxa" w:w="7625"/>
            <w:shd w:fill="FFFFFF"/>
            <w:tcBorders>
              <w:top w:sz="6" w:val="single" w:color="CBD5E1"/>
              <w:left w:sz="6" w:val="single" w:color="CBD5E1"/>
              <w:bottom w:sz="6" w:val="single" w:color="CBD5E1"/>
              <w:right w:sz="6" w:val="single" w:color="CBD5E1"/>
            </w:tcBorders>
          </w:tcPr>
          <w:p>
            <w:pPr>
              <w:jc w:val="left"/>
            </w:pPr>
            <w:r/>
            <w:r>
              <w:rPr>
                <w:b w:val="0"/>
                <w:color w:val="111827"/>
                <w:sz w:val="18"/>
              </w:rPr>
              <w:t>Updated evidence</w:t>
            </w:r>
          </w:p>
        </w:tc>
        <w:tc>
          <w:tcPr>
            <w:tcW w:type="dxa" w:w="7625"/>
            <w:shd w:fill="FFFFFF"/>
            <w:tcBorders>
              <w:top w:sz="6" w:val="single" w:color="CBD5E1"/>
              <w:left w:sz="6" w:val="single" w:color="CBD5E1"/>
              <w:bottom w:sz="6" w:val="single" w:color="CBD5E1"/>
              <w:right w:sz="6" w:val="single" w:color="CBD5E1"/>
            </w:tcBorders>
          </w:tcPr>
          <w:p>
            <w:pPr>
              <w:jc w:val="left"/>
            </w:pPr>
            <w:r/>
            <w:r>
              <w:rPr>
                <w:b w:val="0"/>
                <w:color w:val="111827"/>
                <w:sz w:val="18"/>
              </w:rPr>
              <w:t>The screenshots in this document replace the older Codecov evidence screenshots.</w:t>
            </w:r>
          </w:p>
        </w:tc>
      </w:tr>
    </w:tbl>
    <w:p>
      <w:pPr>
        <w:pStyle w:val="Heading1"/>
      </w:pPr>
      <w:r>
        <w:t>12. Conclusion</w:t>
      </w:r>
    </w:p>
    <w:p>
      <w:pPr>
        <w:pStyle w:val="BodyText"/>
      </w:pPr>
      <w:r>
        <w:t>The updated Codecov screenshots show that automated testing and coverage reporting are active for the Campus Food Ordering Platform. The main branch currently has 81.42% coverage, with particularly strong coverage in the API/backend and vendor areas. This provides clear evidence that the team used automated tests and measured coverage as part of the final software design submission.</w:t>
      </w:r>
    </w:p>
    <w:p>
      <w:pPr>
        <w:pStyle w:val="SmallNote"/>
      </w:pPr>
      <w:r>
        <w:t>Note: The tests/mocks folder has low coverage because mock files are support files used by the test suite. This does not indicate weak coverage of the production application features.</w:t>
      </w:r>
    </w:p>
    <w:sectPr w:rsidR="00FC693F" w:rsidRPr="0006063C" w:rsidSect="00034616">
      <w:headerReference w:type="default" r:id="rId9"/>
      <w:footerReference w:type="default" r:id="rId10"/>
      <w:pgSz w:w="16834" w:h="11909" w:orient="landscape"/>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Final Submission Evidence | Automated Testing and Code Coverage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6"/>
      </w:rPr>
      <w:t>Campus Food Ordering Platform - Codecov Test Evidence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 w:after="120"/>
      <w:outlineLvl w:val="0"/>
    </w:pPr>
    <w:rPr>
      <w:rFonts w:asciiTheme="majorHAnsi" w:eastAsiaTheme="majorEastAsia" w:hAnsiTheme="majorHAnsi" w:cstheme="majorBidi" w:ascii="Arial" w:hAnsi="Arial" w:eastAsia="Arial"/>
      <w:b/>
      <w:bCs/>
      <w:color w:val="0B7A34"/>
      <w:sz w:val="36"/>
      <w:szCs w:val="28"/>
    </w:rPr>
  </w:style>
  <w:style w:type="paragraph" w:styleId="Heading2">
    <w:name w:val="heading 2"/>
    <w:basedOn w:val="Normal"/>
    <w:next w:val="Normal"/>
    <w:link w:val="Heading2Char"/>
    <w:uiPriority w:val="9"/>
    <w:unhideWhenUsed/>
    <w:qFormat/>
    <w:rsid w:val="00FC693F"/>
    <w:pPr>
      <w:keepNext/>
      <w:keepLines/>
      <w:spacing w:before="40" w:after="120"/>
      <w:outlineLvl w:val="1"/>
    </w:pPr>
    <w:rPr>
      <w:rFonts w:asciiTheme="majorHAnsi" w:eastAsiaTheme="majorEastAsia" w:hAnsiTheme="majorHAnsi" w:cstheme="majorBidi" w:ascii="Arial" w:hAnsi="Arial" w:eastAsia="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before="40"/>
    </w:pPr>
    <w:rPr>
      <w:rFonts w:ascii="Arial" w:hAnsi="Arial" w:eastAsia="Arial"/>
      <w:b w:val="0"/>
      <w:color w:val="1F2937"/>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 Custom"/>
    <w:pPr>
      <w:spacing w:after="120" w:before="40"/>
    </w:pPr>
    <w:rPr>
      <w:rFonts w:ascii="Arial" w:hAnsi="Arial" w:eastAsia="Arial"/>
      <w:b/>
      <w:color w:val="111827"/>
      <w:sz w:val="56"/>
    </w:rPr>
  </w:style>
  <w:style w:type="paragraph" w:customStyle="1" w:styleId="SubtitleCustom">
    <w:name w:val="Subtitle Custom"/>
    <w:pPr>
      <w:spacing w:after="120" w:before="40"/>
    </w:pPr>
    <w:rPr>
      <w:rFonts w:ascii="Arial" w:hAnsi="Arial" w:eastAsia="Arial"/>
      <w:b w:val="0"/>
      <w:color w:val="334155"/>
      <w:sz w:val="26"/>
    </w:rPr>
  </w:style>
  <w:style w:type="paragraph" w:customStyle="1" w:styleId="SmallNote">
    <w:name w:val="Small Note"/>
    <w:pPr>
      <w:spacing w:after="120" w:before="40"/>
    </w:pPr>
    <w:rPr>
      <w:rFonts w:ascii="Arial" w:hAnsi="Arial" w:eastAsia="Arial"/>
      <w:b w:val="0"/>
      <w:color w:val="475569"/>
      <w:sz w:val="17"/>
    </w:rPr>
  </w:style>
  <w:style w:type="paragraph" w:customStyle="1" w:styleId="CaptionCustom">
    <w:name w:val="Caption Custom"/>
    <w:pPr>
      <w:spacing w:after="120" w:before="40"/>
    </w:pPr>
    <w:rPr>
      <w:rFonts w:ascii="Arial" w:hAnsi="Arial" w:eastAsia="Arial"/>
      <w:b/>
      <w:color w:val="33415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