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sz w:val="96"/>
          <w:szCs w:val="96"/>
        </w:rPr>
        <w:t xml:space="preserve">🏠</w:t>
      </w:r>
    </w:p>
    <w:p>
      <w:pPr>
        <w:spacing w:after="200" w:before="200"/>
        <w:jc w:val="center"/>
      </w:pPr>
      <w:r>
        <w:rPr>
          <w:b/>
          <w:bCs/>
          <w:color w:val="1F3864"/>
          <w:sz w:val="56"/>
          <w:szCs w:val="56"/>
        </w:rPr>
        <w:t xml:space="preserve">House Price Prediction</w:t>
      </w:r>
    </w:p>
    <w:p>
      <w:pPr>
        <w:spacing w:after="600"/>
        <w:jc w:val="center"/>
      </w:pPr>
      <w:r>
        <w:rPr>
          <w:i/>
          <w:iCs/>
          <w:color w:val="444444"/>
          <w:sz w:val="30"/>
          <w:szCs w:val="30"/>
        </w:rPr>
        <w:t xml:space="preserve">using Machine Learning Regression Models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Project Report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AICTE | IBM SkillsBuild Data Analytics with AI Internship 2026 | BharatCares</w:t>
      </w:r>
    </w:p>
    <w:p>
      <w:pPr>
        <w:spacing w:after="60"/>
        <w:jc w:val="center"/>
      </w:pPr>
      <w:r>
        <w:rPr>
          <w:sz w:val="22"/>
          <w:szCs w:val="22"/>
        </w:rPr>
        <w:t xml:space="preserve">Submitted by</w:t>
      </w:r>
    </w:p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Raquif Bashar</w:t>
      </w:r>
    </w:p>
    <w:p>
      <w:pPr>
        <w:spacing w:before="800"/>
        <w:jc w:val="center"/>
      </w:pPr>
      <w:r>
        <w:rPr>
          <w:color w:val="777777"/>
          <w:sz w:val="20"/>
          <w:szCs w:val="20"/>
        </w:rPr>
        <w:t xml:space="preserve">Program: Data Analytics with AI</w:t>
      </w:r>
    </w:p>
    <w:p>
      <w:pPr>
        <w:jc w:val="center"/>
      </w:pPr>
      <w:r>
        <w:rPr>
          <w:color w:val="777777"/>
          <w:sz w:val="20"/>
          <w:szCs w:val="20"/>
        </w:rPr>
        <w:t xml:space="preserve">Project: House Price Prediction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Problem Statement</w:t>
      </w:r>
    </w:p>
    <w:p>
      <w:pPr>
        <w:spacing w:after="160"/>
      </w:pPr>
      <w:r>
        <w:t xml:space="preserve">Real estate prices are influenced by a wide range of factors, including location, house size, number of rooms, neighbourhood income levels, and proximity to key geographical features such as the ocean. Manually estimating a fair house price is time-consuming and prone to human bias. The goal of this project is to design and evaluate a machine learning regression system that can accurately predict the median house value of a Californian district based on its socio-economic and geographical characteristics.</w:t>
      </w:r>
    </w:p>
    <w:p>
      <w:pPr>
        <w:pStyle w:val="Heading2"/>
        <w:spacing w:after="120" w:before="260"/>
      </w:pPr>
      <w:r>
        <w:t xml:space="preserve">1.2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 Exploratory Data Analysis (EDA) on the California Housing dataset to understand feature distributions and relationships.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and preprocess the data, handling missing values and encoding categorical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 new, more informative features from the raw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and compare multiple machine learning regression algorithms.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Tune the best-performing model using hyperparameter optimisation.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models using standard regression metrics: MAE, RMSE and R².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features that most strongly influence house prices.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the final trained model so it can be reused for future predictions.</w:t>
      </w:r>
    </w:p>
    <w:p>
      <w:pPr>
        <w:pStyle w:val="Heading2"/>
        <w:spacing w:after="120" w:before="260"/>
      </w:pPr>
      <w:r>
        <w:t xml:space="preserve">1.3 Scope</w:t>
      </w:r>
    </w:p>
    <w:p>
      <w:pPr>
        <w:spacing w:after="160"/>
      </w:pPr>
      <w:r>
        <w:t xml:space="preserve">This project covers the complete data analytics and machine learning pipeline — from raw data ingestion to a deployable, serialized prediction model — using Python's data science ecosystem (Pandas, Scikit-learn, Matplotlib, Seaborn).</w:t>
      </w:r>
    </w:p>
    <w:p>
      <w:pPr>
        <w:pStyle w:val="Heading1"/>
        <w:spacing w:after="160" w:before="360"/>
      </w:pPr>
      <w:r>
        <w:t xml:space="preserve">2. Dataset Description</w:t>
      </w:r>
    </w:p>
    <w:p>
      <w:pPr>
        <w:spacing w:after="160"/>
      </w:pPr>
      <w:r>
        <w:rPr>
          <w:b/>
          <w:bCs/>
        </w:rPr>
        <w:t xml:space="preserve">Name: California Housing Prices</w:t>
      </w:r>
    </w:p>
    <w:p>
      <w:pPr>
        <w:spacing w:after="160"/>
      </w:pPr>
      <w:r>
        <w:t xml:space="preserve">Source: Derived from the 1990 U.S. Census; popularised by Aurélien Géron's book "Hands-On Machine Learning with Scikit-Learn, Keras &amp; TensorFlow."</w:t>
      </w:r>
    </w:p>
    <w:p>
      <w:pPr>
        <w:spacing w:after="160"/>
      </w:pPr>
      <w:r>
        <w:t xml:space="preserve">Dataset Link: https://raw.githubusercontent.com/ageron/handson-ml2/master/datasets/housing/housing.csv</w:t>
      </w:r>
    </w:p>
    <w:p>
      <w:pPr>
        <w:spacing w:after="160"/>
      </w:pPr>
      <w:r>
        <w:t xml:space="preserve">Size: 20,640 rows × 10 columns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5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longitude, latitude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Geographic coordinates of the district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housing_median_age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Median age of houses in the district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total_rooms, total_bedrooms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Total number of rooms / bedrooms in the district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population, households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Total population and number of households in the district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median_income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Median household income (in tens of thousands of USD)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ocean_proximity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Categorical distance category from the ocean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median_house_value (Target)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Median house value in USD — the value to be predicted</w:t>
            </w:r>
          </w:p>
        </w:tc>
      </w:tr>
    </w:tbl>
    <w:p>
      <w:pPr>
        <w:pStyle w:val="Heading1"/>
        <w:spacing w:after="160" w:before="360"/>
      </w:pPr>
      <w:r>
        <w:t xml:space="preserve">3. Methodology</w:t>
      </w:r>
    </w:p>
    <w:p>
      <w:pPr>
        <w:pStyle w:val="Heading2"/>
        <w:spacing w:after="120" w:before="260"/>
      </w:pPr>
      <w:r>
        <w:t xml:space="preserve">3.1 Data Cleaning</w:t>
      </w:r>
    </w:p>
    <w:p>
      <w:pPr>
        <w:spacing w:after="160"/>
      </w:pPr>
      <w:r>
        <w:t xml:space="preserve">The dataset contained missing values only in the total_bedrooms column. Numeric missing values were imputed using the column median, and the single categorical column (ocean_proximity) had no missing values but was configured to use most-frequent imputation for robustness on new data.</w:t>
      </w:r>
    </w:p>
    <w:p>
      <w:pPr>
        <w:pStyle w:val="Heading2"/>
        <w:spacing w:after="120" w:before="260"/>
      </w:pPr>
      <w:r>
        <w:t xml:space="preserve">3.2 Feature Engineering</w:t>
      </w:r>
    </w:p>
    <w:p>
      <w:pPr>
        <w:spacing w:after="160"/>
      </w:pPr>
      <w:r>
        <w:t xml:space="preserve">Three derived ratio features were engineered to capture relationships that raw counts alone do not express well: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rooms_per_household = total_rooms / households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bedrooms_per_room = total_bedrooms / total_rooms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population_per_household = population / households</w:t>
      </w:r>
    </w:p>
    <w:p>
      <w:pPr>
        <w:pStyle w:val="Heading2"/>
        <w:spacing w:after="120" w:before="260"/>
      </w:pPr>
      <w:r>
        <w:t xml:space="preserve">3.3 Preprocessing Pipeline</w:t>
      </w:r>
    </w:p>
    <w:p>
      <w:pPr>
        <w:spacing w:after="160"/>
      </w:pPr>
      <w:r>
        <w:t xml:space="preserve">A Scikit-learn ColumnTransformer was used to apply different preprocessing to numeric and categorical columns consistently across training, testing, and future inference: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Numeric features: median imputation → StandardScaler (zero mean, unit variance).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feature (ocean_proximity): most-frequent imputation → One-Hot Encoding.</w:t>
      </w:r>
    </w:p>
    <w:p>
      <w:pPr>
        <w:spacing w:after="160"/>
      </w:pPr>
      <w:r>
        <w:t xml:space="preserve">Wrapping the ColumnTransformer inside a single Pipeline object with the regressor ensures there is no data leakage between the training and test sets.</w:t>
      </w:r>
    </w:p>
    <w:p>
      <w:pPr>
        <w:pStyle w:val="Heading2"/>
        <w:spacing w:after="120" w:before="260"/>
      </w:pPr>
      <w:r>
        <w:t xml:space="preserve">3.4 Train-Test Split</w:t>
      </w:r>
    </w:p>
    <w:p>
      <w:pPr>
        <w:spacing w:after="160"/>
      </w:pPr>
      <w:r>
        <w:t xml:space="preserve">The dataset was split into 80% training data (16,512 rows) and 20% testing data (4,128 rows) using a fixed random seed (random_state = 42) for reproducibility.</w:t>
      </w:r>
    </w:p>
    <w:p>
      <w:pPr>
        <w:pStyle w:val="Heading2"/>
        <w:spacing w:after="120" w:before="260"/>
      </w:pPr>
      <w:r>
        <w:t xml:space="preserve">3.5 Models Trained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Linear Regression — a simple linear baseline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Tree Regressor — a single non-linear tree-based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 Regressor — an ensemble of 200 decision trees (bagging).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Gradient Boosting Regressor — a sequential boosting ensemble.</w:t>
      </w:r>
    </w:p>
    <w:p>
      <w:pPr>
        <w:pStyle w:val="Heading2"/>
        <w:spacing w:after="120" w:before="260"/>
      </w:pPr>
      <w:r>
        <w:t xml:space="preserve">3.6 Hyperparameter Tuning</w:t>
      </w:r>
    </w:p>
    <w:p>
      <w:pPr>
        <w:spacing w:after="160"/>
      </w:pPr>
      <w:r>
        <w:t xml:space="preserve">The best-performing model (Random Forest) was further tuned using GridSearchCV with 3-fold cross-validation, searching over the number of estimators and maximum tree depth, optimising for the negative root-mean-squared-error.</w:t>
      </w:r>
    </w:p>
    <w:p>
      <w:pPr>
        <w:pStyle w:val="Heading1"/>
        <w:spacing w:after="160" w:before="360"/>
      </w:pPr>
      <w:r>
        <w:t xml:space="preserve">4. Exploratory Data Analysis</w:t>
      </w:r>
    </w:p>
    <w:p>
      <w:pPr>
        <w:spacing w:after="160"/>
      </w:pPr>
      <w:r>
        <w:t xml:space="preserve">Before modelling, the dataset was visually explored to understand feature distributions, spot outliers, and identify relationships with the target variable.</w:t>
      </w:r>
    </w:p>
    <w:p>
      <w:pPr>
        <w:pStyle w:val="Heading2"/>
        <w:spacing w:after="120" w:before="260"/>
      </w:pPr>
      <w:r>
        <w:t xml:space="preserve">4.1 Target Variable Distribution</w:t>
      </w:r>
    </w:p>
    <w:p>
      <w:pPr>
        <w:spacing w:after="160"/>
      </w:pPr>
      <w:r>
        <w:t xml:space="preserve">The median house value is right-skewed, with a large concentration of districts valued below $250,000 and a visible cap at $500,001, indicating the original dataset truncated very high values.</w:t>
      </w:r>
    </w:p>
    <w:p>
      <w:pPr>
        <w:spacing w:after="80" w:before="20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Distribution of Median House Value</w:t>
      </w:r>
    </w:p>
    <w:p>
      <w:pPr>
        <w:pStyle w:val="Heading2"/>
        <w:spacing w:after="120" w:before="260"/>
      </w:pPr>
      <w:r>
        <w:t xml:space="preserve">4.2 Geographical Price Distribution</w:t>
      </w:r>
    </w:p>
    <w:p>
      <w:pPr>
        <w:spacing w:after="160"/>
      </w:pPr>
      <w:r>
        <w:t xml:space="preserve">Plotting each district by its longitude and latitude, coloured by house value, clearly reveals that coastal districts near the San Francisco Bay Area and Los Angeles command the highest prices.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House Prices by Geographic Location</w:t>
      </w:r>
    </w:p>
    <w:p>
      <w:pPr>
        <w:pStyle w:val="Heading2"/>
        <w:spacing w:after="120" w:before="260"/>
      </w:pPr>
      <w:r>
        <w:t xml:space="preserve">4.3 Ocean Proximity vs. House Value</w:t>
      </w:r>
    </w:p>
    <w:p>
      <w:pPr>
        <w:spacing w:after="160"/>
      </w:pPr>
      <w:r>
        <w:t xml:space="preserve">Districts labelled "ISLAND" and "NEAR BAY"/"NEAR OCEAN" tend to have higher median house values than "INLAND" districts, confirming the intuitive importance of proximity to water.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House Value by Ocean Proximity Category</w:t>
      </w:r>
    </w:p>
    <w:p>
      <w:pPr>
        <w:pStyle w:val="Heading2"/>
        <w:spacing w:after="120" w:before="260"/>
      </w:pPr>
      <w:r>
        <w:t xml:space="preserve">4.4 Correlation Analysis</w:t>
      </w:r>
    </w:p>
    <w:p>
      <w:pPr>
        <w:spacing w:after="160"/>
      </w:pPr>
      <w:r>
        <w:t xml:space="preserve">A correlation heatmap of the numeric features shows that median_income has by far the strongest positive correlation with median_house_value, while features like total_rooms and households correlate more strongly with each other than with price.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Correlation Heatmap of Numeric Features</w:t>
      </w:r>
    </w:p>
    <w:p>
      <w:pPr>
        <w:pStyle w:val="Heading2"/>
        <w:spacing w:after="120" w:before="260"/>
      </w:pPr>
      <w:r>
        <w:t xml:space="preserve">4.5 Median Income vs. House Value</w:t>
      </w:r>
    </w:p>
    <w:p>
      <w:pPr>
        <w:spacing w:after="160"/>
      </w:pPr>
      <w:r>
        <w:t xml:space="preserve">A scatter plot confirms a strong, roughly linear-looking positive relationship between median income and house value, with a visible price ceiling effect at the top of the income range.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5: Median Income vs. Median House Value</w:t>
      </w:r>
    </w:p>
    <w:p>
      <w:pPr>
        <w:pStyle w:val="Heading1"/>
        <w:spacing w:after="160" w:before="360"/>
      </w:pPr>
      <w:r>
        <w:t xml:space="preserve">5. Results &amp; Evaluation</w:t>
      </w:r>
    </w:p>
    <w:p>
      <w:pPr>
        <w:pStyle w:val="Heading2"/>
        <w:spacing w:after="120" w:before="260"/>
      </w:pPr>
      <w:r>
        <w:t xml:space="preserve">5.1 Model Comparison</w:t>
      </w:r>
    </w:p>
    <w:p>
      <w:pPr>
        <w:spacing w:after="160"/>
      </w:pPr>
      <w:r>
        <w:t xml:space="preserve">All four models were trained on the same preprocessed training data and evaluated on the held-out 20% test set. The table below summarises the results, sorted by R² score (higher is better).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37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MAE ($)</w:t>
            </w:r>
          </w:p>
        </w:tc>
        <w:tc>
          <w:tcPr>
            <w:tcW w:type="dxa" w:w="237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RMSE ($)</w:t>
            </w:r>
          </w:p>
        </w:tc>
        <w:tc>
          <w:tcPr>
            <w:tcW w:type="dxa" w:w="237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R² Score</w:t>
            </w:r>
          </w:p>
        </w:tc>
      </w:tr>
      <w:tr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Random Forest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31,926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49,834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0.810</w:t>
            </w:r>
          </w:p>
        </w:tc>
      </w:tr>
      <w:tr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Gradient Boosting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36,404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53,505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0.782</w:t>
            </w:r>
          </w:p>
        </w:tc>
      </w:tr>
      <w:tr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Linear Regression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49,645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69,127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0.635</w:t>
            </w:r>
          </w:p>
        </w:tc>
      </w:tr>
      <w:tr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Decision Tree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43,093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69,861</w:t>
            </w:r>
          </w:p>
        </w:tc>
        <w:tc>
          <w:tcPr>
            <w:tcW w:type="dxa" w:w="23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0.628</w:t>
            </w:r>
          </w:p>
        </w:tc>
      </w:tr>
    </w:tbl>
    <w:p>
      <w:pPr>
        <w:spacing w:after="160" w:before="200"/>
      </w:pPr>
    </w:p>
    <w:p>
      <w:pPr>
        <w:spacing w:after="80" w:before="20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6: Model Comparison by R² Score</w:t>
      </w:r>
    </w:p>
    <w:p>
      <w:pPr>
        <w:pStyle w:val="Heading2"/>
        <w:spacing w:after="120" w:before="260"/>
      </w:pPr>
      <w:r>
        <w:t xml:space="preserve">5.2 Hyperparameter-Tuned Model</w:t>
      </w:r>
    </w:p>
    <w:p>
      <w:pPr>
        <w:spacing w:after="160"/>
      </w:pPr>
      <w:r>
        <w:t xml:space="preserve">The Random Forest model — the strongest baseline performer — was tuned with GridSearchCV over the number of trees and maximum depth. The tuned model achieved: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MAE: $31,866.29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RMSE: $49,666.70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R² Score: 0.8118</w:t>
      </w:r>
    </w:p>
    <w:p>
      <w:pPr>
        <w:spacing w:after="160"/>
      </w:pPr>
      <w:r>
        <w:t xml:space="preserve">This represents a small but meaningful improvement over the default Random Forest configuration, confirming the model was already close to its optimal settings for this feature set.</w:t>
      </w:r>
    </w:p>
    <w:p>
      <w:pPr>
        <w:spacing w:after="80" w:before="200"/>
        <w:jc w:val="center"/>
      </w:pPr>
      <w:r>
        <w:drawing>
          <wp:inline distT="0" distB="0" distL="0" distR="0">
            <wp:extent cx="3333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7: Actual vs. Predicted House Values (Tuned Random Forest)</w:t>
      </w:r>
    </w:p>
    <w:p>
      <w:pPr>
        <w:pStyle w:val="Heading2"/>
        <w:spacing w:after="120" w:before="260"/>
      </w:pPr>
      <w:r>
        <w:t xml:space="preserve">5.3 Feature Importance</w:t>
      </w:r>
    </w:p>
    <w:p>
      <w:pPr>
        <w:spacing w:after="160"/>
      </w:pPr>
      <w:r>
        <w:t xml:space="preserve">The tuned Random Forest model's built-in feature importance scores reveal which inputs most strongly drive its predictions: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Importance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median_income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0.481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ocean_proximity_INLAND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0.138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population_per_household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0.121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longitude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0.058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latitude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0.056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housing_median_age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0.044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rooms_per_household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0.026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bedrooms_per_room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0.024</w:t>
            </w:r>
          </w:p>
        </w:tc>
      </w:tr>
    </w:tbl>
    <w:p>
      <w:pPr>
        <w:spacing w:after="160" w:before="200"/>
      </w:pPr>
    </w:p>
    <w:p>
      <w:pPr>
        <w:spacing w:after="80"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8: Top 10 Feature Importances</w:t>
      </w:r>
    </w:p>
    <w:p>
      <w:pPr>
        <w:spacing w:after="160"/>
      </w:pPr>
      <w:r>
        <w:t xml:space="preserve">Median income alone accounts for nearly half of the model's predictive power, followed by whether a district is inland and its average population density per household — reinforcing well-known real-estate pricing intuition.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160"/>
      </w:pPr>
      <w:r>
        <w:t xml:space="preserve">This project successfully developed an end-to-end machine learning pipeline to predict median house values in California districts. Key findings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Ensemble tree-based models (Random Forest, Gradient Boosting) substantially outperformed the linear baseline, indicating the true relationship between features and house price is non-linear.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tuned Random Forest Regressor was selected as the final model, achieving an R² score of 0.812 on unseen test data — meaning it explains over 81% of the variance in house prices.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Median income, ocean proximity, and population density per household were the most influential predictors of house price.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ratio features (rooms_per_household, bedrooms_per_room, population_per_household) contributed meaningfully to model performance.</w:t>
      </w:r>
    </w:p>
    <w:p>
      <w:pPr>
        <w:spacing w:after="160"/>
      </w:pPr>
      <w:r>
        <w:t xml:space="preserve">The final trained pipeline (preprocessing + model) was serialized using joblib as house_price_model.pkl, making it ready for reuse in a prediction script, web application, or API.</w:t>
      </w:r>
    </w:p>
    <w:p>
      <w:pPr>
        <w:pStyle w:val="Heading1"/>
        <w:spacing w:after="160" w:before="360"/>
      </w:pPr>
      <w:r>
        <w:t xml:space="preserve">7.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Incorporate additional real-world features such as crime rate, school ratings, and distance to the nearest city centre.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Experiment with advanced gradient boosting frameworks such as XGBoost or LightGBM.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neural network-based regression architectures for potential accuracy gains.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the trained model as an interactive web application using Flask or Streamlit for real-time predictions.</w:t>
      </w:r>
    </w:p>
    <w:p>
      <w:pPr>
        <w:pStyle w:val="Heading1"/>
        <w:spacing w:after="160" w:before="36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California Housing Prices Dataset — https://raw.githubusercontent.com/ageron/handson-ml2/master/datasets/housing/housing.csv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Documentation — https://scikit-learn.org/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Géron, A. — Hands-On Machine Learning with Scikit-Learn, Keras &amp; TensorFlow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da347c67f003f70428e0e74cc9c47f9b488a4.png"/><Relationship Id="rId8" Type="http://schemas.openxmlformats.org/officeDocument/2006/relationships/image" Target="media/d542059946db0d14e1cb6390815f6e70ccc40cca.png"/><Relationship Id="rId9" Type="http://schemas.openxmlformats.org/officeDocument/2006/relationships/image" Target="media/76493464f6987286ac89808656968550ddcb64e6.png"/><Relationship Id="rId10" Type="http://schemas.openxmlformats.org/officeDocument/2006/relationships/image" Target="media/550aa6c16d89886bc0bafcf78966662695956e48.png"/><Relationship Id="rId11" Type="http://schemas.openxmlformats.org/officeDocument/2006/relationships/image" Target="media/1bb2f6ae36d31846939ebd9987feba7b10a109d4.png"/><Relationship Id="rId12" Type="http://schemas.openxmlformats.org/officeDocument/2006/relationships/image" Target="media/52928db81b739098d98f01f22bf902feb1515e02.png"/><Relationship Id="rId13" Type="http://schemas.openxmlformats.org/officeDocument/2006/relationships/image" Target="media/c10cc702dc01d858a957cdcefb92536dd6a57511.png"/><Relationship Id="rId14" Type="http://schemas.openxmlformats.org/officeDocument/2006/relationships/image" Target="media/8fee6533b282e2abe5219c4a8b66dbb3b267bcb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2026-09-24T08:18:15.172Z</dcterms:created>
  <dcterms:modified xsi:type="dcterms:W3CDTF">2026-09-24T08:18:15.181Z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