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R/L/Q Long-Context Framework</w:t>
        <w:br/>
        <w:t>Updated Experimental Plan</w:t>
      </w:r>
    </w:p>
    <w:p>
      <w:pPr>
        <w:jc w:val="center"/>
      </w:pPr>
      <w:r>
        <w:rPr>
          <w:i/>
        </w:rPr>
        <w:t>PTB-XL multi-label cardiac disease classification | Frozen method, benchmark, ablations, temporal analysis, and interpretability</w:t>
      </w:r>
    </w:p>
    <w:p>
      <w:r>
        <w:rPr>
          <w:b/>
        </w:rPr>
        <w:t xml:space="preserve">Purpose. </w:t>
      </w:r>
      <w:r>
        <w:t>This document freezes the current proposed method and defines a controlled experimental pipeline. All scientific ablations after encoder selection use the same selected temporal encoder E* unless explicitly stated otherwise.</w:t>
      </w:r>
    </w:p>
    <w:p>
      <w:pPr>
        <w:pStyle w:val="Heading1"/>
      </w:pPr>
      <w:r>
        <w:t>1. Proposed Method: Freeze the Current Design</w:t>
      </w:r>
    </w:p>
    <w:p>
      <w:r>
        <w:t>Recommended formal name: R/L/Q Long-Context Framework. The earlier “A” branch can remain a conceptual label for angular dynamics, but the final paper notation should use Q because the implemented angular representation is a rotation quaternion.</w:t>
      </w:r>
    </w:p>
    <w:p>
      <w:pPr>
        <w:pStyle w:val="Heading2"/>
      </w:pPr>
      <w:r>
        <w:t>1.1 Data, task, and output</w:t>
      </w:r>
    </w:p>
    <w:p>
      <w:r>
        <w:t>Input: complete 10 s, 500 Hz PTB-XL 12-lead ECG. Apply the same Kors transform used by the implementation to obtain the 3-D cardiac vector:</w:t>
      </w:r>
    </w:p>
    <w:p>
      <w:pPr>
        <w:pStyle w:val="EquationBlock"/>
      </w:pPr>
      <w:r>
        <w:t>V_t = [X_t, Y_t, Z_t]^T.</w:t>
      </w:r>
    </w:p>
    <w:p>
      <w:r>
        <w:t>Task: NORM / MI / STTC / CD / HYP multi-label classification. Use five sigmoid outputs and binary cross-entropy (BCE), not a five-class softmax.</w:t>
      </w:r>
    </w:p>
    <w:p>
      <w:pPr>
        <w:pStyle w:val="EquationBlock"/>
      </w:pPr>
      <w:r>
        <w:t>z = f(X) ∈ R^5,     p = sigmoid(z).</w:t>
      </w:r>
    </w:p>
    <w:p>
      <w:pPr>
        <w:pStyle w:val="Heading2"/>
      </w:pPr>
      <w:r>
        <w:t>1.2 Radius branch R</w:t>
      </w:r>
    </w:p>
    <w:p>
      <w:pPr>
        <w:pStyle w:val="EquationBlock"/>
      </w:pPr>
      <w:r>
        <w:t>R_t = ||V_t||_2.</w:t>
      </w:r>
    </w:p>
    <w:p>
      <w:r>
        <w:t>R represents instantaneous cardiac-vector magnitude.</w:t>
      </w:r>
    </w:p>
    <w:p>
      <w:pPr>
        <w:pStyle w:val="Heading2"/>
      </w:pPr>
      <w:r>
        <w:t>1.3 Linear-dynamic branch L</w:t>
      </w:r>
    </w:p>
    <w:p>
      <w:pPr>
        <w:pStyle w:val="EquationBlock"/>
      </w:pPr>
      <w:r>
        <w:t>L_t = (V_{t+1} − V_t) / Δt.</w:t>
      </w:r>
    </w:p>
    <w:p>
      <w:r>
        <w:t>If the implementation retains the three Cartesian velocity components, use L_t = [L_t^x, L_t^y, L_t^z]^T. The manuscript formula must match the actual implementation exactly.</w:t>
      </w:r>
    </w:p>
    <w:p>
      <w:pPr>
        <w:pStyle w:val="Heading2"/>
      </w:pPr>
      <w:r>
        <w:t>1.4 Rotation-quaternion branch Q: exact input definition</w:t>
      </w:r>
    </w:p>
    <w:p>
      <w:r>
        <w:t>Normalize the cardiac-vector direction:</w:t>
      </w:r>
    </w:p>
    <w:p>
      <w:pPr>
        <w:pStyle w:val="EquationBlock"/>
      </w:pPr>
      <w:r>
        <w:t>u_t = V_t / (||V_t||_2 + ε).</w:t>
      </w:r>
    </w:p>
    <w:p>
      <w:r>
        <w:t>Freeze the local rotation interval at Δ_Q = 20 ms (10 samples at 500 Hz). For the directional change u_t → u_{t+Δ_Q}, define:</w:t>
      </w:r>
    </w:p>
    <w:p>
      <w:pPr>
        <w:pStyle w:val="EquationBlock"/>
      </w:pPr>
      <w:r>
        <w:t>c_t = u_t^T u_{t+Δ_Q},     s_t = ||u_t × u_{t+Δ_Q}||_2,</w:t>
      </w:r>
    </w:p>
    <w:p>
      <w:pPr>
        <w:pStyle w:val="EquationBlock"/>
      </w:pPr>
      <w:r>
        <w:t>θ_t = atan2(s_t, c_t),</w:t>
      </w:r>
    </w:p>
    <w:p>
      <w:pPr>
        <w:pStyle w:val="EquationBlock"/>
      </w:pPr>
      <w:r>
        <w:t>n_t = (u_t × u_{t+Δ_Q}) / (||u_t × u_{t+Δ_Q}||_2 + ε).</w:t>
      </w:r>
    </w:p>
    <w:p>
      <w:r>
        <w:t>The standard minimal-rotation unit quaternion is:</w:t>
      </w:r>
    </w:p>
    <w:p>
      <w:pPr>
        <w:pStyle w:val="EquationBlock"/>
      </w:pPr>
      <w:r>
        <w:t>q_t = [ cos(θ_t/2),  n_t sin(θ_t/2) ] = [q_w,t, q_x,t, q_y,t, q_z,t] ∈ S^3.</w:t>
      </w:r>
    </w:p>
    <w:p>
      <w:pPr>
        <w:pStyle w:val="EquationBlock"/>
      </w:pPr>
      <w:r>
        <w:t>Q = [q_1, q_2, …, q_{T−Δ_Q}].</w:t>
      </w:r>
    </w:p>
    <w:p>
      <w:r>
        <w:t>Interpretation: each q_t is a local directional-rotation state, i.e., the minimal 3-D rotation mapping u_t to u_{t+Δ_Q}. It is not an absolute orientation quaternion.</w:t>
      </w:r>
    </w:p>
    <w:p>
      <w:r>
        <w:t>Numerical conventions: handle q ≡ −q consistently (e.g., canonical hemisphere q_w,t ≥ 0 or sequential sign continuity). For near-zero rotation use q_t ≈ [1,0,0,0]. Near-antiparallel cases require a deterministic orthogonal-axis rule rather than unstable division by a vanishing cross product.</w:t>
      </w:r>
    </w:p>
    <w:p>
      <w:pPr>
        <w:pStyle w:val="Heading2"/>
      </w:pPr>
      <w:r>
        <w:t>1.5 Overall architecture and scientific statement</w:t>
      </w:r>
    </w:p>
    <w:p>
      <w:pPr>
        <w:pStyle w:val="EquationBlock"/>
      </w:pPr>
      <w:r>
        <w:t>R_{1:T}, L_{1:T}, Q_{1:T} → Temporal Encoder → Fusion → Classifier.</w:t>
      </w:r>
    </w:p>
    <w:p>
      <w:r>
        <w:t>Frozen scientific statement:</w:t>
      </w:r>
    </w:p>
    <w:p>
      <w:pPr>
        <w:jc w:val="center"/>
      </w:pPr>
      <w:r>
        <w:rPr>
          <w:b/>
        </w:rPr>
        <w:t>“R/L/Q provide structured representations of cardiac-vector magnitude, linear motion, and local 3-D rotation, while the temporal encoder learns how these dynamic states are organized over extended temporal context.”</w:t>
      </w:r>
    </w:p>
    <w:p>
      <w:r>
        <w:t>Secondary framing: Quaternion defines what rotational information is represented; the temporal encoder determines how its temporal dependencies are learned.</w:t>
      </w:r>
    </w:p>
    <w:p>
      <w:pPr>
        <w:pStyle w:val="Heading1"/>
      </w:pPr>
      <w:r>
        <w:t>2. Experiment 1: Temporal Encoder Benchmark</w:t>
      </w:r>
    </w:p>
    <w:p>
      <w:r>
        <w:t>This is the architecture-selection experiment and must precede all later scientific ablations. Fix R+L+Q, preprocessing, input duration, data split, fusion/head, optimization protocol, and—as far as practical—the parameter budget. Change only the temporal encoder.</w:t>
      </w:r>
    </w:p>
    <w:tbl>
      <w:tblPr>
        <w:tblStyle w:val="TableGrid"/>
        <w:tblW w:type="auto" w:w="0"/>
        <w:jc w:val="center"/>
        <w:tblLook w:firstColumn="1" w:firstRow="1" w:lastColumn="0" w:lastRow="0" w:noHBand="0" w:noVBand="1" w:val="04A0"/>
      </w:tblPr>
      <w:tblGrid>
        <w:gridCol w:w="5083"/>
        <w:gridCol w:w="5083"/>
      </w:tblGrid>
      <w:tr>
        <w:tc>
          <w:tcPr>
            <w:tcW w:type="dxa" w:w="3168"/>
            <w:vAlign w:val="center"/>
            <w:shd w:fill="D9EAF7"/>
          </w:tcPr>
          <w:p>
            <w:r/>
            <w:r>
              <w:rPr>
                <w:rFonts w:ascii="Arial" w:hAnsi="Arial"/>
                <w:b/>
                <w:sz w:val="19"/>
              </w:rPr>
              <w:t>Encoder</w:t>
            </w:r>
          </w:p>
        </w:tc>
        <w:tc>
          <w:tcPr>
            <w:tcW w:type="dxa" w:w="6768"/>
            <w:vAlign w:val="center"/>
            <w:shd w:fill="D9EAF7"/>
          </w:tcPr>
          <w:p>
            <w:r/>
            <w:r>
              <w:rPr>
                <w:rFonts w:ascii="Arial" w:hAnsi="Arial"/>
                <w:b/>
                <w:sz w:val="19"/>
              </w:rPr>
              <w:t>Purpose</w:t>
            </w:r>
          </w:p>
        </w:tc>
      </w:tr>
      <w:tr>
        <w:tc>
          <w:tcPr>
            <w:tcW w:type="dxa" w:w="3168"/>
            <w:vAlign w:val="center"/>
          </w:tcPr>
          <w:p>
            <w:r/>
            <w:r>
              <w:rPr>
                <w:rFonts w:ascii="Arial" w:hAnsi="Arial"/>
                <w:b w:val="0"/>
                <w:sz w:val="19"/>
              </w:rPr>
              <w:t>LSTM</w:t>
            </w:r>
          </w:p>
        </w:tc>
        <w:tc>
          <w:tcPr>
            <w:tcW w:type="dxa" w:w="6768"/>
            <w:vAlign w:val="center"/>
          </w:tcPr>
          <w:p>
            <w:r/>
            <w:r>
              <w:rPr>
                <w:rFonts w:ascii="Arial" w:hAnsi="Arial"/>
                <w:b w:val="0"/>
                <w:sz w:val="19"/>
              </w:rPr>
              <w:t>Recurrent baseline</w:t>
            </w:r>
          </w:p>
        </w:tc>
      </w:tr>
      <w:tr>
        <w:tc>
          <w:tcPr>
            <w:tcW w:type="dxa" w:w="3168"/>
            <w:vAlign w:val="center"/>
          </w:tcPr>
          <w:p>
            <w:r/>
            <w:r>
              <w:rPr>
                <w:rFonts w:ascii="Arial" w:hAnsi="Arial"/>
                <w:b w:val="0"/>
                <w:sz w:val="19"/>
              </w:rPr>
              <w:t>GRU</w:t>
            </w:r>
          </w:p>
        </w:tc>
        <w:tc>
          <w:tcPr>
            <w:tcW w:type="dxa" w:w="6768"/>
            <w:vAlign w:val="center"/>
          </w:tcPr>
          <w:p>
            <w:r/>
            <w:r>
              <w:rPr>
                <w:rFonts w:ascii="Arial" w:hAnsi="Arial"/>
                <w:b w:val="0"/>
                <w:sz w:val="19"/>
              </w:rPr>
              <w:t>Lightweight recurrent baseline</w:t>
            </w:r>
          </w:p>
        </w:tc>
      </w:tr>
      <w:tr>
        <w:tc>
          <w:tcPr>
            <w:tcW w:type="dxa" w:w="3168"/>
            <w:vAlign w:val="center"/>
          </w:tcPr>
          <w:p>
            <w:r/>
            <w:r>
              <w:rPr>
                <w:rFonts w:ascii="Arial" w:hAnsi="Arial"/>
                <w:b w:val="0"/>
                <w:sz w:val="19"/>
              </w:rPr>
              <w:t>LSTM + Attention</w:t>
            </w:r>
          </w:p>
        </w:tc>
        <w:tc>
          <w:tcPr>
            <w:tcW w:type="dxa" w:w="6768"/>
            <w:vAlign w:val="center"/>
          </w:tcPr>
          <w:p>
            <w:r/>
            <w:r>
              <w:rPr>
                <w:rFonts w:ascii="Arial" w:hAnsi="Arial"/>
                <w:b w:val="0"/>
                <w:sz w:val="19"/>
              </w:rPr>
              <w:t>Recurrence + global temporal weighting</w:t>
            </w:r>
          </w:p>
        </w:tc>
      </w:tr>
      <w:tr>
        <w:tc>
          <w:tcPr>
            <w:tcW w:type="dxa" w:w="3168"/>
            <w:vAlign w:val="center"/>
          </w:tcPr>
          <w:p>
            <w:r/>
            <w:r>
              <w:rPr>
                <w:rFonts w:ascii="Arial" w:hAnsi="Arial"/>
                <w:b w:val="0"/>
                <w:sz w:val="19"/>
              </w:rPr>
              <w:t>TCN</w:t>
            </w:r>
          </w:p>
        </w:tc>
        <w:tc>
          <w:tcPr>
            <w:tcW w:type="dxa" w:w="6768"/>
            <w:vAlign w:val="center"/>
          </w:tcPr>
          <w:p>
            <w:r/>
            <w:r>
              <w:rPr>
                <w:rFonts w:ascii="Arial" w:hAnsi="Arial"/>
                <w:b w:val="0"/>
                <w:sz w:val="19"/>
              </w:rPr>
              <w:t>Convolutional long-context baseline</w:t>
            </w:r>
          </w:p>
        </w:tc>
      </w:tr>
      <w:tr>
        <w:tc>
          <w:tcPr>
            <w:tcW w:type="dxa" w:w="3168"/>
            <w:vAlign w:val="center"/>
          </w:tcPr>
          <w:p>
            <w:r/>
            <w:r>
              <w:rPr>
                <w:rFonts w:ascii="Arial" w:hAnsi="Arial"/>
                <w:b w:val="0"/>
                <w:sz w:val="19"/>
              </w:rPr>
              <w:t>TCN + Attention</w:t>
            </w:r>
          </w:p>
        </w:tc>
        <w:tc>
          <w:tcPr>
            <w:tcW w:type="dxa" w:w="6768"/>
            <w:vAlign w:val="center"/>
          </w:tcPr>
          <w:p>
            <w:r/>
            <w:r>
              <w:rPr>
                <w:rFonts w:ascii="Arial" w:hAnsi="Arial"/>
                <w:b w:val="0"/>
                <w:sz w:val="19"/>
              </w:rPr>
              <w:t>Local/multi-scale convolution + global weighting</w:t>
            </w:r>
          </w:p>
        </w:tc>
      </w:tr>
      <w:tr>
        <w:tc>
          <w:tcPr>
            <w:tcW w:type="dxa" w:w="3168"/>
            <w:vAlign w:val="center"/>
          </w:tcPr>
          <w:p>
            <w:r/>
            <w:r>
              <w:rPr>
                <w:rFonts w:ascii="Arial" w:hAnsi="Arial"/>
                <w:b w:val="0"/>
                <w:sz w:val="19"/>
              </w:rPr>
              <w:t>Transformer</w:t>
            </w:r>
          </w:p>
        </w:tc>
        <w:tc>
          <w:tcPr>
            <w:tcW w:type="dxa" w:w="6768"/>
            <w:vAlign w:val="center"/>
          </w:tcPr>
          <w:p>
            <w:r/>
            <w:r>
              <w:rPr>
                <w:rFonts w:ascii="Arial" w:hAnsi="Arial"/>
                <w:b w:val="0"/>
                <w:sz w:val="19"/>
              </w:rPr>
              <w:t>Global self-attention baseline</w:t>
            </w:r>
          </w:p>
        </w:tc>
      </w:tr>
      <w:tr>
        <w:tc>
          <w:tcPr>
            <w:tcW w:type="dxa" w:w="3168"/>
            <w:vAlign w:val="center"/>
          </w:tcPr>
          <w:p>
            <w:r/>
            <w:r>
              <w:rPr>
                <w:rFonts w:ascii="Arial" w:hAnsi="Arial"/>
                <w:b w:val="0"/>
                <w:sz w:val="19"/>
              </w:rPr>
              <w:t>QLSTM</w:t>
            </w:r>
          </w:p>
        </w:tc>
        <w:tc>
          <w:tcPr>
            <w:tcW w:type="dxa" w:w="6768"/>
            <w:vAlign w:val="center"/>
          </w:tcPr>
          <w:p>
            <w:r/>
            <w:r>
              <w:rPr>
                <w:rFonts w:ascii="Arial" w:hAnsi="Arial"/>
                <w:b w:val="0"/>
                <w:sz w:val="19"/>
              </w:rPr>
              <w:t>Quaternion-specific recurrent baseline</w:t>
            </w:r>
          </w:p>
        </w:tc>
      </w:tr>
      <w:tr>
        <w:tc>
          <w:tcPr>
            <w:tcW w:type="dxa" w:w="3168"/>
            <w:vAlign w:val="center"/>
          </w:tcPr>
          <w:p>
            <w:r/>
            <w:r>
              <w:rPr>
                <w:rFonts w:ascii="Arial" w:hAnsi="Arial"/>
                <w:b w:val="0"/>
                <w:sz w:val="19"/>
              </w:rPr>
              <w:t>QTCN</w:t>
            </w:r>
          </w:p>
        </w:tc>
        <w:tc>
          <w:tcPr>
            <w:tcW w:type="dxa" w:w="6768"/>
            <w:vAlign w:val="center"/>
          </w:tcPr>
          <w:p>
            <w:r/>
            <w:r>
              <w:rPr>
                <w:rFonts w:ascii="Arial" w:hAnsi="Arial"/>
                <w:b w:val="0"/>
                <w:sz w:val="19"/>
              </w:rPr>
              <w:t>Quaternion-specific temporal convolution</w:t>
            </w:r>
          </w:p>
        </w:tc>
      </w:tr>
      <w:tr>
        <w:tc>
          <w:tcPr>
            <w:tcW w:type="dxa" w:w="3168"/>
            <w:vAlign w:val="center"/>
          </w:tcPr>
          <w:p>
            <w:r/>
            <w:r>
              <w:rPr>
                <w:rFonts w:ascii="Arial" w:hAnsi="Arial"/>
                <w:b w:val="0"/>
                <w:sz w:val="19"/>
              </w:rPr>
              <w:t>Q-Transformer</w:t>
            </w:r>
          </w:p>
        </w:tc>
        <w:tc>
          <w:tcPr>
            <w:tcW w:type="dxa" w:w="6768"/>
            <w:vAlign w:val="center"/>
          </w:tcPr>
          <w:p>
            <w:r/>
            <w:r>
              <w:rPr>
                <w:rFonts w:ascii="Arial" w:hAnsi="Arial"/>
                <w:b w:val="0"/>
                <w:sz w:val="19"/>
              </w:rPr>
              <w:t>Quaternion-specific self-attention</w:t>
            </w:r>
          </w:p>
        </w:tc>
      </w:tr>
      <w:tr>
        <w:tc>
          <w:tcPr>
            <w:tcW w:type="dxa" w:w="3168"/>
            <w:vAlign w:val="center"/>
          </w:tcPr>
          <w:p>
            <w:r/>
            <w:r>
              <w:rPr>
                <w:rFonts w:ascii="Arial" w:hAnsi="Arial"/>
                <w:b w:val="0"/>
                <w:sz w:val="19"/>
              </w:rPr>
              <w:t>QGNN</w:t>
            </w:r>
          </w:p>
        </w:tc>
        <w:tc>
          <w:tcPr>
            <w:tcW w:type="dxa" w:w="6768"/>
            <w:vAlign w:val="center"/>
          </w:tcPr>
          <w:p>
            <w:r/>
            <w:r>
              <w:rPr>
                <w:rFonts w:ascii="Arial" w:hAnsi="Arial"/>
                <w:b w:val="0"/>
                <w:sz w:val="19"/>
              </w:rPr>
              <w:t>Quaternion relational/message-passing temporal baseline</w:t>
            </w:r>
          </w:p>
        </w:tc>
      </w:tr>
    </w:tbl>
    <w:p/>
    <w:p>
      <w:pPr>
        <w:pStyle w:val="Heading2"/>
      </w:pPr>
      <w:r>
        <w:t>2.1 Fair integration of quaternion-specific encoders</w:t>
      </w:r>
    </w:p>
    <w:p>
      <w:r>
        <w:t>For generic encoders, R, L, and Q are processed by real-valued temporal encoders. For quaternion-specific models, only the Q branch uses quaternion-valued temporal operations; R and L remain real-valued. Do not pad or artificially quaternionize R/L merely to fit a quaternion model.</w:t>
      </w:r>
    </w:p>
    <w:p>
      <w:pPr>
        <w:pStyle w:val="EquationBlock"/>
      </w:pPr>
      <w:r>
        <w:t>R → E_R^real,     L → E_L^real,     Q → E_Q^quat.</w:t>
      </w:r>
    </w:p>
    <w:p>
      <w:r>
        <w:t>Keep the downstream fusion and classification head identical. For QGNN, if adaptation is required, use the minimal sequence-to-graph mapping (e.g., q_t as node t with temporal adjacency) without adding extra ECG/VCG information.</w:t>
      </w:r>
    </w:p>
    <w:p>
      <w:pPr>
        <w:pStyle w:val="Heading2"/>
      </w:pPr>
      <w:r>
        <w:t>2.2 Winner selection and evaluation metrics</w:t>
      </w:r>
    </w:p>
    <w:p>
      <w:r>
        <w:t>Architecture selection and complete clinical reporting are separated. Threshold-independent discrimination metrics select E*; threshold-dependent clinical metrics describe the final classifier.</w:t>
      </w:r>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D9EAF7"/>
          </w:tcPr>
          <w:p>
            <w:r/>
            <w:r>
              <w:rPr>
                <w:rFonts w:ascii="Arial" w:hAnsi="Arial"/>
                <w:b/>
                <w:sz w:val="19"/>
              </w:rPr>
              <w:t>Role</w:t>
            </w:r>
          </w:p>
        </w:tc>
        <w:tc>
          <w:tcPr>
            <w:tcW w:type="dxa" w:w="6912"/>
            <w:vAlign w:val="center"/>
            <w:shd w:fill="D9EAF7"/>
          </w:tcPr>
          <w:p>
            <w:r/>
            <w:r>
              <w:rPr>
                <w:rFonts w:ascii="Arial" w:hAnsi="Arial"/>
                <w:b/>
                <w:sz w:val="19"/>
              </w:rPr>
              <w:t>Metric / rule</w:t>
            </w:r>
          </w:p>
        </w:tc>
      </w:tr>
      <w:tr>
        <w:tc>
          <w:tcPr>
            <w:tcW w:type="dxa" w:w="3024"/>
            <w:vAlign w:val="center"/>
          </w:tcPr>
          <w:p>
            <w:r/>
            <w:r>
              <w:rPr>
                <w:rFonts w:ascii="Arial" w:hAnsi="Arial"/>
                <w:b w:val="0"/>
                <w:sz w:val="19"/>
              </w:rPr>
              <w:t>Primary selection metric</w:t>
            </w:r>
          </w:p>
        </w:tc>
        <w:tc>
          <w:tcPr>
            <w:tcW w:type="dxa" w:w="6912"/>
            <w:vAlign w:val="center"/>
          </w:tcPr>
          <w:p>
            <w:r/>
            <w:r>
              <w:rPr>
                <w:rFonts w:ascii="Arial" w:hAnsi="Arial"/>
                <w:b w:val="0"/>
                <w:sz w:val="19"/>
              </w:rPr>
              <w:t>Validation Macro AUROC</w:t>
            </w:r>
          </w:p>
        </w:tc>
      </w:tr>
      <w:tr>
        <w:tc>
          <w:tcPr>
            <w:tcW w:type="dxa" w:w="3024"/>
            <w:vAlign w:val="center"/>
          </w:tcPr>
          <w:p>
            <w:r/>
            <w:r>
              <w:rPr>
                <w:rFonts w:ascii="Arial" w:hAnsi="Arial"/>
                <w:b w:val="0"/>
                <w:sz w:val="19"/>
              </w:rPr>
              <w:t>Key secondary / first tie-break</w:t>
            </w:r>
          </w:p>
        </w:tc>
        <w:tc>
          <w:tcPr>
            <w:tcW w:type="dxa" w:w="6912"/>
            <w:vAlign w:val="center"/>
          </w:tcPr>
          <w:p>
            <w:r/>
            <w:r>
              <w:rPr>
                <w:rFonts w:ascii="Arial" w:hAnsi="Arial"/>
                <w:b w:val="0"/>
                <w:sz w:val="19"/>
              </w:rPr>
              <w:t>Validation Macro AUPRC</w:t>
            </w:r>
          </w:p>
        </w:tc>
      </w:tr>
      <w:tr>
        <w:tc>
          <w:tcPr>
            <w:tcW w:type="dxa" w:w="3024"/>
            <w:vAlign w:val="center"/>
          </w:tcPr>
          <w:p>
            <w:r/>
            <w:r>
              <w:rPr>
                <w:rFonts w:ascii="Arial" w:hAnsi="Arial"/>
                <w:b w:val="0"/>
                <w:sz w:val="19"/>
              </w:rPr>
              <w:t>Further tie-break</w:t>
            </w:r>
          </w:p>
        </w:tc>
        <w:tc>
          <w:tcPr>
            <w:tcW w:type="dxa" w:w="6912"/>
            <w:vAlign w:val="center"/>
          </w:tcPr>
          <w:p>
            <w:r/>
            <w:r>
              <w:rPr>
                <w:rFonts w:ascii="Arial" w:hAnsi="Arial"/>
                <w:b w:val="0"/>
                <w:sz w:val="19"/>
              </w:rPr>
              <w:t>Lower Params/MACs (or FLOPs), then lower inference latency</w:t>
            </w:r>
          </w:p>
        </w:tc>
      </w:tr>
      <w:tr>
        <w:tc>
          <w:tcPr>
            <w:tcW w:type="dxa" w:w="3024"/>
            <w:vAlign w:val="center"/>
          </w:tcPr>
          <w:p>
            <w:r/>
            <w:r>
              <w:rPr>
                <w:rFonts w:ascii="Arial" w:hAnsi="Arial"/>
                <w:b w:val="0"/>
                <w:sz w:val="19"/>
              </w:rPr>
              <w:t>Selected encoder</w:t>
            </w:r>
          </w:p>
        </w:tc>
        <w:tc>
          <w:tcPr>
            <w:tcW w:type="dxa" w:w="6912"/>
            <w:vAlign w:val="center"/>
          </w:tcPr>
          <w:p>
            <w:r/>
            <w:r>
              <w:rPr>
                <w:rFonts w:ascii="Arial" w:hAnsi="Arial"/>
                <w:b w:val="0"/>
                <w:sz w:val="19"/>
              </w:rPr>
              <w:t>E* = best temporal encoder under the pre-specified rule</w:t>
            </w:r>
          </w:p>
        </w:tc>
      </w:tr>
    </w:tbl>
    <w:p/>
    <w:p>
      <w:r>
        <w:t>Why Macro AUROC is primary: the task is multi-label with unequal superclass prevalence; macro averaging gives each label equal weight, and AUROC does not depend on a chosen decision threshold. Macro AUPRC is the key complementary metric because it is more sensitive to positive-class performance under imbalance.</w:t>
      </w:r>
    </w:p>
    <w:p>
      <w:r>
        <w:t>Main performance reporting should include:</w:t>
      </w:r>
    </w:p>
    <w:p>
      <w:pPr>
        <w:pStyle w:val="EquationBlock"/>
      </w:pPr>
      <w:r>
        <w:t>Macro AUROC, Macro AUPRC, Macro Sensitivity, Macro Specificity, Macro F1.</w:t>
      </w:r>
    </w:p>
    <w:p>
      <w:r>
        <w:t>Also report per-class AUROC and AUPRC for NORM, MI, STTC, CD, and HYP. Recommended secondary metrics are Micro F1, Precision/PPV, NPV, Balanced Accuracy, and MCC. Ordinary accuracy may be reported only with an explicit definition; it should not be the central metric in an imbalanced multi-label setting.</w:t>
      </w:r>
    </w:p>
    <w:p>
      <w:r>
        <w:t>Threshold protocol: never tune thresholds on the test set. For threshold-dependent metrics, select a disease-specific threshold τ_c on the validation set using one pre-specified rule (recommended: maximize Youden’s J = Sensitivity + Specificity − 1), freeze all thresholds, and then evaluate the test set.</w:t>
      </w:r>
    </w:p>
    <w:p>
      <w:pPr>
        <w:pStyle w:val="EquationBlock"/>
      </w:pPr>
      <w:r>
        <w:t>τ_c* = argmax_τ [Sensitivity_c(τ) + Specificity_c(τ) − 1].</w:t>
      </w:r>
    </w:p>
    <w:p>
      <w:r>
        <w:t>Efficiency reporting for Experiment 1:</w:t>
      </w:r>
    </w:p>
    <w:p>
      <w:pPr>
        <w:pStyle w:val="EquationBlock"/>
      </w:pPr>
      <w:r>
        <w:t>Params, MACs/FLOPs, inference latency, throughput.</w:t>
      </w:r>
    </w:p>
    <w:p>
      <w:r>
        <w:t>Once E* is selected, freeze it for all subsequent representation and temporal experiments. Experiment 1 answers: (i) Which temporal architecture provides the strongest controlled backbone for R/L/Q dynamics? and (ii) Do quaternion representations require quaternion-specific temporal computation?</w:t>
      </w:r>
    </w:p>
    <w:p>
      <w:pPr>
        <w:pStyle w:val="Heading1"/>
      </w:pPr>
      <w:r>
        <w:t>3. Experiment 2: R/L/Q Component Ablation</w:t>
      </w:r>
    </w:p>
    <w:p>
      <w:r>
        <w:t>Freeze E*. Run the complete 2^3−1 factorial ablation so that conditional contributions can be measured.</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880"/>
            <w:vAlign w:val="center"/>
            <w:shd w:fill="D9EAF7"/>
          </w:tcPr>
          <w:p>
            <w:r/>
            <w:r>
              <w:rPr>
                <w:rFonts w:ascii="Arial" w:hAnsi="Arial"/>
                <w:b/>
                <w:sz w:val="19"/>
              </w:rPr>
              <w:t>Variant</w:t>
            </w:r>
          </w:p>
        </w:tc>
        <w:tc>
          <w:tcPr>
            <w:tcW w:type="dxa" w:w="1440"/>
            <w:vAlign w:val="center"/>
            <w:shd w:fill="D9EAF7"/>
          </w:tcPr>
          <w:p>
            <w:r/>
            <w:r>
              <w:rPr>
                <w:rFonts w:ascii="Arial" w:hAnsi="Arial"/>
                <w:b/>
                <w:sz w:val="19"/>
              </w:rPr>
              <w:t>R</w:t>
            </w:r>
          </w:p>
        </w:tc>
        <w:tc>
          <w:tcPr>
            <w:tcW w:type="dxa" w:w="1440"/>
            <w:vAlign w:val="center"/>
            <w:shd w:fill="D9EAF7"/>
          </w:tcPr>
          <w:p>
            <w:r/>
            <w:r>
              <w:rPr>
                <w:rFonts w:ascii="Arial" w:hAnsi="Arial"/>
                <w:b/>
                <w:sz w:val="19"/>
              </w:rPr>
              <w:t>L</w:t>
            </w:r>
          </w:p>
        </w:tc>
        <w:tc>
          <w:tcPr>
            <w:tcW w:type="dxa" w:w="1440"/>
            <w:vAlign w:val="center"/>
            <w:shd w:fill="D9EAF7"/>
          </w:tcPr>
          <w:p>
            <w:r/>
            <w:r>
              <w:rPr>
                <w:rFonts w:ascii="Arial" w:hAnsi="Arial"/>
                <w:b/>
                <w:sz w:val="19"/>
              </w:rPr>
              <w:t>Q</w:t>
            </w:r>
          </w:p>
        </w:tc>
      </w:tr>
      <w:tr>
        <w:tc>
          <w:tcPr>
            <w:tcW w:type="dxa" w:w="2880"/>
            <w:vAlign w:val="center"/>
          </w:tcPr>
          <w:p>
            <w:r/>
            <w:r>
              <w:rPr>
                <w:rFonts w:ascii="Arial" w:hAnsi="Arial"/>
                <w:b w:val="0"/>
                <w:sz w:val="19"/>
              </w:rPr>
              <w:t>R</w:t>
            </w:r>
          </w:p>
        </w:tc>
        <w:tc>
          <w:tcPr>
            <w:tcW w:type="dxa" w:w="1440"/>
            <w:vAlign w:val="center"/>
          </w:tcPr>
          <w:p>
            <w:r/>
            <w:r>
              <w:rPr>
                <w:rFonts w:ascii="Arial" w:hAnsi="Arial"/>
                <w:b w:val="0"/>
                <w:sz w:val="19"/>
              </w:rPr>
              <w:t>✓</w:t>
            </w:r>
          </w:p>
        </w:tc>
        <w:tc>
          <w:tcPr>
            <w:tcW w:type="dxa" w:w="1440"/>
            <w:vAlign w:val="center"/>
          </w:tcPr>
          <w:p>
            <w:r/>
            <w:r>
              <w:rPr>
                <w:rFonts w:ascii="Arial" w:hAnsi="Arial"/>
                <w:b w:val="0"/>
                <w:sz w:val="19"/>
              </w:rPr>
            </w:r>
          </w:p>
        </w:tc>
        <w:tc>
          <w:tcPr>
            <w:tcW w:type="dxa" w:w="1440"/>
            <w:vAlign w:val="center"/>
          </w:tcPr>
          <w:p>
            <w:r/>
            <w:r>
              <w:rPr>
                <w:rFonts w:ascii="Arial" w:hAnsi="Arial"/>
                <w:b w:val="0"/>
                <w:sz w:val="19"/>
              </w:rPr>
            </w:r>
          </w:p>
        </w:tc>
      </w:tr>
      <w:tr>
        <w:tc>
          <w:tcPr>
            <w:tcW w:type="dxa" w:w="2880"/>
            <w:vAlign w:val="center"/>
          </w:tcPr>
          <w:p>
            <w:r/>
            <w:r>
              <w:rPr>
                <w:rFonts w:ascii="Arial" w:hAnsi="Arial"/>
                <w:b w:val="0"/>
                <w:sz w:val="19"/>
              </w:rPr>
              <w:t>L</w:t>
            </w:r>
          </w:p>
        </w:tc>
        <w:tc>
          <w:tcPr>
            <w:tcW w:type="dxa" w:w="1440"/>
            <w:vAlign w:val="center"/>
          </w:tcPr>
          <w:p>
            <w:r/>
            <w:r>
              <w:rPr>
                <w:rFonts w:ascii="Arial" w:hAnsi="Arial"/>
                <w:b w:val="0"/>
                <w:sz w:val="19"/>
              </w:rPr>
            </w:r>
          </w:p>
        </w:tc>
        <w:tc>
          <w:tcPr>
            <w:tcW w:type="dxa" w:w="1440"/>
            <w:vAlign w:val="center"/>
          </w:tcPr>
          <w:p>
            <w:r/>
            <w:r>
              <w:rPr>
                <w:rFonts w:ascii="Arial" w:hAnsi="Arial"/>
                <w:b w:val="0"/>
                <w:sz w:val="19"/>
              </w:rPr>
              <w:t>✓</w:t>
            </w:r>
          </w:p>
        </w:tc>
        <w:tc>
          <w:tcPr>
            <w:tcW w:type="dxa" w:w="1440"/>
            <w:vAlign w:val="center"/>
          </w:tcPr>
          <w:p>
            <w:r/>
            <w:r>
              <w:rPr>
                <w:rFonts w:ascii="Arial" w:hAnsi="Arial"/>
                <w:b w:val="0"/>
                <w:sz w:val="19"/>
              </w:rPr>
            </w:r>
          </w:p>
        </w:tc>
      </w:tr>
      <w:tr>
        <w:tc>
          <w:tcPr>
            <w:tcW w:type="dxa" w:w="2880"/>
            <w:vAlign w:val="center"/>
          </w:tcPr>
          <w:p>
            <w:r/>
            <w:r>
              <w:rPr>
                <w:rFonts w:ascii="Arial" w:hAnsi="Arial"/>
                <w:b w:val="0"/>
                <w:sz w:val="19"/>
              </w:rPr>
              <w:t>Q</w:t>
            </w:r>
          </w:p>
        </w:tc>
        <w:tc>
          <w:tcPr>
            <w:tcW w:type="dxa" w:w="1440"/>
            <w:vAlign w:val="center"/>
          </w:tcPr>
          <w:p>
            <w:r/>
            <w:r>
              <w:rPr>
                <w:rFonts w:ascii="Arial" w:hAnsi="Arial"/>
                <w:b w:val="0"/>
                <w:sz w:val="19"/>
              </w:rPr>
            </w:r>
          </w:p>
        </w:tc>
        <w:tc>
          <w:tcPr>
            <w:tcW w:type="dxa" w:w="1440"/>
            <w:vAlign w:val="center"/>
          </w:tcPr>
          <w:p>
            <w:r/>
            <w:r>
              <w:rPr>
                <w:rFonts w:ascii="Arial" w:hAnsi="Arial"/>
                <w:b w:val="0"/>
                <w:sz w:val="19"/>
              </w:rPr>
            </w:r>
          </w:p>
        </w:tc>
        <w:tc>
          <w:tcPr>
            <w:tcW w:type="dxa" w:w="1440"/>
            <w:vAlign w:val="center"/>
          </w:tcPr>
          <w:p>
            <w:r/>
            <w:r>
              <w:rPr>
                <w:rFonts w:ascii="Arial" w:hAnsi="Arial"/>
                <w:b w:val="0"/>
                <w:sz w:val="19"/>
              </w:rPr>
              <w:t>✓</w:t>
            </w:r>
          </w:p>
        </w:tc>
      </w:tr>
      <w:tr>
        <w:tc>
          <w:tcPr>
            <w:tcW w:type="dxa" w:w="2880"/>
            <w:vAlign w:val="center"/>
          </w:tcPr>
          <w:p>
            <w:r/>
            <w:r>
              <w:rPr>
                <w:rFonts w:ascii="Arial" w:hAnsi="Arial"/>
                <w:b w:val="0"/>
                <w:sz w:val="19"/>
              </w:rPr>
              <w:t>R+L</w:t>
            </w:r>
          </w:p>
        </w:tc>
        <w:tc>
          <w:tcPr>
            <w:tcW w:type="dxa" w:w="1440"/>
            <w:vAlign w:val="center"/>
          </w:tcPr>
          <w:p>
            <w:r/>
            <w:r>
              <w:rPr>
                <w:rFonts w:ascii="Arial" w:hAnsi="Arial"/>
                <w:b w:val="0"/>
                <w:sz w:val="19"/>
              </w:rPr>
              <w:t>✓</w:t>
            </w:r>
          </w:p>
        </w:tc>
        <w:tc>
          <w:tcPr>
            <w:tcW w:type="dxa" w:w="1440"/>
            <w:vAlign w:val="center"/>
          </w:tcPr>
          <w:p>
            <w:r/>
            <w:r>
              <w:rPr>
                <w:rFonts w:ascii="Arial" w:hAnsi="Arial"/>
                <w:b w:val="0"/>
                <w:sz w:val="19"/>
              </w:rPr>
              <w:t>✓</w:t>
            </w:r>
          </w:p>
        </w:tc>
        <w:tc>
          <w:tcPr>
            <w:tcW w:type="dxa" w:w="1440"/>
            <w:vAlign w:val="center"/>
          </w:tcPr>
          <w:p>
            <w:r/>
            <w:r>
              <w:rPr>
                <w:rFonts w:ascii="Arial" w:hAnsi="Arial"/>
                <w:b w:val="0"/>
                <w:sz w:val="19"/>
              </w:rPr>
            </w:r>
          </w:p>
        </w:tc>
      </w:tr>
      <w:tr>
        <w:tc>
          <w:tcPr>
            <w:tcW w:type="dxa" w:w="2880"/>
            <w:vAlign w:val="center"/>
          </w:tcPr>
          <w:p>
            <w:r/>
            <w:r>
              <w:rPr>
                <w:rFonts w:ascii="Arial" w:hAnsi="Arial"/>
                <w:b w:val="0"/>
                <w:sz w:val="19"/>
              </w:rPr>
              <w:t>R+Q</w:t>
            </w:r>
          </w:p>
        </w:tc>
        <w:tc>
          <w:tcPr>
            <w:tcW w:type="dxa" w:w="1440"/>
            <w:vAlign w:val="center"/>
          </w:tcPr>
          <w:p>
            <w:r/>
            <w:r>
              <w:rPr>
                <w:rFonts w:ascii="Arial" w:hAnsi="Arial"/>
                <w:b w:val="0"/>
                <w:sz w:val="19"/>
              </w:rPr>
              <w:t>✓</w:t>
            </w:r>
          </w:p>
        </w:tc>
        <w:tc>
          <w:tcPr>
            <w:tcW w:type="dxa" w:w="1440"/>
            <w:vAlign w:val="center"/>
          </w:tcPr>
          <w:p>
            <w:r/>
            <w:r>
              <w:rPr>
                <w:rFonts w:ascii="Arial" w:hAnsi="Arial"/>
                <w:b w:val="0"/>
                <w:sz w:val="19"/>
              </w:rPr>
            </w:r>
          </w:p>
        </w:tc>
        <w:tc>
          <w:tcPr>
            <w:tcW w:type="dxa" w:w="1440"/>
            <w:vAlign w:val="center"/>
          </w:tcPr>
          <w:p>
            <w:r/>
            <w:r>
              <w:rPr>
                <w:rFonts w:ascii="Arial" w:hAnsi="Arial"/>
                <w:b w:val="0"/>
                <w:sz w:val="19"/>
              </w:rPr>
              <w:t>✓</w:t>
            </w:r>
          </w:p>
        </w:tc>
      </w:tr>
      <w:tr>
        <w:tc>
          <w:tcPr>
            <w:tcW w:type="dxa" w:w="2880"/>
            <w:vAlign w:val="center"/>
          </w:tcPr>
          <w:p>
            <w:r/>
            <w:r>
              <w:rPr>
                <w:rFonts w:ascii="Arial" w:hAnsi="Arial"/>
                <w:b w:val="0"/>
                <w:sz w:val="19"/>
              </w:rPr>
              <w:t>L+Q</w:t>
            </w:r>
          </w:p>
        </w:tc>
        <w:tc>
          <w:tcPr>
            <w:tcW w:type="dxa" w:w="1440"/>
            <w:vAlign w:val="center"/>
          </w:tcPr>
          <w:p>
            <w:r/>
            <w:r>
              <w:rPr>
                <w:rFonts w:ascii="Arial" w:hAnsi="Arial"/>
                <w:b w:val="0"/>
                <w:sz w:val="19"/>
              </w:rPr>
            </w:r>
          </w:p>
        </w:tc>
        <w:tc>
          <w:tcPr>
            <w:tcW w:type="dxa" w:w="1440"/>
            <w:vAlign w:val="center"/>
          </w:tcPr>
          <w:p>
            <w:r/>
            <w:r>
              <w:rPr>
                <w:rFonts w:ascii="Arial" w:hAnsi="Arial"/>
                <w:b w:val="0"/>
                <w:sz w:val="19"/>
              </w:rPr>
              <w:t>✓</w:t>
            </w:r>
          </w:p>
        </w:tc>
        <w:tc>
          <w:tcPr>
            <w:tcW w:type="dxa" w:w="1440"/>
            <w:vAlign w:val="center"/>
          </w:tcPr>
          <w:p>
            <w:r/>
            <w:r>
              <w:rPr>
                <w:rFonts w:ascii="Arial" w:hAnsi="Arial"/>
                <w:b w:val="0"/>
                <w:sz w:val="19"/>
              </w:rPr>
              <w:t>✓</w:t>
            </w:r>
          </w:p>
        </w:tc>
      </w:tr>
      <w:tr>
        <w:tc>
          <w:tcPr>
            <w:tcW w:type="dxa" w:w="2880"/>
            <w:vAlign w:val="center"/>
          </w:tcPr>
          <w:p>
            <w:r/>
            <w:r>
              <w:rPr>
                <w:rFonts w:ascii="Arial" w:hAnsi="Arial"/>
                <w:b w:val="0"/>
                <w:sz w:val="19"/>
              </w:rPr>
              <w:t>R+L+Q</w:t>
            </w:r>
          </w:p>
        </w:tc>
        <w:tc>
          <w:tcPr>
            <w:tcW w:type="dxa" w:w="1440"/>
            <w:vAlign w:val="center"/>
          </w:tcPr>
          <w:p>
            <w:r/>
            <w:r>
              <w:rPr>
                <w:rFonts w:ascii="Arial" w:hAnsi="Arial"/>
                <w:b w:val="0"/>
                <w:sz w:val="19"/>
              </w:rPr>
              <w:t>✓</w:t>
            </w:r>
          </w:p>
        </w:tc>
        <w:tc>
          <w:tcPr>
            <w:tcW w:type="dxa" w:w="1440"/>
            <w:vAlign w:val="center"/>
          </w:tcPr>
          <w:p>
            <w:r/>
            <w:r>
              <w:rPr>
                <w:rFonts w:ascii="Arial" w:hAnsi="Arial"/>
                <w:b w:val="0"/>
                <w:sz w:val="19"/>
              </w:rPr>
              <w:t>✓</w:t>
            </w:r>
          </w:p>
        </w:tc>
        <w:tc>
          <w:tcPr>
            <w:tcW w:type="dxa" w:w="1440"/>
            <w:vAlign w:val="center"/>
          </w:tcPr>
          <w:p>
            <w:r/>
            <w:r>
              <w:rPr>
                <w:rFonts w:ascii="Arial" w:hAnsi="Arial"/>
                <w:b w:val="0"/>
                <w:sz w:val="19"/>
              </w:rPr>
              <w:t>✓</w:t>
            </w:r>
          </w:p>
        </w:tc>
      </w:tr>
    </w:tbl>
    <w:p/>
    <w:p>
      <w:r>
        <w:t>Add Raw VCG XYZ as a reference, but do not treat it as part of the factorial R/L/Q design.</w:t>
      </w:r>
    </w:p>
    <w:p>
      <w:pPr>
        <w:pStyle w:val="EquationBlock"/>
      </w:pPr>
      <w:r>
        <w:t>Q conditional contribution: RLQ − RL</w:t>
      </w:r>
    </w:p>
    <w:p>
      <w:pPr>
        <w:pStyle w:val="EquationBlock"/>
      </w:pPr>
      <w:r>
        <w:t>L conditional contribution: RLQ − RQ</w:t>
      </w:r>
    </w:p>
    <w:p>
      <w:pPr>
        <w:pStyle w:val="EquationBlock"/>
      </w:pPr>
      <w:r>
        <w:t>R conditional contribution: RLQ − LQ</w:t>
      </w:r>
    </w:p>
    <w:p>
      <w:r>
        <w:t>Scientific question: Are magnitude, linear motion, and rotational dynamics complementary?</w:t>
      </w:r>
    </w:p>
    <w:p>
      <w:pPr>
        <w:pStyle w:val="Heading1"/>
      </w:pPr>
      <w:r>
        <w:t>4. Experiment 3: Angular Representation Ablation</w:t>
      </w:r>
    </w:p>
    <w:p>
      <w:r>
        <w:t>Freeze R, L, E*, receptive field, channel/parameter budget, fusion/head, and training protocol. Change only the angular/directional representation.</w:t>
      </w:r>
    </w:p>
    <w:p>
      <w:pPr>
        <w:pStyle w:val="EquationBlock"/>
      </w:pPr>
      <w:r>
        <w:t>U_t = u_t                              (absolute unit direction)</w:t>
      </w:r>
    </w:p>
    <w:p>
      <w:pPr>
        <w:pStyle w:val="EquationBlock"/>
      </w:pPr>
      <w:r>
        <w:t>D_t = [u_t^T u_{t+Δ_Q}, u_t × u_{t+Δ_Q}] = [cos θ_t, n_t sin θ_t]     (dot/cross full-angle)</w:t>
      </w:r>
    </w:p>
    <w:p>
      <w:pPr>
        <w:pStyle w:val="EquationBlock"/>
      </w:pPr>
      <w:r>
        <w:t>Q_t = [cos(θ_t/2), n_t sin(θ_t/2)]                                      (rotation quaternion)</w:t>
      </w:r>
    </w:p>
    <w:p>
      <w:pPr>
        <w:pStyle w:val="EquationBlock"/>
      </w:pPr>
      <w:r>
        <w:t>R+L+U    vs.    R+L+D    vs.    R+L+Q.</w:t>
      </w:r>
    </w:p>
    <w:p>
      <w:r>
        <w:t>Interpretation: U vs D/Q tests absolute direction versus local angular dynamics. D vs Q tests full-angle versus standard half-angle rotation parameterization. Do not claim that Q contains more raw information than D; both derive from the same underlying (θ, n).</w:t>
      </w:r>
    </w:p>
    <w:p>
      <w:pPr>
        <w:pStyle w:val="Heading1"/>
      </w:pPr>
      <w:r>
        <w:t>5. Experiment 4: Temporal Context Length</w:t>
      </w:r>
    </w:p>
    <w:p>
      <w:r>
        <w:t>Avoid an unsupported universal short/long boundary. Use an operational definition tied to cardiac physiological timescale:</w:t>
      </w:r>
    </w:p>
    <w:tbl>
      <w:tblPr>
        <w:tblStyle w:val="TableGrid"/>
        <w:tblW w:type="auto" w:w="0"/>
        <w:jc w:val="center"/>
        <w:tblLook w:firstColumn="1" w:firstRow="1" w:lastColumn="0" w:lastRow="0" w:noHBand="0" w:noVBand="1" w:val="04A0"/>
      </w:tblPr>
      <w:tblGrid>
        <w:gridCol w:w="3389"/>
        <w:gridCol w:w="3389"/>
        <w:gridCol w:w="3389"/>
      </w:tblGrid>
      <w:tr>
        <w:tc>
          <w:tcPr>
            <w:tcW w:type="dxa" w:w="2160"/>
            <w:vAlign w:val="center"/>
            <w:shd w:fill="D9EAF7"/>
          </w:tcPr>
          <w:p>
            <w:r/>
            <w:r>
              <w:rPr>
                <w:rFonts w:ascii="Arial" w:hAnsi="Arial"/>
                <w:b/>
                <w:sz w:val="19"/>
              </w:rPr>
              <w:t>Context level</w:t>
            </w:r>
          </w:p>
        </w:tc>
        <w:tc>
          <w:tcPr>
            <w:tcW w:type="dxa" w:w="2880"/>
            <w:vAlign w:val="center"/>
            <w:shd w:fill="D9EAF7"/>
          </w:tcPr>
          <w:p>
            <w:r/>
            <w:r>
              <w:rPr>
                <w:rFonts w:ascii="Arial" w:hAnsi="Arial"/>
                <w:b/>
                <w:sz w:val="19"/>
              </w:rPr>
              <w:t>Candidate receptive field</w:t>
            </w:r>
          </w:p>
        </w:tc>
        <w:tc>
          <w:tcPr>
            <w:tcW w:type="dxa" w:w="4896"/>
            <w:vAlign w:val="center"/>
            <w:shd w:fill="D9EAF7"/>
          </w:tcPr>
          <w:p>
            <w:r/>
            <w:r>
              <w:rPr>
                <w:rFonts w:ascii="Arial" w:hAnsi="Arial"/>
                <w:b/>
                <w:sz w:val="19"/>
              </w:rPr>
              <w:t>Interpretation</w:t>
            </w:r>
          </w:p>
        </w:tc>
      </w:tr>
      <w:tr>
        <w:tc>
          <w:tcPr>
            <w:tcW w:type="dxa" w:w="2160"/>
            <w:vAlign w:val="center"/>
          </w:tcPr>
          <w:p>
            <w:r/>
            <w:r>
              <w:rPr>
                <w:rFonts w:ascii="Arial" w:hAnsi="Arial"/>
                <w:b w:val="0"/>
                <w:sz w:val="19"/>
              </w:rPr>
              <w:t>Local</w:t>
            </w:r>
          </w:p>
        </w:tc>
        <w:tc>
          <w:tcPr>
            <w:tcW w:type="dxa" w:w="2880"/>
            <w:vAlign w:val="center"/>
          </w:tcPr>
          <w:p>
            <w:r/>
            <w:r>
              <w:rPr>
                <w:rFonts w:ascii="Arial" w:hAnsi="Arial"/>
                <w:b w:val="0"/>
                <w:sz w:val="19"/>
              </w:rPr>
              <w:t>10, 20, 40, 80/90 ms</w:t>
            </w:r>
          </w:p>
        </w:tc>
        <w:tc>
          <w:tcPr>
            <w:tcW w:type="dxa" w:w="4896"/>
            <w:vAlign w:val="center"/>
          </w:tcPr>
          <w:p>
            <w:r/>
            <w:r>
              <w:rPr>
                <w:rFonts w:ascii="Arial" w:hAnsi="Arial"/>
                <w:b w:val="0"/>
                <w:sz w:val="19"/>
              </w:rPr>
              <w:t>Local morphology / local rotation evolution</w:t>
            </w:r>
          </w:p>
        </w:tc>
      </w:tr>
      <w:tr>
        <w:tc>
          <w:tcPr>
            <w:tcW w:type="dxa" w:w="2160"/>
            <w:vAlign w:val="center"/>
          </w:tcPr>
          <w:p>
            <w:r/>
            <w:r>
              <w:rPr>
                <w:rFonts w:ascii="Arial" w:hAnsi="Arial"/>
                <w:b w:val="0"/>
                <w:sz w:val="19"/>
              </w:rPr>
              <w:t>Phase-scale</w:t>
            </w:r>
          </w:p>
        </w:tc>
        <w:tc>
          <w:tcPr>
            <w:tcW w:type="dxa" w:w="2880"/>
            <w:vAlign w:val="center"/>
          </w:tcPr>
          <w:p>
            <w:r/>
            <w:r>
              <w:rPr>
                <w:rFonts w:ascii="Arial" w:hAnsi="Arial"/>
                <w:b w:val="0"/>
                <w:sz w:val="19"/>
              </w:rPr>
              <w:t>160, 320/380 ms</w:t>
            </w:r>
          </w:p>
        </w:tc>
        <w:tc>
          <w:tcPr>
            <w:tcW w:type="dxa" w:w="4896"/>
            <w:vAlign w:val="center"/>
          </w:tcPr>
          <w:p>
            <w:r/>
            <w:r>
              <w:rPr>
                <w:rFonts w:ascii="Arial" w:hAnsi="Arial"/>
                <w:b w:val="0"/>
                <w:sz w:val="19"/>
              </w:rPr>
              <w:t>Substantial portion of a cardiac electrical phase</w:t>
            </w:r>
          </w:p>
        </w:tc>
      </w:tr>
      <w:tr>
        <w:tc>
          <w:tcPr>
            <w:tcW w:type="dxa" w:w="2160"/>
            <w:vAlign w:val="center"/>
          </w:tcPr>
          <w:p>
            <w:r/>
            <w:r>
              <w:rPr>
                <w:rFonts w:ascii="Arial" w:hAnsi="Arial"/>
                <w:b w:val="0"/>
                <w:sz w:val="19"/>
              </w:rPr>
              <w:t>Cycle-scale</w:t>
            </w:r>
          </w:p>
        </w:tc>
        <w:tc>
          <w:tcPr>
            <w:tcW w:type="dxa" w:w="2880"/>
            <w:vAlign w:val="center"/>
          </w:tcPr>
          <w:p>
            <w:r/>
            <w:r>
              <w:rPr>
                <w:rFonts w:ascii="Arial" w:hAnsi="Arial"/>
                <w:b w:val="0"/>
                <w:sz w:val="19"/>
              </w:rPr>
              <w:t>640, 1280 ms</w:t>
            </w:r>
          </w:p>
        </w:tc>
        <w:tc>
          <w:tcPr>
            <w:tcW w:type="dxa" w:w="4896"/>
            <w:vAlign w:val="center"/>
          </w:tcPr>
          <w:p>
            <w:r/>
            <w:r>
              <w:rPr>
                <w:rFonts w:ascii="Arial" w:hAnsi="Arial"/>
                <w:b w:val="0"/>
                <w:sz w:val="19"/>
              </w:rPr>
              <w:t>Cross-phase / approximately beat-scale organization</w:t>
            </w:r>
          </w:p>
        </w:tc>
      </w:tr>
    </w:tbl>
    <w:p/>
    <w:p>
      <w:r>
        <w:t>Full sweep: 10, 20, 40, 80, 160, 320/380, 640, 1280 ms. If compute is limited, use 20, 80/90, 380, and 1280 ms as the main sweep.</w:t>
      </w:r>
    </w:p>
    <w:p>
      <w:r>
        <w:t>The receptive field is manually controlled because it is the independent variable. The model learns what information to use within the permitted context. Do not redefine context categories after inspecting test results.</w:t>
      </w:r>
    </w:p>
    <w:p>
      <w:r>
        <w:t>Scientific question: Does access to broader temporal context improve disease discrimination?</w:t>
      </w:r>
    </w:p>
    <w:p>
      <w:pPr>
        <w:pStyle w:val="Heading1"/>
      </w:pPr>
      <w:r>
        <w:t>6. Experiment 5: Handcrafted Summaries vs Learned Temporal Dynamics</w:t>
      </w:r>
    </w:p>
    <w:p>
      <w:r>
        <w:t>This experiment tests whether preserving and learning the full sequence adds value beyond predefined compression.</w:t>
      </w:r>
    </w:p>
    <w:p>
      <w:pPr>
        <w:pStyle w:val="Heading2"/>
      </w:pPr>
      <w:r>
        <w:t>6.1 A. Controlled statistical aggregation</w:t>
      </w:r>
    </w:p>
    <w:p>
      <w:r>
        <w:t>This is an order-insensitive controlled baseline rather than a forced replication of a specific paper. From the same R/L/Q signals, extract distributional summaries such as mean, standard deviation, median, IQR, min, max, and RMS.</w:t>
      </w:r>
    </w:p>
    <w:p>
      <w:r>
        <w:t>For Q, prefer geometrically meaningful quantities such as θ_t = 2 arccos(q_w,t) rather than treating arbitrary component-wise quaternion means as primary physiological statistics.</w:t>
      </w:r>
    </w:p>
    <w:p>
      <w:pPr>
        <w:pStyle w:val="EquationBlock"/>
      </w:pPr>
      <w:r>
        <w:t>f_stat = statistical summaries of R, ||L||, and θ.</w:t>
      </w:r>
    </w:p>
    <w:p>
      <w:r>
        <w:t>Feed f_stat to a conventional classifier (e.g., Logistic Regression, XGBoost, or a small MLP), with classifier choice pre-specified or validated consistently.</w:t>
      </w:r>
    </w:p>
    <w:p>
      <w:pPr>
        <w:pStyle w:val="Heading2"/>
      </w:pPr>
      <w:r>
        <w:t>6.2 B. Cruces &amp; Arini 2016: velocity-summary baseline</w:t>
      </w:r>
    </w:p>
    <w:p>
      <w:r>
        <w:t>Reference method: “A novel method for cardiac vector velocity measurement: Evaluation in myocardial infarction.” Use it as a literature-derived velocity-summary baseline: VCG → linear velocity + angular velocity + spatial velocity → handcrafted velocity index / ICVV → classification.</w:t>
      </w:r>
    </w:p>
    <w:p>
      <w:r>
        <w:t>If the PTB-XL implementation cannot reproduce the original pipeline exactly because of task/data differences, label it explicitly as a Cruces-2016-inspired reimplementation rather than an exact replication.</w:t>
      </w:r>
    </w:p>
    <w:p>
      <w:pPr>
        <w:pStyle w:val="Heading2"/>
      </w:pPr>
      <w:r>
        <w:t>6.3 C. Cruces et al. 2020: predefined dynamic-biomarker baseline</w:t>
      </w:r>
    </w:p>
    <w:p>
      <w:r>
        <w:t>Reference method: “Dynamic features of cardiac vector as alternative markers of drug-induced spatial dispersion.” Reproduce the relevant feature families: areas, phase-specific maxima, SVD/roundness features, and QT_ω, using the same physiological definitions as far as the present dataset permits.</w:t>
      </w:r>
    </w:p>
    <w:p>
      <w:pPr>
        <w:pStyle w:val="EquationBlock"/>
      </w:pPr>
      <w:r>
        <w:t>f_dynamic = [Areas, phase maxima, roundness/SVD, QT_ω, …].</w:t>
      </w:r>
    </w:p>
    <w:p>
      <w:r>
        <w:t>This baseline represents dense cardiac-vector dynamics compressed into physiologically predefined temporal summaries.</w:t>
      </w:r>
    </w:p>
    <w:p>
      <w:pPr>
        <w:pStyle w:val="Heading2"/>
      </w:pPr>
      <w:r>
        <w:t>6.4 D. Proposed full-sequence learning</w:t>
      </w:r>
    </w:p>
    <w:p>
      <w:pPr>
        <w:pStyle w:val="EquationBlock"/>
      </w:pPr>
      <w:r>
        <w:t>R_{1:T}, L_{1:T}, Q_{1:T} → E* → Classifier.</w:t>
      </w:r>
    </w:p>
    <w:p>
      <w:r>
        <w:t>No predefined max/area/ratio/interval bottleneck is imposed before temporal learning.</w:t>
      </w:r>
    </w:p>
    <w:p>
      <w:pPr>
        <w:pStyle w:val="Heading2"/>
      </w:pPr>
      <w:r>
        <w:t>6.5 E. Proposed + handcrafted</w:t>
      </w:r>
    </w:p>
    <w:p>
      <w:pPr>
        <w:pStyle w:val="EquationBlock"/>
      </w:pPr>
      <w:r>
        <w:t>z_learned = E*(R,L,Q),     [z_learned ; f_handcrafted] → Classifier.</w:t>
      </w:r>
    </w:p>
    <w:p>
      <w:r>
        <w:t>If Proposed &gt; Handcrafted and Proposed + Handcrafted ≈ Proposed, predefined summaries add little beyond the learned sequence representation. If Proposed + Handcrafted &gt; Proposed, the clinically motivated biomarkers and learned temporal representation are complementary. Do not pre-assume that handcrafted features must perform worse.</w:t>
      </w:r>
    </w:p>
    <w:p>
      <w:pPr>
        <w:pStyle w:val="Heading1"/>
      </w:pPr>
      <w:r>
        <w:t>7. Experiment 6: Local and Long-Context Information</w:t>
      </w:r>
    </w:p>
    <w:p>
      <w:r>
        <w:t>Experiment 4 asks whether a larger receptive field helps. This experiment asks whether the final model actually benefits from both local dynamics and broader context.</w:t>
      </w:r>
    </w:p>
    <w:p>
      <w:pPr>
        <w:pStyle w:val="EquationBlock"/>
      </w:pPr>
      <w:r>
        <w:t>Local-only    vs.    Long-context-only    vs.    Local+Long.</w:t>
      </w:r>
    </w:p>
    <w:p>
      <w:r>
        <w:t>Only if this controlled experiment supports the claim should the manuscript state that the method “integrates local and long-range dynamics.” Otherwise use the narrower claim “long-context temporal modeling.”</w:t>
      </w:r>
    </w:p>
    <w:p>
      <w:pPr>
        <w:pStyle w:val="Heading1"/>
      </w:pPr>
      <w:r>
        <w:t>8. Experiment 7: Temporal Ordering / Shuffle</w:t>
      </w:r>
    </w:p>
    <w:p>
      <w:r>
        <w:t>This experiment directly tests whether temporal ordering carries discriminative information.</w:t>
      </w:r>
    </w:p>
    <w:p>
      <w:r>
        <w:t>Original: preserve the complete sequence.</w:t>
      </w:r>
    </w:p>
    <w:p>
      <w:pPr>
        <w:pStyle w:val="EquationBlock"/>
      </w:pPr>
      <w:r>
        <w:t>[q_1, q_2, …, q_T].</w:t>
      </w:r>
    </w:p>
    <w:p>
      <w:r>
        <w:t>Block shuffle: divide the sequence into blocks and permute block positions while preserving within-block order. Recommended block sizes: 40, 80, and 160 ms. This approximately preserves local dynamics while disrupting longer-range organization.</w:t>
      </w:r>
    </w:p>
    <w:p>
      <w:r>
        <w:t>Full/point-wise shuffle: randomly permute individual time steps, disrupting both local and long-range order.</w:t>
      </w:r>
    </w:p>
    <w:p>
      <w:pPr>
        <w:pStyle w:val="EquationBlock"/>
      </w:pPr>
      <w:r>
        <w:t>Original    vs.    Block Shuffle    vs.    Full Shuffle.</w:t>
      </w:r>
    </w:p>
    <w:p>
      <w:r>
        <w:t>Do not pre-assume the outcome, but a hierarchy Original &gt; Block Shuffle &gt; Full Shuffle would support the interpretation that temporal organization contributes beyond local state distributions.</w:t>
      </w:r>
    </w:p>
    <w:p>
      <w:r>
        <w:t>Run at least Q-only shuffle and synchronized joint R/L/Q shuffle. For the joint condition, use the same temporal permutation across R, L, and Q; otherwise the experiment additionally destroys cross-component alignment and becomes confounded.</w:t>
      </w:r>
    </w:p>
    <w:p>
      <w:pPr>
        <w:pStyle w:val="Heading1"/>
      </w:pPr>
      <w:r>
        <w:t>9. Interpretability / Visualization: Single Main Figure</w:t>
      </w:r>
    </w:p>
    <w:p>
      <w:r>
        <w:t>Only one main visualization is required: a Disease × R/L/Q × R-peak-aligned-time contribution heatmap. Its purpose is to localize when, and through which representation, the trained model obtains disease-specific evidence.</w:t>
      </w:r>
    </w:p>
    <w:p>
      <w:pPr>
        <w:pStyle w:val="Heading2"/>
      </w:pPr>
      <w:r>
        <w:t>9.1 Analysis population</w:t>
      </w:r>
    </w:p>
    <w:p>
      <w:r>
        <w:t>Use the held-out test set. For c ∈ {MI, STTC, CD, HYP}, use all ground-truth-positive records:</w:t>
      </w:r>
    </w:p>
    <w:p>
      <w:pPr>
        <w:pStyle w:val="EquationBlock"/>
      </w:pPr>
      <w:r>
        <w:t>D_c = { i : y_{i,c} = 1 }.</w:t>
      </w:r>
    </w:p>
    <w:p>
      <w:r>
        <w:t>Do not restrict the primary analysis to correctly predicted or high-confidence cases.</w:t>
      </w:r>
    </w:p>
    <w:p>
      <w:pPr>
        <w:pStyle w:val="Heading2"/>
      </w:pPr>
      <w:r>
        <w:t>9.2 R-peak alignment</w:t>
      </w:r>
    </w:p>
    <w:p>
      <w:r>
        <w:t>Detect R-peaks in each 10 s ECG using one fixed detector and a pre-specified quality-control rule. At 500 Hz, 1 sample = 2 ms. Map each valid heartbeat to a common relative-time coordinate with the R-peak at 0 ms.</w:t>
      </w:r>
    </w:p>
    <w:p>
      <w:pPr>
        <w:pStyle w:val="EquationBlock"/>
      </w:pPr>
      <w:r>
        <w:t>Recommended initial analysis range: −300 ms ≤ τ ≤ +600 ms.</w:t>
      </w:r>
    </w:p>
    <w:p>
      <w:r>
        <w:t>Finalize this range from RR-distribution/signal-coverage considerations, not by optimizing the visual appearance of test-set attribution.</w:t>
      </w:r>
    </w:p>
    <w:p>
      <w:pPr>
        <w:pStyle w:val="Heading2"/>
      </w:pPr>
      <w:r>
        <w:t>9.3 Temporal perturbation windows</w:t>
      </w:r>
    </w:p>
    <w:p>
      <w:pPr>
        <w:pStyle w:val="EquationBlock"/>
      </w:pPr>
      <w:r>
        <w:t>Perturbation window W = 20 ms; recommended stride = 10 ms.</w:t>
      </w:r>
    </w:p>
    <w:p>
      <w:r>
        <w:t>Do not confuse W with Δ_Q. Δ_Q defines the quaternion rotation interval; W defines the interpretability perturbation window.</w:t>
      </w:r>
    </w:p>
    <w:p>
      <w:pPr>
        <w:pStyle w:val="Heading2"/>
      </w:pPr>
      <w:r>
        <w:t>9.4 Component-wise temporal perturbation</w:t>
      </w:r>
    </w:p>
    <w:p>
      <w:r>
        <w:t>For disease c and component d ∈ {R,L,Q}, perturb only component d within window W_t, keep the other two branches unchanged, and forward the model again.</w:t>
      </w:r>
    </w:p>
    <w:p>
      <w:pPr>
        <w:pStyle w:val="EquationBlock"/>
      </w:pPr>
      <w:r>
        <w:t>C_i(c,d,t) = z_{i,c} − z̃_{i,c}^{d,t}.</w:t>
      </w:r>
    </w:p>
    <w:p>
      <w:r>
        <w:t>Use logit change as the primary contribution score because probability differences are affected by sigmoid saturation. Interpretation: C&gt;0 means the removed information supported the disease prediction; C≈0 means little influence; C&lt;0 means the original information had a suppressive/opposing contribution. Keep signed values; do not take absolute value for the main heatmap.</w:t>
      </w:r>
    </w:p>
    <w:p>
      <w:pPr>
        <w:pStyle w:val="Heading2"/>
      </w:pPr>
      <w:r>
        <w:t>9.5 Perturbation mechanism</w:t>
      </w:r>
    </w:p>
    <w:p>
      <w:r>
        <w:t>For R and L, use boundary-conditioned local interpolation rather than hard zeroing, to reduce artificial discontinuities.</w:t>
      </w:r>
    </w:p>
    <w:p>
      <w:r>
        <w:t>For Q, do not use ordinary unconstrained component-wise interpolation. Primary perturbation: SLERP/geodesic interpolation between valid boundary quaternions. Robustness check: identity rotation q=[1,0,0,0]. Similar temporal patterns across both perturbations strengthen the interpretation.</w:t>
      </w:r>
    </w:p>
    <w:p>
      <w:pPr>
        <w:pStyle w:val="Heading2"/>
      </w:pPr>
      <w:r>
        <w:t>9.6 Hierarchical aggregation</w:t>
      </w:r>
    </w:p>
    <w:p>
      <w:r>
        <w:t>Avoid treating beats as independent population samples. Aggregate in stages:</w:t>
      </w:r>
    </w:p>
    <w:p>
      <w:pPr>
        <w:pStyle w:val="EquationBlock"/>
      </w:pPr>
      <w:r>
        <w:t>beat → record → patient → disease population.</w:t>
      </w:r>
    </w:p>
    <w:p>
      <w:pPr>
        <w:pStyle w:val="EquationBlock"/>
      </w:pPr>
      <w:r>
        <w:t>C_i(c,d,t) = (1/K_i) Σ_k C_{i,k}(c,d,t),</w:t>
      </w:r>
    </w:p>
    <w:p>
      <w:pPr>
        <w:pStyle w:val="EquationBlock"/>
      </w:pPr>
      <w:r>
        <w:t>C̄_c^d(t) = (1/N_c) Σ_{i∈D_c} C_i(c,d,t).</w:t>
      </w:r>
    </w:p>
    <w:p>
      <w:r>
        <w:t>If a patient has multiple PTB-XL records, patient-level averaging prevents patients with more records from receiving larger statistical weight.</w:t>
      </w:r>
    </w:p>
    <w:p>
      <w:pPr>
        <w:pStyle w:val="Heading2"/>
      </w:pPr>
      <w:r>
        <w:t>9.7 Final heatmap specification</w:t>
      </w:r>
    </w:p>
    <w:p>
      <w:r>
        <w:t>The final tensor is A ∈ R^{4×3×M}: four disease panels (MI, STTC, CD, HYP), three rows per panel (R, L, Q), and M R-peak-aligned temporal bins.</w:t>
      </w:r>
    </w:p>
    <w:p>
      <w:r>
        <w:t>All panels must share the same time axis and the same centered-at-zero diverging color scale. The color value is C̄_c^d(t). Use a symmetric range [−C_max,+C_max] so positive and negative contributions are visually comparable.</w:t>
      </w:r>
    </w:p>
    <w:p>
      <w:r>
        <w:rPr>
          <w:rFonts w:ascii="Courier New" w:hAnsi="Courier New"/>
          <w:sz w:val="17"/>
        </w:rPr>
        <w:t xml:space="preserve">                 Time relative to R-peak (ms)</w:t>
        <w:br/>
        <w:t xml:space="preserve">        -300 -200 -100    0   +100 +200 +300 +400 +500 +600</w:t>
        <w:br/>
        <w:t xml:space="preserve">                          ↑</w:t>
        <w:br/>
        <w:t xml:space="preserve">                       R-peak</w:t>
        <w:br/>
        <w:br/>
        <w:t>MI      R   [ contribution across time ]</w:t>
        <w:br/>
        <w:t xml:space="preserve">        L   [ contribution across time ]</w:t>
        <w:br/>
        <w:t xml:space="preserve">        Q   [ contribution across time ]</w:t>
        <w:br/>
        <w:br/>
        <w:t>STTC    R   [ contribution across time ]</w:t>
        <w:br/>
        <w:t xml:space="preserve">        L   [ contribution across time ]</w:t>
        <w:br/>
        <w:t xml:space="preserve">        Q   [ contribution across time ]</w:t>
        <w:br/>
        <w:br/>
        <w:t>CD      R   [ contribution across time ]</w:t>
        <w:br/>
        <w:t xml:space="preserve">        L   [ contribution across time ]</w:t>
        <w:br/>
        <w:t xml:space="preserve">        Q   [ contribution across time ]</w:t>
        <w:br/>
        <w:br/>
        <w:t>HYP     R   [ contribution across time ]</w:t>
        <w:br/>
        <w:t xml:space="preserve">        L   [ contribution across time ]</w:t>
        <w:br/>
        <w:t xml:space="preserve">        Q   [ contribution across time ]</w:t>
      </w:r>
    </w:p>
    <w:p>
      <w:pPr>
        <w:pStyle w:val="Heading2"/>
      </w:pPr>
      <w:r>
        <w:t>9.8 Uncertainty and robustness</w:t>
      </w:r>
    </w:p>
    <w:p>
      <w:r>
        <w:t>Use patient-level bootstrap 95% confidence intervals for C̄_c^d(t). The main figure can remain a clean heatmap; confidence intervals or significance/stability masks may be placed in supplementary material. Pre-specify perturbation-window robustness (e.g., 10/20/40 ms) and compare Q-SLERP with identity replacement as a sanity check.</w:t>
      </w:r>
    </w:p>
    <w:p>
      <w:pPr>
        <w:pStyle w:val="Heading1"/>
      </w:pPr>
      <w:r>
        <w:t>10. Unified Reporting Metrics Across Experiments</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D9EAF7"/>
          </w:tcPr>
          <w:p>
            <w:r/>
            <w:r>
              <w:rPr>
                <w:rFonts w:ascii="Arial" w:hAnsi="Arial"/>
                <w:b/>
                <w:sz w:val="19"/>
              </w:rPr>
              <w:t>Category</w:t>
            </w:r>
          </w:p>
        </w:tc>
        <w:tc>
          <w:tcPr>
            <w:tcW w:type="dxa" w:w="6912"/>
            <w:vAlign w:val="center"/>
            <w:shd w:fill="D9EAF7"/>
          </w:tcPr>
          <w:p>
            <w:r/>
            <w:r>
              <w:rPr>
                <w:rFonts w:ascii="Arial" w:hAnsi="Arial"/>
                <w:b/>
                <w:sz w:val="19"/>
              </w:rPr>
              <w:t>Recommended metrics</w:t>
            </w:r>
          </w:p>
        </w:tc>
      </w:tr>
      <w:tr>
        <w:tc>
          <w:tcPr>
            <w:tcW w:type="dxa" w:w="2880"/>
            <w:vAlign w:val="center"/>
          </w:tcPr>
          <w:p>
            <w:r/>
            <w:r>
              <w:rPr>
                <w:rFonts w:ascii="Arial" w:hAnsi="Arial"/>
                <w:b w:val="0"/>
                <w:sz w:val="19"/>
              </w:rPr>
              <w:t>Primary discrimination</w:t>
            </w:r>
          </w:p>
        </w:tc>
        <w:tc>
          <w:tcPr>
            <w:tcW w:type="dxa" w:w="6912"/>
            <w:vAlign w:val="center"/>
          </w:tcPr>
          <w:p>
            <w:r/>
            <w:r>
              <w:rPr>
                <w:rFonts w:ascii="Arial" w:hAnsi="Arial"/>
                <w:b w:val="0"/>
                <w:sz w:val="19"/>
              </w:rPr>
              <w:t>Macro AUROC; Macro AUPRC</w:t>
            </w:r>
          </w:p>
        </w:tc>
      </w:tr>
      <w:tr>
        <w:tc>
          <w:tcPr>
            <w:tcW w:type="dxa" w:w="2880"/>
            <w:vAlign w:val="center"/>
          </w:tcPr>
          <w:p>
            <w:r/>
            <w:r>
              <w:rPr>
                <w:rFonts w:ascii="Arial" w:hAnsi="Arial"/>
                <w:b w:val="0"/>
                <w:sz w:val="19"/>
              </w:rPr>
              <w:t>Clinical threshold-dependent</w:t>
            </w:r>
          </w:p>
        </w:tc>
        <w:tc>
          <w:tcPr>
            <w:tcW w:type="dxa" w:w="6912"/>
            <w:vAlign w:val="center"/>
          </w:tcPr>
          <w:p>
            <w:r/>
            <w:r>
              <w:rPr>
                <w:rFonts w:ascii="Arial" w:hAnsi="Arial"/>
                <w:b w:val="0"/>
                <w:sz w:val="19"/>
              </w:rPr>
              <w:t>Macro Sensitivity; Macro Specificity; Macro F1</w:t>
            </w:r>
          </w:p>
        </w:tc>
      </w:tr>
      <w:tr>
        <w:tc>
          <w:tcPr>
            <w:tcW w:type="dxa" w:w="2880"/>
            <w:vAlign w:val="center"/>
          </w:tcPr>
          <w:p>
            <w:r/>
            <w:r>
              <w:rPr>
                <w:rFonts w:ascii="Arial" w:hAnsi="Arial"/>
                <w:b w:val="0"/>
                <w:sz w:val="19"/>
              </w:rPr>
              <w:t>Per-disease</w:t>
            </w:r>
          </w:p>
        </w:tc>
        <w:tc>
          <w:tcPr>
            <w:tcW w:type="dxa" w:w="6912"/>
            <w:vAlign w:val="center"/>
          </w:tcPr>
          <w:p>
            <w:r/>
            <w:r>
              <w:rPr>
                <w:rFonts w:ascii="Arial" w:hAnsi="Arial"/>
                <w:b w:val="0"/>
                <w:sz w:val="19"/>
              </w:rPr>
              <w:t>AUROC_c; AUPRC_c; Sensitivity_c; Specificity_c; F1_c</w:t>
            </w:r>
          </w:p>
        </w:tc>
      </w:tr>
      <w:tr>
        <w:tc>
          <w:tcPr>
            <w:tcW w:type="dxa" w:w="2880"/>
            <w:vAlign w:val="center"/>
          </w:tcPr>
          <w:p>
            <w:r/>
            <w:r>
              <w:rPr>
                <w:rFonts w:ascii="Arial" w:hAnsi="Arial"/>
                <w:b w:val="0"/>
                <w:sz w:val="19"/>
              </w:rPr>
              <w:t>Secondary</w:t>
            </w:r>
          </w:p>
        </w:tc>
        <w:tc>
          <w:tcPr>
            <w:tcW w:type="dxa" w:w="6912"/>
            <w:vAlign w:val="center"/>
          </w:tcPr>
          <w:p>
            <w:r/>
            <w:r>
              <w:rPr>
                <w:rFonts w:ascii="Arial" w:hAnsi="Arial"/>
                <w:b w:val="0"/>
                <w:sz w:val="19"/>
              </w:rPr>
              <w:t>Micro F1; Precision/PPV; NPV; Balanced Accuracy; MCC</w:t>
            </w:r>
          </w:p>
        </w:tc>
      </w:tr>
      <w:tr>
        <w:tc>
          <w:tcPr>
            <w:tcW w:type="dxa" w:w="2880"/>
            <w:vAlign w:val="center"/>
          </w:tcPr>
          <w:p>
            <w:r/>
            <w:r>
              <w:rPr>
                <w:rFonts w:ascii="Arial" w:hAnsi="Arial"/>
                <w:b w:val="0"/>
                <w:sz w:val="19"/>
              </w:rPr>
              <w:t>Efficiency (Exp. 1)</w:t>
            </w:r>
          </w:p>
        </w:tc>
        <w:tc>
          <w:tcPr>
            <w:tcW w:type="dxa" w:w="6912"/>
            <w:vAlign w:val="center"/>
          </w:tcPr>
          <w:p>
            <w:r/>
            <w:r>
              <w:rPr>
                <w:rFonts w:ascii="Arial" w:hAnsi="Arial"/>
                <w:b w:val="0"/>
                <w:sz w:val="19"/>
              </w:rPr>
              <w:t>Params; MACs/FLOPs; inference latency; throughput</w:t>
            </w:r>
          </w:p>
        </w:tc>
      </w:tr>
    </w:tbl>
    <w:p/>
    <w:p>
      <w:r>
        <w:t>Use the same validation-derived thresholding rule across all models when reporting threshold-dependent metrics. Do not optimize thresholds on the test set.</w:t>
      </w:r>
    </w:p>
    <w:p>
      <w:pPr>
        <w:pStyle w:val="Heading1"/>
      </w:pPr>
      <w:r>
        <w:t>11. Frozen Experimental Sequence</w:t>
      </w:r>
    </w:p>
    <w:tbl>
      <w:tblPr>
        <w:tblStyle w:val="TableGrid"/>
        <w:tblW w:type="auto" w:w="0"/>
        <w:jc w:val="center"/>
        <w:tblLook w:firstColumn="1" w:firstRow="1" w:lastColumn="0" w:lastRow="0" w:noHBand="0" w:noVBand="1" w:val="04A0"/>
      </w:tblPr>
      <w:tblGrid>
        <w:gridCol w:w="5083"/>
        <w:gridCol w:w="5083"/>
      </w:tblGrid>
      <w:tr>
        <w:tc>
          <w:tcPr>
            <w:tcW w:type="dxa" w:w="3168"/>
            <w:vAlign w:val="center"/>
            <w:shd w:fill="D9EAF7"/>
          </w:tcPr>
          <w:p>
            <w:r/>
            <w:r>
              <w:rPr>
                <w:rFonts w:ascii="Arial" w:hAnsi="Arial"/>
                <w:b/>
                <w:sz w:val="19"/>
              </w:rPr>
              <w:t>Stage</w:t>
            </w:r>
          </w:p>
        </w:tc>
        <w:tc>
          <w:tcPr>
            <w:tcW w:type="dxa" w:w="6624"/>
            <w:vAlign w:val="center"/>
            <w:shd w:fill="D9EAF7"/>
          </w:tcPr>
          <w:p>
            <w:r/>
            <w:r>
              <w:rPr>
                <w:rFonts w:ascii="Arial" w:hAnsi="Arial"/>
                <w:b/>
                <w:sz w:val="19"/>
              </w:rPr>
              <w:t>Purpose / comparison</w:t>
            </w:r>
          </w:p>
        </w:tc>
      </w:tr>
      <w:tr>
        <w:tc>
          <w:tcPr>
            <w:tcW w:type="dxa" w:w="3168"/>
            <w:vAlign w:val="center"/>
          </w:tcPr>
          <w:p>
            <w:r/>
            <w:r>
              <w:rPr>
                <w:rFonts w:ascii="Arial" w:hAnsi="Arial"/>
                <w:b w:val="0"/>
                <w:sz w:val="19"/>
              </w:rPr>
              <w:t>Exp. 1 — Temporal Encoder Benchmark</w:t>
            </w:r>
          </w:p>
        </w:tc>
        <w:tc>
          <w:tcPr>
            <w:tcW w:type="dxa" w:w="6624"/>
            <w:vAlign w:val="center"/>
          </w:tcPr>
          <w:p>
            <w:r/>
            <w:r>
              <w:rPr>
                <w:rFonts w:ascii="Arial" w:hAnsi="Arial"/>
                <w:b w:val="0"/>
                <w:sz w:val="19"/>
              </w:rPr>
              <w:t>LSTM / GRU / LSTM+Attention / TCN / TCN+Attention / Transformer / QLSTM / QTCN / Q-Transformer / QGNN → select E*.</w:t>
            </w:r>
          </w:p>
        </w:tc>
      </w:tr>
      <w:tr>
        <w:tc>
          <w:tcPr>
            <w:tcW w:type="dxa" w:w="3168"/>
            <w:vAlign w:val="center"/>
          </w:tcPr>
          <w:p>
            <w:r/>
            <w:r>
              <w:rPr>
                <w:rFonts w:ascii="Arial" w:hAnsi="Arial"/>
                <w:b w:val="0"/>
                <w:sz w:val="19"/>
              </w:rPr>
              <w:t>Exp. 2 — R/L/Q Component Ablation</w:t>
            </w:r>
          </w:p>
        </w:tc>
        <w:tc>
          <w:tcPr>
            <w:tcW w:type="dxa" w:w="6624"/>
            <w:vAlign w:val="center"/>
          </w:tcPr>
          <w:p>
            <w:r/>
            <w:r>
              <w:rPr>
                <w:rFonts w:ascii="Arial" w:hAnsi="Arial"/>
                <w:b w:val="0"/>
                <w:sz w:val="19"/>
              </w:rPr>
              <w:t>R, L, Q, RL, RQ, LQ, RLQ + Raw XYZ reference.</w:t>
            </w:r>
          </w:p>
        </w:tc>
      </w:tr>
      <w:tr>
        <w:tc>
          <w:tcPr>
            <w:tcW w:type="dxa" w:w="3168"/>
            <w:vAlign w:val="center"/>
          </w:tcPr>
          <w:p>
            <w:r/>
            <w:r>
              <w:rPr>
                <w:rFonts w:ascii="Arial" w:hAnsi="Arial"/>
                <w:b w:val="0"/>
                <w:sz w:val="19"/>
              </w:rPr>
              <w:t>Exp. 3 — Angular Representation</w:t>
            </w:r>
          </w:p>
        </w:tc>
        <w:tc>
          <w:tcPr>
            <w:tcW w:type="dxa" w:w="6624"/>
            <w:vAlign w:val="center"/>
          </w:tcPr>
          <w:p>
            <w:r/>
            <w:r>
              <w:rPr>
                <w:rFonts w:ascii="Arial" w:hAnsi="Arial"/>
                <w:b w:val="0"/>
                <w:sz w:val="19"/>
              </w:rPr>
              <w:t>R+L+U vs R+L+Dot/Cross vs R+L+Rotation Quaternion.</w:t>
            </w:r>
          </w:p>
        </w:tc>
      </w:tr>
      <w:tr>
        <w:tc>
          <w:tcPr>
            <w:tcW w:type="dxa" w:w="3168"/>
            <w:vAlign w:val="center"/>
          </w:tcPr>
          <w:p>
            <w:r/>
            <w:r>
              <w:rPr>
                <w:rFonts w:ascii="Arial" w:hAnsi="Arial"/>
                <w:b w:val="0"/>
                <w:sz w:val="19"/>
              </w:rPr>
              <w:t>Exp. 4 — Temporal Context</w:t>
            </w:r>
          </w:p>
        </w:tc>
        <w:tc>
          <w:tcPr>
            <w:tcW w:type="dxa" w:w="6624"/>
            <w:vAlign w:val="center"/>
          </w:tcPr>
          <w:p>
            <w:r/>
            <w:r>
              <w:rPr>
                <w:rFonts w:ascii="Arial" w:hAnsi="Arial"/>
                <w:b w:val="0"/>
                <w:sz w:val="19"/>
              </w:rPr>
              <w:t>Local → phase-scale → cycle-scale receptive fields.</w:t>
            </w:r>
          </w:p>
        </w:tc>
      </w:tr>
      <w:tr>
        <w:tc>
          <w:tcPr>
            <w:tcW w:type="dxa" w:w="3168"/>
            <w:vAlign w:val="center"/>
          </w:tcPr>
          <w:p>
            <w:r/>
            <w:r>
              <w:rPr>
                <w:rFonts w:ascii="Arial" w:hAnsi="Arial"/>
                <w:b w:val="0"/>
                <w:sz w:val="19"/>
              </w:rPr>
              <w:t>Exp. 5 — Handcrafted vs Learned</w:t>
            </w:r>
          </w:p>
        </w:tc>
        <w:tc>
          <w:tcPr>
            <w:tcW w:type="dxa" w:w="6624"/>
            <w:vAlign w:val="center"/>
          </w:tcPr>
          <w:p>
            <w:r/>
            <w:r>
              <w:rPr>
                <w:rFonts w:ascii="Arial" w:hAnsi="Arial"/>
                <w:b w:val="0"/>
                <w:sz w:val="19"/>
              </w:rPr>
              <w:t>Statistical aggregation vs Cruces-2016-inspired velocity summary vs Cruces-2020 dynamic biomarkers vs Proposed vs Proposed+Handcrafted.</w:t>
            </w:r>
          </w:p>
        </w:tc>
      </w:tr>
      <w:tr>
        <w:tc>
          <w:tcPr>
            <w:tcW w:type="dxa" w:w="3168"/>
            <w:vAlign w:val="center"/>
          </w:tcPr>
          <w:p>
            <w:r/>
            <w:r>
              <w:rPr>
                <w:rFonts w:ascii="Arial" w:hAnsi="Arial"/>
                <w:b w:val="0"/>
                <w:sz w:val="19"/>
              </w:rPr>
              <w:t>Exp. 6 — Local/Long Information</w:t>
            </w:r>
          </w:p>
        </w:tc>
        <w:tc>
          <w:tcPr>
            <w:tcW w:type="dxa" w:w="6624"/>
            <w:vAlign w:val="center"/>
          </w:tcPr>
          <w:p>
            <w:r/>
            <w:r>
              <w:rPr>
                <w:rFonts w:ascii="Arial" w:hAnsi="Arial"/>
                <w:b w:val="0"/>
                <w:sz w:val="19"/>
              </w:rPr>
              <w:t>Local-only vs Long-context-only vs Local+Long; required for the stronger multi-scale integration claim.</w:t>
            </w:r>
          </w:p>
        </w:tc>
      </w:tr>
      <w:tr>
        <w:tc>
          <w:tcPr>
            <w:tcW w:type="dxa" w:w="3168"/>
            <w:vAlign w:val="center"/>
          </w:tcPr>
          <w:p>
            <w:r/>
            <w:r>
              <w:rPr>
                <w:rFonts w:ascii="Arial" w:hAnsi="Arial"/>
                <w:b w:val="0"/>
                <w:sz w:val="19"/>
              </w:rPr>
              <w:t>Exp. 7 — Temporal Ordering</w:t>
            </w:r>
          </w:p>
        </w:tc>
        <w:tc>
          <w:tcPr>
            <w:tcW w:type="dxa" w:w="6624"/>
            <w:vAlign w:val="center"/>
          </w:tcPr>
          <w:p>
            <w:r/>
            <w:r>
              <w:rPr>
                <w:rFonts w:ascii="Arial" w:hAnsi="Arial"/>
                <w:b w:val="0"/>
                <w:sz w:val="19"/>
              </w:rPr>
              <w:t>Original vs block shuffle vs full shuffle; include Q-only and synchronized joint R/L/Q conditions.</w:t>
            </w:r>
          </w:p>
        </w:tc>
      </w:tr>
      <w:tr>
        <w:tc>
          <w:tcPr>
            <w:tcW w:type="dxa" w:w="3168"/>
            <w:vAlign w:val="center"/>
          </w:tcPr>
          <w:p>
            <w:r/>
            <w:r>
              <w:rPr>
                <w:rFonts w:ascii="Arial" w:hAnsi="Arial"/>
                <w:b w:val="0"/>
                <w:sz w:val="19"/>
              </w:rPr>
              <w:t>Interpretability</w:t>
            </w:r>
          </w:p>
        </w:tc>
        <w:tc>
          <w:tcPr>
            <w:tcW w:type="dxa" w:w="6624"/>
            <w:vAlign w:val="center"/>
          </w:tcPr>
          <w:p>
            <w:r/>
            <w:r>
              <w:rPr>
                <w:rFonts w:ascii="Arial" w:hAnsi="Arial"/>
                <w:b w:val="0"/>
                <w:sz w:val="19"/>
              </w:rPr>
              <w:t>Disease × R/L/Q × R-peak-aligned-time component-wise perturbation heatmap only.</w:t>
            </w:r>
          </w:p>
        </w:tc>
      </w:tr>
    </w:tbl>
    <w:p/>
    <w:p>
      <w:r>
        <w:t>The complete logic is: choose the temporal backbone → test R/L/Q complementarity → test angular representation → test temporal-context scale → compare predefined compression with learned sequence dynamics → test local/long information and temporal ordering → localize disease-specific R/L/Q contributions over R-peak-aligned time.</w:t>
      </w:r>
    </w:p>
    <w:p>
      <w:pPr>
        <w:pStyle w:val="Heading1"/>
      </w:pPr>
      <w:r>
        <w:t>12. Claim Boundaries to Preserve</w:t>
      </w:r>
    </w:p>
    <w:p>
      <w:pPr>
        <w:pStyle w:val="ListBullet"/>
      </w:pPr>
      <w:r>
        <w:t>Do not claim that prior quaternion-VCG work never used temporal information; prior work derived angular velocity, temporal/phase biomarkers, and in some cases temporal neural processing.</w:t>
      </w:r>
    </w:p>
    <w:p>
      <w:pPr>
        <w:pStyle w:val="ListBullet"/>
      </w:pPr>
      <w:r>
        <w:t>Do not claim that constructing a quaternion sequence from VCG is itself novel.</w:t>
      </w:r>
    </w:p>
    <w:p>
      <w:pPr>
        <w:pStyle w:val="ListBullet"/>
      </w:pPr>
      <w:r>
        <w:t>Do not claim that Q contains more raw information than the dot/cross representation; emphasize representation geometry/parameterization and empirical utility.</w:t>
      </w:r>
    </w:p>
    <w:p>
      <w:pPr>
        <w:pStyle w:val="ListBullet"/>
      </w:pPr>
      <w:r>
        <w:t>Use “long-context temporal modeling” unless Experiment 6 directly supports the stronger claim of integrating local and long-range dynamics.</w:t>
      </w:r>
    </w:p>
    <w:p>
      <w:pPr>
        <w:pStyle w:val="ListBullet"/>
      </w:pPr>
      <w:r>
        <w:t>If quaternion-specific temporal operators do not outperform generic encoders, frame the result as evidence that quaternion value arises primarily from representation rather than quaternion-specific temporal computation.</w:t>
      </w:r>
    </w:p>
    <w:p>
      <w:pPr>
        <w:pStyle w:val="Heading1"/>
      </w:pPr>
      <w:r>
        <w:t>13. Literature-derived Baselines Referenced in This Plan</w:t>
      </w:r>
    </w:p>
    <w:p>
      <w:r>
        <w:t>Cruces, P. D. &amp; Arini, P. D. (2016). A novel method for cardiac vector velocity measurement: Evaluation in myocardial infarction. Biomedical Signal Processing and Control, 28, 58–62.</w:t>
      </w:r>
    </w:p>
    <w:p>
      <w:r>
        <w:t>Cruces, P. D., Torkar, G., &amp; Arini, P. D. (2020). Dynamic features of cardiac vector as alternative markers of drug-induced spatial dispersion. Journal of Pharmacological and Toxicological Methods, 104, 106894.</w:t>
      </w:r>
    </w:p>
    <w:p>
      <w:r>
        <w:t>These papers are used here as literature-derived handcrafted/biomarker baselines. Exact replication claims should be made only when the implementation follows the original definitions and experimental conditions sufficiently closely; otherwise use “inspired by” or “reimplemented on PTB-XL.”</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Block">
    <w:name w:val="EquationBlock"/>
    <w:pPr>
      <w:spacing w:before="60" w:after="120"/>
      <w:jc w:val="center"/>
    </w:pPr>
    <w:rPr>
      <w:rFonts w:ascii="Cambria Math" w:hAnsi="Cambria Math"/>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