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STC-47</w:t>
      </w:r>
    </w:p>
    <w:p>
      <w:r>
        <w:t>Data emiterii/Date of issue: 21/07/2024 15:22</w:t>
      </w:r>
    </w:p>
    <w:p>
      <w:r>
        <w:t>Data livrarii/Date of delivery: 21/07/2024 15:22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43.85</w:t>
            </w:r>
          </w:p>
        </w:tc>
        <w:tc>
          <w:tcPr>
            <w:tcW w:type="dxa" w:w="1234"/>
          </w:tcPr>
          <w:p>
            <w:r>
              <w:t>36.48</w:t>
            </w:r>
          </w:p>
        </w:tc>
        <w:tc>
          <w:tcPr>
            <w:tcW w:type="dxa" w:w="1234"/>
          </w:tcPr>
          <w:p>
            <w:r>
              <w:t>6.93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43.41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