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FAIR</w:t>
      </w:r>
    </w:p>
    <w:p>
      <w:pPr>
        <w:jc w:val="center"/>
      </w:pPr>
      <w:r>
        <w:rPr>
          <w:b/>
          <w:color w:val="2F5597"/>
          <w:sz w:val="40"/>
        </w:rPr>
        <w:t>Free AI Router</w:t>
      </w:r>
    </w:p>
    <w:p>
      <w:pPr>
        <w:jc w:val="center"/>
      </w:pPr>
      <w:r>
        <w:rPr>
          <w:b/>
          <w:sz w:val="30"/>
        </w:rPr>
        <w:t>Product Design Requirements (PDR)</w:t>
      </w:r>
    </w:p>
    <w:p>
      <w:pPr>
        <w:jc w:val="center"/>
      </w:pPr>
      <w:r>
        <w:rPr>
          <w:i/>
        </w:rPr>
        <w:t>Version 1.0  |  8 September 2026</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Purpose</w:t>
            </w:r>
          </w:p>
        </w:tc>
        <w:tc>
          <w:tcPr>
            <w:tcW w:type="dxa" w:w="5040"/>
            <w:vAlign w:val="center"/>
          </w:tcPr>
          <w:p>
            <w:r>
              <w:t>Governed task-aware routing across legitimate free AI resources, with quality rejection and host-paid escalation.</w:t>
            </w:r>
          </w:p>
        </w:tc>
      </w:tr>
      <w:tr>
        <w:tc>
          <w:tcPr>
            <w:tcW w:type="dxa" w:w="5040"/>
            <w:vAlign w:val="center"/>
          </w:tcPr>
          <w:p>
            <w:r>
              <w:rPr>
                <w:b/>
              </w:rPr>
              <w:t>Core invariant</w:t>
            </w:r>
          </w:p>
        </w:tc>
        <w:tc>
          <w:tcPr>
            <w:tcW w:type="dxa" w:w="5040"/>
            <w:vAlign w:val="center"/>
          </w:tcPr>
          <w:p>
            <w:r>
              <w:t>FAIR inference spend = US$0.00.</w:t>
            </w:r>
          </w:p>
        </w:tc>
      </w:tr>
      <w:tr>
        <w:tc>
          <w:tcPr>
            <w:tcW w:type="dxa" w:w="5040"/>
            <w:vAlign w:val="center"/>
          </w:tcPr>
          <w:p>
            <w:r>
              <w:rPr>
                <w:b/>
              </w:rPr>
              <w:t>Primary deployment</w:t>
            </w:r>
          </w:p>
        </w:tc>
        <w:tc>
          <w:tcPr>
            <w:tcW w:type="dxa" w:w="5040"/>
            <w:vAlign w:val="center"/>
          </w:tcPr>
          <w:p>
            <w:r>
              <w:t>Reusable service/skill embedded in another application or agent system.</w:t>
            </w:r>
          </w:p>
        </w:tc>
      </w:tr>
      <w:tr>
        <w:tc>
          <w:tcPr>
            <w:tcW w:type="dxa" w:w="5040"/>
            <w:vAlign w:val="center"/>
          </w:tcPr>
          <w:p>
            <w:r>
              <w:rPr>
                <w:b/>
              </w:rPr>
              <w:t>Source basis</w:t>
            </w:r>
          </w:p>
        </w:tc>
        <w:tc>
          <w:tcPr>
            <w:tcW w:type="dxa" w:w="5040"/>
            <w:vAlign w:val="center"/>
          </w:tcPr>
          <w:p>
            <w:r>
              <w:t>FAIR specification + provider seed + ASVS roadmap and Sprint 0–3 skeletons; ASVS used only as donor architecture/code.</w:t>
            </w:r>
          </w:p>
        </w:tc>
      </w:tr>
    </w:tbl>
    <w:p>
      <w:r>
        <w:br w:type="page"/>
      </w:r>
    </w:p>
    <w:p>
      <w:pPr>
        <w:pStyle w:val="Heading1"/>
      </w:pPr>
      <w:r>
        <w:t>Executive Decision</w:t>
      </w:r>
    </w:p>
    <w:p>
      <w:r>
        <w:rPr>
          <w:b/>
        </w:rPr>
        <w:t xml:space="preserve">Build FAIR as a clean standalone product, not as a renamed ASVS system. </w:t>
      </w:r>
      <w:r>
        <w:t>Reuse only the tested routing, quota-governor, scheduler, security-boundary, API/database, and testing patterns. Discard financial, venture, payment, survival, and agent-runtime modules.</w:t>
      </w:r>
    </w:p>
    <w:p>
      <w:pPr>
        <w:pStyle w:val="Heading1"/>
      </w:pPr>
      <w:r>
        <w:t>ASVS Reuse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ASVS asset</w:t>
            </w:r>
          </w:p>
        </w:tc>
        <w:tc>
          <w:tcPr>
            <w:tcW w:type="dxa" w:w="2520"/>
          </w:tcPr>
          <w:p>
            <w:r>
              <w:rPr>
                <w:b/>
              </w:rPr>
              <w:t>Decision</w:t>
            </w:r>
          </w:p>
        </w:tc>
        <w:tc>
          <w:tcPr>
            <w:tcW w:type="dxa" w:w="2520"/>
          </w:tcPr>
          <w:p>
            <w:r>
              <w:rPr>
                <w:b/>
              </w:rPr>
              <w:t>FAIR replacement/use</w:t>
            </w:r>
          </w:p>
        </w:tc>
        <w:tc>
          <w:tcPr>
            <w:tcW w:type="dxa" w:w="2520"/>
          </w:tcPr>
          <w:p>
            <w:r>
              <w:rPr>
                <w:b/>
              </w:rPr>
              <w:t>Reason</w:t>
            </w:r>
          </w:p>
        </w:tc>
      </w:tr>
      <w:tr>
        <w:tc>
          <w:tcPr>
            <w:tcW w:type="dxa" w:w="2520"/>
          </w:tcPr>
          <w:p>
            <w:r>
              <w:t>Intelligence router</w:t>
            </w:r>
          </w:p>
        </w:tc>
        <w:tc>
          <w:tcPr>
            <w:tcW w:type="dxa" w:w="2520"/>
          </w:tcPr>
          <w:p>
            <w:r>
              <w:t>ADAPT</w:t>
            </w:r>
          </w:p>
        </w:tc>
        <w:tc>
          <w:tcPr>
            <w:tcW w:type="dxa" w:w="2520"/>
          </w:tcPr>
          <w:p>
            <w:r>
              <w:t>FAIR orchestrator + selector</w:t>
            </w:r>
          </w:p>
        </w:tc>
        <w:tc>
          <w:tcPr>
            <w:tcW w:type="dxa" w:w="2520"/>
          </w:tcPr>
          <w:p>
            <w:r>
              <w:t>Good dispatch/fallback structure; current tier/cost logic is ASVS-specific.</w:t>
            </w:r>
          </w:p>
        </w:tc>
      </w:tr>
      <w:tr>
        <w:tc>
          <w:tcPr>
            <w:tcW w:type="dxa" w:w="2520"/>
          </w:tcPr>
          <w:p>
            <w:r>
              <w:t>Provider registry</w:t>
            </w:r>
          </w:p>
        </w:tc>
        <w:tc>
          <w:tcPr>
            <w:tcW w:type="dxa" w:w="2520"/>
          </w:tcPr>
          <w:p>
            <w:r>
              <w:t>ADAPT</w:t>
            </w:r>
          </w:p>
        </w:tc>
        <w:tc>
          <w:tcPr>
            <w:tcW w:type="dxa" w:w="2520"/>
          </w:tcPr>
          <w:p>
            <w:r>
              <w:t>Terms-aware free-provider registry</w:t>
            </w:r>
          </w:p>
        </w:tc>
        <w:tc>
          <w:tcPr>
            <w:tcW w:type="dxa" w:w="2520"/>
          </w:tcPr>
          <w:p>
            <w:r>
              <w:t>Good structural admission pattern; schema needs quotas/capabilities/quality/privacy.</w:t>
            </w:r>
          </w:p>
        </w:tc>
      </w:tr>
      <w:tr>
        <w:tc>
          <w:tcPr>
            <w:tcW w:type="dxa" w:w="2520"/>
          </w:tcPr>
          <w:p>
            <w:r>
              <w:t>AI budget governor</w:t>
            </w:r>
          </w:p>
        </w:tc>
        <w:tc>
          <w:tcPr>
            <w:tcW w:type="dxa" w:w="2520"/>
          </w:tcPr>
          <w:p>
            <w:r>
              <w:t>REWRITE CONCEPT</w:t>
            </w:r>
          </w:p>
        </w:tc>
        <w:tc>
          <w:tcPr>
            <w:tcW w:type="dxa" w:w="2520"/>
          </w:tcPr>
          <w:p>
            <w:r>
              <w:t>Quota &amp; rate-limit governor</w:t>
            </w:r>
          </w:p>
        </w:tc>
        <w:tc>
          <w:tcPr>
            <w:tcW w:type="dxa" w:w="2520"/>
          </w:tcPr>
          <w:p>
            <w:r>
              <w:t>Keep deterministic enforcement; replace dollars with free-resource state.</w:t>
            </w:r>
          </w:p>
        </w:tc>
      </w:tr>
      <w:tr>
        <w:tc>
          <w:tcPr>
            <w:tcW w:type="dxa" w:w="2520"/>
          </w:tcPr>
          <w:p>
            <w:r>
              <w:t>Usage scheduler</w:t>
            </w:r>
          </w:p>
        </w:tc>
        <w:tc>
          <w:tcPr>
            <w:tcW w:type="dxa" w:w="2520"/>
          </w:tcPr>
          <w:p>
            <w:r>
              <w:t>KEEP/GENERALIZE</w:t>
            </w:r>
          </w:p>
        </w:tc>
        <w:tc>
          <w:tcPr>
            <w:tcW w:type="dxa" w:w="2520"/>
          </w:tcPr>
          <w:p>
            <w:r>
              <w:t>Client/workspace priority + round robin</w:t>
            </w:r>
          </w:p>
        </w:tc>
        <w:tc>
          <w:tcPr>
            <w:tcW w:type="dxa" w:w="2520"/>
          </w:tcPr>
          <w:p>
            <w:r>
              <w:t>Existing fairness algorithm is reusable and tested.</w:t>
            </w:r>
          </w:p>
        </w:tc>
      </w:tr>
      <w:tr>
        <w:tc>
          <w:tcPr>
            <w:tcW w:type="dxa" w:w="2520"/>
          </w:tcPr>
          <w:p>
            <w:r>
              <w:t>Tool gateway</w:t>
            </w:r>
          </w:p>
        </w:tc>
        <w:tc>
          <w:tcPr>
            <w:tcW w:type="dxa" w:w="2520"/>
          </w:tcPr>
          <w:p>
            <w:r>
              <w:t>KEEP PATTERN</w:t>
            </w:r>
          </w:p>
        </w:tc>
        <w:tc>
          <w:tcPr>
            <w:tcW w:type="dxa" w:w="2520"/>
          </w:tcPr>
          <w:p>
            <w:r>
              <w:t>Credential boundary / optional retrieval capability</w:t>
            </w:r>
          </w:p>
        </w:tc>
        <w:tc>
          <w:tcPr>
            <w:tcW w:type="dxa" w:w="2520"/>
          </w:tcPr>
          <w:p>
            <w:r>
              <w:t>Short-lived scope, allowlists, no secret field, untrusted-content isolation.</w:t>
            </w:r>
          </w:p>
        </w:tc>
      </w:tr>
      <w:tr>
        <w:tc>
          <w:tcPr>
            <w:tcW w:type="dxa" w:w="2520"/>
          </w:tcPr>
          <w:p>
            <w:r>
              <w:t>Agent isolation</w:t>
            </w:r>
          </w:p>
        </w:tc>
        <w:tc>
          <w:tcPr>
            <w:tcW w:type="dxa" w:w="2520"/>
          </w:tcPr>
          <w:p>
            <w:r>
              <w:t>KEEP PATTERN</w:t>
            </w:r>
          </w:p>
        </w:tc>
        <w:tc>
          <w:tcPr>
            <w:tcW w:type="dxa" w:w="2520"/>
          </w:tcPr>
          <w:p>
            <w:r>
              <w:t>Client/workspace isolation</w:t>
            </w:r>
          </w:p>
        </w:tc>
        <w:tc>
          <w:tcPr>
            <w:tcW w:type="dxa" w:w="2520"/>
          </w:tcPr>
          <w:p>
            <w:r>
              <w:t>Default-deny cross-client data access is useful.</w:t>
            </w:r>
          </w:p>
        </w:tc>
      </w:tr>
      <w:tr>
        <w:tc>
          <w:tcPr>
            <w:tcW w:type="dxa" w:w="2520"/>
          </w:tcPr>
          <w:p>
            <w:r>
              <w:t>FastAPI/SQLAlchemy/tests/Docker</w:t>
            </w:r>
          </w:p>
        </w:tc>
        <w:tc>
          <w:tcPr>
            <w:tcW w:type="dxa" w:w="2520"/>
          </w:tcPr>
          <w:p>
            <w:r>
              <w:t>KEEP STRUCTURE</w:t>
            </w:r>
          </w:p>
        </w:tc>
        <w:tc>
          <w:tcPr>
            <w:tcW w:type="dxa" w:w="2520"/>
          </w:tcPr>
          <w:p>
            <w:r>
              <w:t>FAIR service scaffold</w:t>
            </w:r>
          </w:p>
        </w:tc>
        <w:tc>
          <w:tcPr>
            <w:tcW w:type="dxa" w:w="2520"/>
          </w:tcPr>
          <w:p>
            <w:r>
              <w:t>Useful generic engineering scaffold.</w:t>
            </w:r>
          </w:p>
        </w:tc>
      </w:tr>
      <w:tr>
        <w:tc>
          <w:tcPr>
            <w:tcW w:type="dxa" w:w="2520"/>
          </w:tcPr>
          <w:p>
            <w:r>
              <w:t>Financial governor / ledger / money</w:t>
            </w:r>
          </w:p>
        </w:tc>
        <w:tc>
          <w:tcPr>
            <w:tcW w:type="dxa" w:w="2520"/>
          </w:tcPr>
          <w:p>
            <w:r>
              <w:t>DISCARD</w:t>
            </w:r>
          </w:p>
        </w:tc>
        <w:tc>
          <w:tcPr>
            <w:tcW w:type="dxa" w:w="2520"/>
          </w:tcPr>
          <w:p>
            <w:r>
              <w:t>None</w:t>
            </w:r>
          </w:p>
        </w:tc>
        <w:tc>
          <w:tcPr>
            <w:tcW w:type="dxa" w:w="2520"/>
          </w:tcPr>
          <w:p>
            <w:r>
              <w:t>Not part of a free AI router.</w:t>
            </w:r>
          </w:p>
        </w:tc>
      </w:tr>
      <w:tr>
        <w:tc>
          <w:tcPr>
            <w:tcW w:type="dxa" w:w="2520"/>
          </w:tcPr>
          <w:p>
            <w:r>
              <w:t>Payments / PayWise</w:t>
            </w:r>
          </w:p>
        </w:tc>
        <w:tc>
          <w:tcPr>
            <w:tcW w:type="dxa" w:w="2520"/>
          </w:tcPr>
          <w:p>
            <w:r>
              <w:t>DISCARD</w:t>
            </w:r>
          </w:p>
        </w:tc>
        <w:tc>
          <w:tcPr>
            <w:tcW w:type="dxa" w:w="2520"/>
          </w:tcPr>
          <w:p>
            <w:r>
              <w:t>None</w:t>
            </w:r>
          </w:p>
        </w:tc>
        <w:tc>
          <w:tcPr>
            <w:tcW w:type="dxa" w:w="2520"/>
          </w:tcPr>
          <w:p>
            <w:r>
              <w:t>No financial execution in FAIR.</w:t>
            </w:r>
          </w:p>
        </w:tc>
      </w:tr>
      <w:tr>
        <w:tc>
          <w:tcPr>
            <w:tcW w:type="dxa" w:w="2520"/>
          </w:tcPr>
          <w:p>
            <w:r>
              <w:t>Opportunity / experiment / strategy / Hermes profiles</w:t>
            </w:r>
          </w:p>
        </w:tc>
        <w:tc>
          <w:tcPr>
            <w:tcW w:type="dxa" w:w="2520"/>
          </w:tcPr>
          <w:p>
            <w:r>
              <w:t>DISCARD</w:t>
            </w:r>
          </w:p>
        </w:tc>
        <w:tc>
          <w:tcPr>
            <w:tcW w:type="dxa" w:w="2520"/>
          </w:tcPr>
          <w:p>
            <w:r>
              <w:t>None</w:t>
            </w:r>
          </w:p>
        </w:tc>
        <w:tc>
          <w:tcPr>
            <w:tcW w:type="dxa" w:w="2520"/>
          </w:tcPr>
          <w:p>
            <w:r>
              <w:t>Venture-agent domain; FAIR is infrastructure.</w:t>
            </w:r>
          </w:p>
        </w:tc>
      </w:tr>
      <w:tr>
        <w:tc>
          <w:tcPr>
            <w:tcW w:type="dxa" w:w="2520"/>
          </w:tcPr>
          <w:p>
            <w:r>
              <w:t>Book A/Book B / capital / survival / merit</w:t>
            </w:r>
          </w:p>
        </w:tc>
        <w:tc>
          <w:tcPr>
            <w:tcW w:type="dxa" w:w="2520"/>
          </w:tcPr>
          <w:p>
            <w:r>
              <w:t>DISCARD</w:t>
            </w:r>
          </w:p>
        </w:tc>
        <w:tc>
          <w:tcPr>
            <w:tcW w:type="dxa" w:w="2520"/>
          </w:tcPr>
          <w:p>
            <w:r>
              <w:t>None</w:t>
            </w:r>
          </w:p>
        </w:tc>
        <w:tc>
          <w:tcPr>
            <w:tcW w:type="dxa" w:w="2520"/>
          </w:tcPr>
          <w:p>
            <w:r>
              <w:t>Wrong product domain.</w:t>
            </w:r>
          </w:p>
        </w:tc>
      </w:tr>
    </w:tbl>
    <w:p>
      <w:pPr>
        <w:pStyle w:val="Heading1"/>
      </w:pPr>
      <w:r>
        <w:t>1. Product Summary</w:t>
      </w:r>
    </w:p>
    <w:p>
      <w:r>
        <w:t>FAIR (Free AI Router) is a reusable governed AI-routing layer that allows an application, agent framework, or software service to use legitimate zero-cost AI capacity intelligently. FAIR does not select one “best” model globally. It profiles each task, identifies the capabilities required, checks which free providers and models are currently eligible and available, selects the strongest suitable route based on measured task-specific performance, evaluates the response, and changes models when quality or quota conditions require it.</w:t>
      </w:r>
    </w:p>
    <w:p>
      <w:r>
        <w:t>FAIR itself must never spend money on inference. A host application may separately use paid AI for high-level or high-criticality work, but paid inference remains outside FAIR and is controlled by a separate host-owned Paid Intelligence Governor. FAIR can return a structured ESCALATION_REQUIRED result when free models cannot meet the required quality threshold.</w:t>
      </w:r>
    </w:p>
    <w:p>
      <w:pPr>
        <w:pStyle w:val="Heading1"/>
      </w:pPr>
      <w:r>
        <w:t>2. Problem Statement</w:t>
      </w:r>
    </w:p>
    <w:p>
      <w:r>
        <w:t>Applications that rely on free AI tiers face four recurring problems: provider limits change; different models perform very differently by task; a successful API response does not guarantee a correct answer; and a naive fallback chain can either exhaust quotas or return hallucinated content. Developers also tend to hard-code provider order and pricing assumptions, which becomes stale quickly.</w:t>
      </w:r>
    </w:p>
    <w:p>
      <w:r>
        <w:t>FAIR solves this by separating task classification, provider eligibility, quota state, model performance, quality validation, and paid escalation into governed components. The host application asks FAIR for an answer; FAIR decides which free route is appropriate and whether the result is acceptable.</w:t>
      </w:r>
    </w:p>
    <w:p>
      <w:pPr>
        <w:pStyle w:val="Heading1"/>
      </w:pPr>
      <w:r>
        <w:t>3. Product Goals</w:t>
      </w:r>
    </w:p>
    <w:p>
      <w:r>
        <w:t>FAIR must: (1) preserve a hard zero-inference-spend invariant inside the FAIR core; (2) select models by task suitability rather than brand preference; (3) refuse poor, ungrounded, hallucinated, structurally invalid, or materially contradictory answers; (4) automatically move to another free provider when rate limits, quotas, outages, or quality failures occur; (5) learn from observed performance and continuously improve routing; (6) expose a clean API/SDK so FAIR can be embedded inside another application; (7) provide a structured escalation boundary to a host-controlled paid-intelligence layer; and (8) preserve auditability, credential isolation, provider terms status, privacy controls, and operator kill switches.</w:t>
      </w:r>
    </w:p>
    <w:p>
      <w:pPr>
        <w:pStyle w:val="Heading1"/>
      </w:pPr>
      <w:r>
        <w:t>4. Non-Goals</w:t>
      </w:r>
    </w:p>
    <w:p>
      <w:r>
        <w:t>FAIR is not a venture-management system, financial governor, payment processor, business agent runtime, sales system, or multi-agent competition framework. It does not maintain Book A/Book B accounting, business capital, PayWise, revenue scoring, venture survival logic, opportunity experiments, Hermes agent profiles, or agent deletion workflows. It does not own paid-model credentials and does not silently convert a failed free request into paid inference.</w:t>
      </w:r>
    </w:p>
    <w:p>
      <w:pPr>
        <w:pStyle w:val="Heading1"/>
      </w:pPr>
      <w:r>
        <w:t>5. Governing Principles</w:t>
      </w:r>
    </w:p>
    <w:p>
      <w:r>
        <w:t>1. Free-only core: FAIR cannot purchase credits, invoke pay-as-you-go inference, auto-top-up, or use paid subscription capacity internally.</w:t>
        <w:br/>
        <w:t>2. Deterministic governance: hard rules are implemented in code/configuration, not prompt instructions.</w:t>
        <w:br/>
        <w:t>3. Free-first is not quality-first compromise: free output is accepted only if it clears task-appropriate quality requirements.</w:t>
        <w:br/>
        <w:t>4. Provider independence: no model receives permanent priority because of brand or benchmark reputation.</w:t>
        <w:br/>
        <w:t>5. Measured task performance: coding, research, extraction, reasoning, writing, vision, structured output, and other task classes have separate performance histories.</w:t>
        <w:br/>
        <w:t>6. Fail closed on uncertainty: if required quality cannot be established, FAIR returns an explicit unverified/escalation result instead of bluffing.</w:t>
        <w:br/>
        <w:t>7. Host-owned paid escalation: paid intelligence is a separate system boundary.</w:t>
        <w:br/>
        <w:t>8. Credential isolation: provider secrets remain inside FAIR's execution boundary and are never returned to the host application or model context.</w:t>
        <w:br/>
        <w:t>9. Terms-aware routing: a technically reachable provider is not production-eligible unless its configured intended-use and terms status allow the workload.</w:t>
        <w:br/>
        <w:t>10. Auditability: every routing and quality decision must be reconstructable.</w:t>
      </w:r>
    </w:p>
    <w:p>
      <w:pPr>
        <w:pStyle w:val="Heading1"/>
      </w:pPr>
      <w:r>
        <w:t>6. User and Integration Model</w:t>
      </w:r>
    </w:p>
    <w:p>
      <w:r>
        <w:t>Primary integrators are application developers, agent builders, automation systems, and internal software services. FAIR can run as a standalone HTTP service, as a local service beside an application, or behind a framework-specific skill/tool wrapper.</w:t>
      </w:r>
    </w:p>
    <w:p>
      <w:r>
        <w:t>The preferred integration contract is service-first. OpenClaw, Hermes, Codex-built apps, Python services, Node applications, and future agent runtimes should all call the same FAIR API rather than embedding provider logic independently.</w:t>
      </w:r>
    </w:p>
    <w:p>
      <w:pPr>
        <w:pStyle w:val="Heading1"/>
      </w:pPr>
      <w:r>
        <w:t>7. Host Paid-Intelligence Relationship</w:t>
      </w:r>
    </w:p>
    <w:p>
      <w:r>
        <w:t>FAIR remains free-only even when installed inside an application that has a paid AI subscription or paid API. The host application has two paths:</w:t>
      </w:r>
    </w:p>
    <w:p>
      <w:r>
        <w:t>A. Direct high-level path: the host identifies a task as high-criticality/high-intelligence and routes directly to its Paid Intelligence Governor without calling FAIR.</w:t>
        <w:br/>
        <w:t>B. FAIR escalation path: FAIR attempts suitable free routes; if all eligible routes fail quality or capability requirements, FAIR returns ESCALATION_REQUIRED with evidence describing what was attempted, why it failed, the best score achieved, disagreement level, and recommended capability tier. The host decides whether paid AI or human review is justified.</w:t>
      </w:r>
    </w:p>
    <w:p>
      <w:r>
        <w:t>FAIR must never contain paid provider credentials or call the paid model on its own.</w:t>
      </w:r>
    </w:p>
    <w:p>
      <w:pPr>
        <w:pStyle w:val="Heading1"/>
      </w:pPr>
      <w:r>
        <w:t>8. High-Level Runtime Flow</w:t>
      </w:r>
    </w:p>
    <w:p>
      <w:r>
        <w:t>RECEIVED → TASK_PROFILED → FREE_CANDIDATES_FILTERED → ROUTE_SELECTED → EXECUTING → QUALITY_VALIDATION → ACCEPTED.</w:t>
      </w:r>
    </w:p>
    <w:p>
      <w:r>
        <w:t>Failure paths:</w:t>
      </w:r>
    </w:p>
    <w:p>
      <w:pPr>
        <w:pStyle w:val="ListBullet"/>
      </w:pPr>
      <w:r>
        <w:t>Rate limit / quota exhausted / provider outage → mark provider state and immediately select next eligible free route.</w:t>
      </w:r>
    </w:p>
    <w:p>
      <w:pPr>
        <w:pStyle w:val="ListBullet"/>
      </w:pPr>
      <w:r>
        <w:t>Quality failure / hallucination / invalid schema → penalize the model's task-specific score, select a different free model, and re-evaluate.</w:t>
      </w:r>
    </w:p>
    <w:p>
      <w:pPr>
        <w:pStyle w:val="ListBullet"/>
      </w:pPr>
      <w:r>
        <w:t>High disagreement between credible free models → cross-check or escalate.</w:t>
      </w:r>
    </w:p>
    <w:p>
      <w:pPr>
        <w:pStyle w:val="ListBullet"/>
      </w:pPr>
      <w:r>
        <w:t>No capable free model remains → ESCALATION_REQUIRED.</w:t>
      </w:r>
    </w:p>
    <w:p>
      <w:pPr>
        <w:pStyle w:val="ListBullet"/>
      </w:pPr>
      <w:r>
        <w:t>Low-risk task with partial but explicitly uncertain result → UNVERIFIED_RESULT only if the host policy permits it.</w:t>
      </w:r>
    </w:p>
    <w:p>
      <w:r>
        <w:t>Retry loops are bounded. FAIR must never spin indefinitely because free capacity exists.</w:t>
      </w:r>
    </w:p>
    <w:p>
      <w:pPr>
        <w:pStyle w:val="Heading1"/>
      </w:pPr>
      <w:r>
        <w:t>9. Major Components</w:t>
      </w:r>
    </w:p>
    <w:p>
      <w:r>
        <w:t>FAIR Governor — enforces zero-spend, provider eligibility, privacy, retry limits, kill switches, and escalation policy.</w:t>
        <w:br/>
        <w:t>Task Profiler — classifies task type, difficulty, required capabilities, risk/criticality, context size, latency sensitivity, expected output schema, and data sensitivity.</w:t>
        <w:br/>
        <w:t>Provider Registry — authoritative record of providers/models, access class, terms status, capabilities, quota rules, rate limits, health, context windows, and operational metadata.</w:t>
        <w:br/>
        <w:t>Quota &amp; Health Manager — tracks RPM/TPM/request limits, daily/monthly allowance, reset times, current throttling, outages, circuit-breaker state, and quota pressure.</w:t>
        <w:br/>
        <w:t>Model Selector — ranks only currently eligible models using task-specific quality, hallucination history, capability fit, health, quota pressure, latency, and diversity.</w:t>
        <w:br/>
        <w:t>Provider Adapter Layer — normalizes provider-specific request/response formats into one internal contract.</w:t>
        <w:br/>
        <w:t>Quality Engine — performs deterministic validation first, then task-specific evaluation, factual/citation checks where applicable, cross-model verification, disagreement analysis, and acceptance scoring.</w:t>
        <w:br/>
        <w:t>Model Intelligence Registry — stores observed performance by model and task class, including failures, hallucinations, latency, availability, and confidence in the score.</w:t>
        <w:br/>
        <w:t>Benchmark &amp; Drift Service — shadow-tests models when quota is plentiful, detects performance drift, and updates model rankings.</w:t>
        <w:br/>
        <w:t>Cache — avoids wasting free quota on repeated deterministic or semantically identical requests where caching is safe.</w:t>
        <w:br/>
        <w:t>Audit &amp; Observability — records route selection, provider/model, attempt history, quota state, quality reports, reasons, failures, latency, and final disposition.</w:t>
        <w:br/>
        <w:t>Escalation Service — creates a structured escalation package for the host application; it does not execute paid inference.</w:t>
      </w:r>
    </w:p>
    <w:p>
      <w:pPr>
        <w:pStyle w:val="Heading1"/>
      </w:pPr>
      <w:r>
        <w:t>10. Provider Eligibility Classes</w:t>
      </w:r>
    </w:p>
    <w:p>
      <w:r>
        <w:t>The strict FAIR production core allows only FREE_RECURRING, FREE_DYNAMIC, and FREE_LOCAL routes. Promotional credits, one-time trials, paid subscriptions, deposit-unlocked “free” quotas, referral credits, and pay-as-you-go providers are excluded from the core.</w:t>
      </w:r>
    </w:p>
    <w:p>
      <w:r>
        <w:t>Initial provider candidates from the existing FAIR registry seed are Groq, Google Gemini API free tier, Cloudflare Workers AI free allocation, Mistral free mode, Kilo Gateway free models, OpenRouter free models, Ollama Cloud free allowance, Hugging Face free inference allowance, and local Ollama. With the exception of local Ollama, provider entries should remain TERMS_REVIEW until current terms, intended-use eligibility, quota/reset behavior, and privacy conditions have been verified for the deployment.</w:t>
      </w:r>
    </w:p>
    <w:p>
      <w:pPr>
        <w:pStyle w:val="Heading1"/>
      </w:pPr>
      <w:r>
        <w:t>11. Task-Aware Model Selection</w:t>
      </w:r>
    </w:p>
    <w:p>
      <w:r>
        <w:t>FAIR must never maintain a single universal ranking. Each model receives task-specific scores for categories such as factual research, coding, debugging, mathematics, structured extraction, summarization, writing, reasoning, classification, vision, and structured JSON/tool output.</w:t>
      </w:r>
    </w:p>
    <w:p>
      <w:r>
        <w:t>Candidate ranking should consider: capability fit; measured quality for the requested task class; recent hallucination/failure rate; health; remaining quota; quota scarcity; context-window fit; latency; privacy compatibility; provider diversity; and confidence in the performance score. Scarce quota may be preserved when another model is only marginally worse but has abundant capacity.</w:t>
      </w:r>
    </w:p>
    <w:p>
      <w:pPr>
        <w:pStyle w:val="Heading1"/>
      </w:pPr>
      <w:r>
        <w:t>12. Quality and Hallucination Control</w:t>
      </w:r>
    </w:p>
    <w:p>
      <w:r>
        <w:t>A provider returning HTTP 200 is not success. FAIR accepts a response only after quality validation appropriate to the task.</w:t>
      </w:r>
    </w:p>
    <w:p>
      <w:r>
        <w:t>Required checks include: instruction adherence; expected schema/JSON validation; completeness; internal consistency; unsupported-claim detection; fabricated citation rejection; source/citation validation when evidence is required; code compilation/tests where executable validation is possible; mathematical/deterministic verification where possible; policy-required cross-model verification for high-impact outputs; and explicit uncertainty handling.</w:t>
      </w:r>
    </w:p>
    <w:p>
      <w:r>
        <w:t>Quality scoring must be task-specific. Default thresholds may begin with commodity 75/100, standard 82/100, advanced 88/100, and high-impact support 92/100, but these are configurable and must be calibrated empirically.</w:t>
      </w:r>
    </w:p>
    <w:p>
      <w:r>
        <w:t>Hard reject conditions include fabricated citations, material unsupported claims in a grounded task, required schema failure, material internal contradiction, or failed mandatory deterministic tests.</w:t>
      </w:r>
    </w:p>
    <w:p>
      <w:pPr>
        <w:pStyle w:val="Heading1"/>
      </w:pPr>
      <w:r>
        <w:t>13. Cross-Model Verification and Consensus</w:t>
      </w:r>
    </w:p>
    <w:p>
      <w:r>
        <w:t>For important tasks, FAIR may send the same task or extracted claims to more than one free model. The objective is not majority voting by itself. FAIR should detect agreement, identify outliers, compare claims against evidence, and escalate when credible models materially disagree.</w:t>
      </w:r>
    </w:p>
    <w:p>
      <w:r>
        <w:t>Shadow benchmarking uses a small portion of plentiful free quota to send real non-sensitive tasks to alternate models without returning their answers to the user. This provides application-specific evidence about changing model performance. Shadow rate must automatically fall to zero when quota is scarce.</w:t>
      </w:r>
    </w:p>
    <w:p>
      <w:pPr>
        <w:pStyle w:val="Heading1"/>
      </w:pPr>
      <w:r>
        <w:t>14. Quota, Rate-Limit, and Failover Behavior</w:t>
      </w:r>
    </w:p>
    <w:p>
      <w:r>
        <w:t>FAIR must track provider quota as a resource rather than as money. Relevant units include requests per minute/day/hour, tokens per minute/day/month, provider-specific compute units, concurrent requests, and reset timestamps.</w:t>
      </w:r>
    </w:p>
    <w:p>
      <w:r>
        <w:t>Provider states: ACTIVE, THROTTLED, QUOTA_PRESSURE, QUOTA_EXHAUSTED, DEGRADED, OUTAGE, DISABLED, TERMS_REVIEW, SECURITY_BLOCKED.</w:t>
      </w:r>
    </w:p>
    <w:p>
      <w:r>
        <w:t>A quota or 429 failure does not reduce a model's quality score. A quality failure does. Circuit breakers temporarily remove failing providers from selection. Provider availability should recover after configured probes/reset times rather than requiring manual restart.</w:t>
      </w:r>
    </w:p>
    <w:p>
      <w:pPr>
        <w:pStyle w:val="Heading1"/>
      </w:pPr>
      <w:r>
        <w:t>15. Security and Privacy</w:t>
      </w:r>
    </w:p>
    <w:p>
      <w:r>
        <w:t>Credentials must be held behind the provider adapter boundary using environment/secret-manager injection. They must not be stored in prompts, returned in API responses, exposed in logs, or placed in model-visible objects.</w:t>
      </w:r>
    </w:p>
    <w:p>
      <w:r>
        <w:t>The ASVS Sprint 3 capability-token and untrusted-content patterns are reusable security donors: short-lived scoped access, endpoint/domain allowlisting when external retrieval is enabled, no raw secret fields in agent-visible models, and external content treated as data rather than executable instruction.</w:t>
      </w:r>
    </w:p>
    <w:p>
      <w:r>
        <w:t>FAIR must support per-provider maximum data classification. A task containing data above a provider's configured privacy allowance must be excluded from that provider even if the model would otherwise rank highest.</w:t>
      </w:r>
    </w:p>
    <w:p>
      <w:pPr>
        <w:pStyle w:val="Heading1"/>
      </w:pPr>
      <w:r>
        <w:t>16. Multi-Application Fairness and Scheduling</w:t>
      </w:r>
    </w:p>
    <w:p>
      <w:r>
        <w:t>If multiple applications or agents share one FAIR instance, the existing ASVS weighted/priority scheduling concept should be retained but generalized from A1/A2/A3 to arbitrary client/workspace IDs. Priority classes may be P0 security/emergency, P1 interactive critical, P2 user-blocking, P3 normal, P4 background benchmarking. Round-robin fairness inside a priority class prevents one client from consuming all free quota.</w:t>
      </w:r>
    </w:p>
    <w:p>
      <w:r>
        <w:t>Quota fairness is optional for single-application deployments but required for multi-tenant/shared-provider deployments.</w:t>
      </w:r>
    </w:p>
    <w:p>
      <w:pPr>
        <w:pStyle w:val="Heading1"/>
      </w:pPr>
      <w:r>
        <w:t>17. Data Model</w:t>
      </w:r>
    </w:p>
    <w:p>
      <w:r>
        <w:t>Minimum persistent entities: Provider, Model, ProviderCredentialRef (metadata only; no raw secret), ProviderQuotaState, ProviderHealthEvent, TaskRequest, TaskProfile, RoutingAttempt, QualityReport, ModelTaskPerformance, FeedbackEvent, EscalationRequest, AuditEvent, CacheEntry, and ClientWorkspace.</w:t>
      </w:r>
    </w:p>
    <w:p>
      <w:r>
        <w:t>Every final result must be traceable to one TaskRequest and one or more RoutingAttempts. Every attempt records provider/model, selection reason, quota state before/after when measurable, latency, response metadata, quality score, validation failures, and disposition.</w:t>
      </w:r>
    </w:p>
    <w:p>
      <w:pPr>
        <w:pStyle w:val="Heading1"/>
      </w:pPr>
      <w:r>
        <w:t>18. API Surface</w:t>
      </w:r>
    </w:p>
    <w:p>
      <w:r>
        <w:t>Core endpoints should include POST /v1/solve, GET /v1/providers, GET /v1/providers/{provider_id}/health, GET /v1/models/performance, POST /v1/feedback, GET /v1/requests/{request_id}, GET /v1/requests/{request_id}/audit, POST /v1/system/stop, POST /v1/system/resume, and administrative provider enable/disable/terms-status endpoints.</w:t>
      </w:r>
    </w:p>
    <w:p>
      <w:r>
        <w:t>POST /v1/solve accepts task content plus optional task type, required capabilities, required quality level, privacy class, expected output schema, latency preference, and client/workspace identity. The response is one of ACCEPTED, UNVERIFIED_RESULT (only if policy allows), ESCALATION_REQUIRED, or FAILED.</w:t>
      </w:r>
    </w:p>
    <w:p>
      <w:pPr>
        <w:pStyle w:val="Heading1"/>
      </w:pPr>
      <w:r>
        <w:t>19. Reuse from ASVS</w:t>
      </w:r>
    </w:p>
    <w:p>
      <w:r>
        <w:t>Keep/adapt: Sprint 2 intelligence router structure; provider registry pattern; usage governor deterministic control pattern rewritten around quota rather than dollars; priority/round-robin scheduler; database/API/test scaffolding; Sprint 3 tool-gateway credential-boundary pattern; isolation/default-deny pattern where multi-client data boundaries apply; circuit-breaker/fallback test philosophy; audit/append-only design principles.</w:t>
      </w:r>
    </w:p>
    <w:p>
      <w:r>
        <w:t>Discard: financial governor, ledger, money package, payments, PayWise/fake payment adapter, risk engine for financial exposure, business compliance logic, opportunity/experiment/strategy engines, venture survival and merit allocation, Book A/Book B, UDOs, A1/A2/A3 business identities, Hermes profiles, payment/fulfillment/deletion workflows, revenue dashboards, capital controls, and all venture competition prompts.</w:t>
      </w:r>
    </w:p>
    <w:p>
      <w:pPr>
        <w:pStyle w:val="Heading1"/>
      </w:pPr>
      <w:r>
        <w:t>20. Donor Code Status</w:t>
      </w:r>
    </w:p>
    <w:p>
      <w:r>
        <w:t>The supplied ASVS Sprint 3 skeleton was inspected. The relevant router/governor/scheduler/tool-gateway test subset passes 28 tests. This means the donor patterns are coherent enough to reuse, but FAIR should not be implemented by mechanically renaming ASVS. The code must be extracted into a new FAIR repository with new domain schemas and tests so financial/venture dependencies do not survive accidentally.</w:t>
      </w:r>
    </w:p>
    <w:p>
      <w:pPr>
        <w:pStyle w:val="Heading1"/>
      </w:pPr>
      <w:r>
        <w:t>21. Functional Requirements</w:t>
      </w:r>
    </w:p>
    <w:p>
      <w:pPr>
        <w:pStyle w:val="ListBullet"/>
      </w:pPr>
      <w:r>
        <w:t>FR-001: Enforce max FAIR inference spend of exactly $0.00.</w:t>
      </w:r>
    </w:p>
    <w:p>
      <w:pPr>
        <w:pStyle w:val="ListBullet"/>
      </w:pPr>
      <w:r>
        <w:t>FR-002: Reject provider routes requiring paid subscriptions, credit purchases, auto-top-up, or pay-as-you-go.</w:t>
      </w:r>
    </w:p>
    <w:p>
      <w:pPr>
        <w:pStyle w:val="ListBullet"/>
      </w:pPr>
      <w:r>
        <w:t>FR-003: Profile each task before model selection unless the host supplies a trusted task profile.</w:t>
      </w:r>
    </w:p>
    <w:p>
      <w:pPr>
        <w:pStyle w:val="ListBullet"/>
      </w:pPr>
      <w:r>
        <w:t>FR-004: Filter candidates by capability, privacy, terms, health, context, and quota before ranking.</w:t>
      </w:r>
    </w:p>
    <w:p>
      <w:pPr>
        <w:pStyle w:val="ListBullet"/>
      </w:pPr>
      <w:r>
        <w:t>FR-005: Rank models by task-specific measured performance, not universal order.</w:t>
      </w:r>
    </w:p>
    <w:p>
      <w:pPr>
        <w:pStyle w:val="ListBullet"/>
      </w:pPr>
      <w:r>
        <w:t>FR-006: Automatically fail over on quota exhaustion, rate limit, timeout, outage, or provider error.</w:t>
      </w:r>
    </w:p>
    <w:p>
      <w:pPr>
        <w:pStyle w:val="ListBullet"/>
      </w:pPr>
      <w:r>
        <w:t>FR-007: Distinguish infrastructure failures from model-quality failures in scoring.</w:t>
      </w:r>
    </w:p>
    <w:p>
      <w:pPr>
        <w:pStyle w:val="ListBullet"/>
      </w:pPr>
      <w:r>
        <w:t>FR-008: Run task-appropriate quality validation before accepting output.</w:t>
      </w:r>
    </w:p>
    <w:p>
      <w:pPr>
        <w:pStyle w:val="ListBullet"/>
      </w:pPr>
      <w:r>
        <w:t>FR-009: Reject fabricated citations and material unsupported claims where grounding is required.</w:t>
      </w:r>
    </w:p>
    <w:p>
      <w:pPr>
        <w:pStyle w:val="ListBullet"/>
      </w:pPr>
      <w:r>
        <w:t>FR-010: Retry using a different free model after quality failure, subject to bounded retry policy.</w:t>
      </w:r>
    </w:p>
    <w:p>
      <w:pPr>
        <w:pStyle w:val="ListBullet"/>
      </w:pPr>
      <w:r>
        <w:t>FR-011: Support cross-model verification and disagreement detection.</w:t>
      </w:r>
    </w:p>
    <w:p>
      <w:pPr>
        <w:pStyle w:val="ListBullet"/>
      </w:pPr>
      <w:r>
        <w:t>FR-012: Return ESCALATION_REQUIRED when free routes cannot satisfy policy.</w:t>
      </w:r>
    </w:p>
    <w:p>
      <w:pPr>
        <w:pStyle w:val="ListBullet"/>
      </w:pPr>
      <w:r>
        <w:t>FR-013: Never execute host paid inference inside FAIR.</w:t>
      </w:r>
    </w:p>
    <w:p>
      <w:pPr>
        <w:pStyle w:val="ListBullet"/>
      </w:pPr>
      <w:r>
        <w:t>FR-014: Persist routing, quota, quality, and audit lineage.</w:t>
      </w:r>
    </w:p>
    <w:p>
      <w:pPr>
        <w:pStyle w:val="ListBullet"/>
      </w:pPr>
      <w:r>
        <w:t>FR-015: Learn model-task performance from accepted/rejected outcomes and explicit feedback.</w:t>
      </w:r>
    </w:p>
    <w:p>
      <w:pPr>
        <w:pStyle w:val="ListBullet"/>
      </w:pPr>
      <w:r>
        <w:t>FR-016: Detect model drift and reduce routing weight when recent performance degrades.</w:t>
      </w:r>
    </w:p>
    <w:p>
      <w:pPr>
        <w:pStyle w:val="ListBullet"/>
      </w:pPr>
      <w:r>
        <w:t>FR-017: Support provider circuit breakers and recovery probes.</w:t>
      </w:r>
    </w:p>
    <w:p>
      <w:pPr>
        <w:pStyle w:val="ListBullet"/>
      </w:pPr>
      <w:r>
        <w:t>FR-018: Support caching with privacy- and task-aware cache rules.</w:t>
      </w:r>
    </w:p>
    <w:p>
      <w:pPr>
        <w:pStyle w:val="ListBullet"/>
      </w:pPr>
      <w:r>
        <w:t>FR-019: Protect credentials from models, host clients, logs, and responses.</w:t>
      </w:r>
    </w:p>
    <w:p>
      <w:pPr>
        <w:pStyle w:val="ListBullet"/>
      </w:pPr>
      <w:r>
        <w:t>FR-020: Support kill switches and provider disablement.</w:t>
      </w:r>
    </w:p>
    <w:p>
      <w:pPr>
        <w:pStyle w:val="ListBullet"/>
      </w:pPr>
      <w:r>
        <w:t>FR-021: Expose HTTP API plus thin Python and JavaScript SDKs.</w:t>
      </w:r>
    </w:p>
    <w:p>
      <w:pPr>
        <w:pStyle w:val="ListBullet"/>
      </w:pPr>
      <w:r>
        <w:t>FR-022: Support multi-client fair scheduling when enabled.</w:t>
      </w:r>
    </w:p>
    <w:p>
      <w:pPr>
        <w:pStyle w:val="ListBullet"/>
      </w:pPr>
      <w:r>
        <w:t>FR-023: Treat provider quota/configuration as runtime configuration, not hard-coded assumptions.</w:t>
      </w:r>
    </w:p>
    <w:p>
      <w:pPr>
        <w:pStyle w:val="ListBullet"/>
      </w:pPr>
      <w:r>
        <w:t>FR-024: Keep providers in TERMS_REVIEW until current eligibility is verified.</w:t>
      </w:r>
    </w:p>
    <w:p>
      <w:pPr>
        <w:pStyle w:val="Heading1"/>
      </w:pPr>
      <w:r>
        <w:t>22. Non-Functional Requirements</w:t>
      </w:r>
    </w:p>
    <w:p>
      <w:pPr>
        <w:pStyle w:val="ListBullet"/>
      </w:pPr>
      <w:r>
        <w:t>NFR-001 Reliability: one provider failure must not fail a request if another eligible free provider can satisfy it.</w:t>
      </w:r>
    </w:p>
    <w:p>
      <w:pPr>
        <w:pStyle w:val="ListBullet"/>
      </w:pPr>
      <w:r>
        <w:t>NFR-002 Safety: zero-spend and credential-boundary controls must remain effective even if model-selection code is faulty.</w:t>
      </w:r>
    </w:p>
    <w:p>
      <w:pPr>
        <w:pStyle w:val="ListBullet"/>
      </w:pPr>
      <w:r>
        <w:t>NFR-003 Observability: every route must have a request ID and reconstructable attempt history.</w:t>
      </w:r>
    </w:p>
    <w:p>
      <w:pPr>
        <w:pStyle w:val="ListBullet"/>
      </w:pPr>
      <w:r>
        <w:t>NFR-004 Extensibility: adding a provider should normally require a provider adapter plus registry configuration, not changes to routing core.</w:t>
      </w:r>
    </w:p>
    <w:p>
      <w:pPr>
        <w:pStyle w:val="ListBullet"/>
      </w:pPr>
      <w:r>
        <w:t>NFR-005 Testability: task selection, quota logic, failover, quality rejection, escalation, security boundaries, and scheduler fairness must have deterministic automated tests.</w:t>
      </w:r>
    </w:p>
    <w:p>
      <w:pPr>
        <w:pStyle w:val="ListBullet"/>
      </w:pPr>
      <w:r>
        <w:t>NFR-006 Portability: core service must run locally in Docker and on ordinary Linux/cloud deployment targets.</w:t>
      </w:r>
    </w:p>
    <w:p>
      <w:pPr>
        <w:pStyle w:val="ListBullet"/>
      </w:pPr>
      <w:r>
        <w:t>NFR-007 Configuration safety: raw secrets never live in checked-in YAML or database rows.</w:t>
      </w:r>
    </w:p>
    <w:p>
      <w:pPr>
        <w:pStyle w:val="ListBullet"/>
      </w:pPr>
      <w:r>
        <w:t>NFR-008 Bounded behavior: retries, cross-checks, and shadow tests have hard limits so a pathological request cannot consume all free capacity.</w:t>
      </w:r>
    </w:p>
    <w:p>
      <w:pPr>
        <w:pStyle w:val="Heading1"/>
      </w:pPr>
      <w:r>
        <w:t>23. Acceptance Criteria</w:t>
      </w:r>
    </w:p>
    <w:p>
      <w:pPr>
        <w:pStyle w:val="ListNumber"/>
      </w:pPr>
      <w:r>
        <w:t>A configured paid provider cannot be registered into the FAIR production pool.</w:t>
      </w:r>
    </w:p>
    <w:p>
      <w:pPr>
        <w:pStyle w:val="ListNumber"/>
      </w:pPr>
      <w:r>
        <w:t>A simulated free-provider 429 automatically switches to another eligible provider.</w:t>
      </w:r>
    </w:p>
    <w:p>
      <w:pPr>
        <w:pStyle w:val="ListNumber"/>
      </w:pPr>
      <w:r>
        <w:t>A quota-exhausted provider is skipped until its reset/recovery condition.</w:t>
      </w:r>
    </w:p>
    <w:p>
      <w:pPr>
        <w:pStyle w:val="ListNumber"/>
      </w:pPr>
      <w:r>
        <w:t>A model that fails a mandatory quality check is not returned to the caller.</w:t>
      </w:r>
    </w:p>
    <w:p>
      <w:pPr>
        <w:pStyle w:val="ListNumber"/>
      </w:pPr>
      <w:r>
        <w:t>A fabricated citation causes hard rejection.</w:t>
      </w:r>
    </w:p>
    <w:p>
      <w:pPr>
        <w:pStyle w:val="ListNumber"/>
      </w:pPr>
      <w:r>
        <w:t>A task requiring vision cannot route to a text-only model.</w:t>
      </w:r>
    </w:p>
    <w:p>
      <w:pPr>
        <w:pStyle w:val="ListNumber"/>
      </w:pPr>
      <w:r>
        <w:t>A privacy-restricted task cannot route to a provider whose maximum data class is too low.</w:t>
      </w:r>
    </w:p>
    <w:p>
      <w:pPr>
        <w:pStyle w:val="ListNumber"/>
      </w:pPr>
      <w:r>
        <w:t>When all free routes fail quality, FAIR returns ESCALATION_REQUIRED with attempt evidence.</w:t>
      </w:r>
    </w:p>
    <w:p>
      <w:pPr>
        <w:pStyle w:val="ListNumber"/>
      </w:pPr>
      <w:r>
        <w:t>FAIR never calls a paid provider during the escalation test.</w:t>
      </w:r>
    </w:p>
    <w:p>
      <w:pPr>
        <w:pStyle w:val="ListNumber"/>
      </w:pPr>
      <w:r>
        <w:t>Model-task rankings change after repeated measured quality differences.</w:t>
      </w:r>
    </w:p>
    <w:p>
      <w:pPr>
        <w:pStyle w:val="ListNumber"/>
      </w:pPr>
      <w:r>
        <w:t>Infrastructure errors do not incorrectly lower task-quality scores.</w:t>
      </w:r>
    </w:p>
    <w:p>
      <w:pPr>
        <w:pStyle w:val="ListNumber"/>
      </w:pPr>
      <w:r>
        <w:t>Circuit breaker opens after configured provider failures and later recovers via probe/reset.</w:t>
      </w:r>
    </w:p>
    <w:p>
      <w:pPr>
        <w:pStyle w:val="ListNumber"/>
      </w:pPr>
      <w:r>
        <w:t>Cached results preserve quota without bypassing privacy or freshness policy.</w:t>
      </w:r>
    </w:p>
    <w:p>
      <w:pPr>
        <w:pStyle w:val="ListNumber"/>
      </w:pPr>
      <w:r>
        <w:t>Multi-client scheduler prevents starvation inside the same priority class.</w:t>
      </w:r>
    </w:p>
    <w:p>
      <w:pPr>
        <w:pStyle w:val="ListNumber"/>
      </w:pPr>
      <w:r>
        <w:t>Credential values do not appear in database objects, model prompts, logs, or API responses.</w:t>
      </w:r>
    </w:p>
    <w:p>
      <w:pPr>
        <w:pStyle w:val="ListNumber"/>
      </w:pPr>
      <w:r>
        <w:t>API and SDK return the same normalized result contract.</w:t>
      </w:r>
    </w:p>
    <w:p>
      <w:pPr>
        <w:pStyle w:val="ListNumber"/>
      </w:pPr>
      <w:r>
        <w:t>Relevant donor-code regression tests remain passing after adaptation or are replaced with equivalent FAIR tests.</w:t>
      </w:r>
    </w:p>
    <w:p>
      <w:pPr>
        <w:pStyle w:val="Heading1"/>
      </w:pPr>
      <w:r>
        <w:t>24. Initial Build Phases</w:t>
      </w:r>
    </w:p>
    <w:p>
      <w:pPr>
        <w:pStyle w:val="ListBullet"/>
      </w:pPr>
      <w:r>
        <w:t>Phase 0: create clean FAIR repository; copy only approved donor patterns and tests.</w:t>
      </w:r>
    </w:p>
    <w:p>
      <w:pPr>
        <w:pStyle w:val="ListBullet"/>
      </w:pPr>
      <w:r>
        <w:t>Phase 1: schemas, database, registry, governor, provider-adapter interface, secret boundary.</w:t>
      </w:r>
    </w:p>
    <w:p>
      <w:pPr>
        <w:pStyle w:val="ListBullet"/>
      </w:pPr>
      <w:r>
        <w:t>Phase 2: quota/health manager, circuit breakers, scheduler, basic free-provider adapters.</w:t>
      </w:r>
    </w:p>
    <w:p>
      <w:pPr>
        <w:pStyle w:val="ListBullet"/>
      </w:pPr>
      <w:r>
        <w:t>Phase 3: task profiler and task-specific model selector.</w:t>
      </w:r>
    </w:p>
    <w:p>
      <w:pPr>
        <w:pStyle w:val="ListBullet"/>
      </w:pPr>
      <w:r>
        <w:t>Phase 4: quality engine, deterministic validators, retry/failover, escalation object.</w:t>
      </w:r>
    </w:p>
    <w:p>
      <w:pPr>
        <w:pStyle w:val="ListBullet"/>
      </w:pPr>
      <w:r>
        <w:t>Phase 5: performance registry, feedback learning, shadow benchmarking, drift detection.</w:t>
      </w:r>
    </w:p>
    <w:p>
      <w:pPr>
        <w:pStyle w:val="ListBullet"/>
      </w:pPr>
      <w:r>
        <w:t>Phase 6: HTTP API, Python/JS SDKs, cache, observability, admin controls.</w:t>
      </w:r>
    </w:p>
    <w:p>
      <w:pPr>
        <w:pStyle w:val="ListBullet"/>
      </w:pPr>
      <w:r>
        <w:t>Phase 7: integration/adversarial testing, provider verification, documentation, deployment packaging.</w:t>
      </w:r>
    </w:p>
    <w:p>
      <w:pPr>
        <w:pStyle w:val="Heading1"/>
      </w:pPr>
      <w:r>
        <w:t>25. Product Success Definition</w:t>
      </w:r>
    </w:p>
    <w:p>
      <w:r>
        <w:t>FAIR is successful when a host application can submit ordinary AI tasks without knowing which free provider should be used, receive an answer only when the configured quality threshold is met, survive individual provider limits/outages transparently, preserve zero inference spend inside FAIR, and escalate cleanly to a separately governed paid-intelligence path only when free intelligence is genuinely inadequate.</w:t>
      </w:r>
    </w:p>
    <w:p>
      <w:pPr>
        <w:pStyle w:val="Heading1"/>
      </w:pPr>
      <w:r>
        <w:t>Appendix A — Source Artifacts Used</w:t>
      </w:r>
    </w:p>
    <w:p>
      <w:pPr>
        <w:pStyle w:val="ListBullet"/>
      </w:pPr>
      <w:r>
        <w:t>FAIR_Free_AI_Router_System_Specification_v1_0.md</w:t>
      </w:r>
    </w:p>
    <w:p>
      <w:pPr>
        <w:pStyle w:val="ListBullet"/>
      </w:pPr>
      <w:r>
        <w:t>FAIR_Provider_Registry_Seed_v1_0.yaml</w:t>
      </w:r>
    </w:p>
    <w:p>
      <w:pPr>
        <w:pStyle w:val="ListBullet"/>
      </w:pPr>
      <w:r>
        <w:t>ASVS_Build_Roadmap_v1.0.md</w:t>
      </w:r>
    </w:p>
    <w:p>
      <w:pPr>
        <w:pStyle w:val="ListBullet"/>
      </w:pPr>
      <w:r>
        <w:t>asvs_sprint0_skeleton.tar.gz</w:t>
      </w:r>
    </w:p>
    <w:p>
      <w:pPr>
        <w:pStyle w:val="ListBullet"/>
      </w:pPr>
      <w:r>
        <w:t>asvs_sprint1_skeleton.tar.gz</w:t>
      </w:r>
    </w:p>
    <w:p>
      <w:pPr>
        <w:pStyle w:val="ListBullet"/>
      </w:pPr>
      <w:r>
        <w:t>asvs_sprint2_skeleton.tar.gz</w:t>
      </w:r>
    </w:p>
    <w:p>
      <w:pPr>
        <w:pStyle w:val="ListBullet"/>
      </w:pPr>
      <w:r>
        <w:t>asvs_sprint3_skeleton.tar.gz</w:t>
      </w:r>
    </w:p>
    <w:p>
      <w:pPr>
        <w:pStyle w:val="SmallNote"/>
      </w:pPr>
      <w:r>
        <w:t>Relevant Sprint 3 donor test subset verified during consolidation: 28 tests passed.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FAIR PDR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