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7D63" w:rsidRDefault="00B7630C">
      <w:pPr>
        <w:spacing w:after="200"/>
        <w:jc w:val="center"/>
      </w:pPr>
      <w:r>
        <w:rPr>
          <w:rFonts w:ascii="Times New Roman" w:hAnsi="Times New Roman"/>
          <w:b w:val="0"/>
          <w:i w:val="0"/>
          <w:sz w:val="48"/>
          <w:szCs w:val="48"/>
        </w:rPr>
        <w:t>What Counts as Saved? Measured-Energy Accounting for Confidence-Aware LLM Cascades</w:t>
      </w:r>
    </w:p>
    <w:p w:rsidR="007F7D63" w:rsidRDefault="00B7630C">
      <w:pPr>
        <w:spacing w:after="40"/>
        <w:ind w:firstLine="0"/>
        <w:jc w:val="center"/>
      </w:pPr>
      <w:proofErr w:type="spellStart"/>
      <w:proofErr w:type="spellEnd"/>
      <w:proofErr w:type="spellStart"/>
      <w:proofErr w:type="spellEnd"/>
      <w:proofErr w:type="spellStart"/>
      <w:proofErr w:type="spellEnd"/>
      <w:proofErr w:type="spellStart"/>
      <w:proofErr w:type="spellEnd"/>
      <w:r>
        <w:rPr>
          <w:rFonts w:ascii="Times New Roman" w:hAnsi="Times New Roman"/>
          <w:b w:val="0"/>
          <w:i w:val="0"/>
          <w:sz w:val="22"/>
        </w:rPr>
        <w:t>Anonymous Author(s)</w:t>
      </w:r>
    </w:p>
    <w:p w:rsidR="007F7D63" w:rsidRDefault="00B7630C">
      <w:pPr>
        <w:spacing w:after="40"/>
        <w:ind w:firstLine="0"/>
        <w:jc w:val="center"/>
      </w:pPr>
      <w:proofErr w:type="spellStart"/>
      <w:proofErr w:type="spellEnd"/>
      <w:r>
        <w:rPr>
          <w:rFonts w:ascii="Times New Roman" w:hAnsi="Times New Roman"/>
          <w:b w:val="0"/>
          <w:i/>
          <w:sz w:val="20"/>
        </w:rPr>
        <w:t>Affiliation withheld for blind review</w:t>
      </w:r>
    </w:p>
    <w:p w:rsidR="007F7D63" w:rsidRDefault="00B7630C">
      <w:pPr>
        <w:spacing w:after="240"/>
        <w:jc w:val="center"/>
      </w:pPr>
      <w:r>
        <w:rPr>
          <w:rFonts w:ascii="Times New Roman" w:hAnsi="Times New Roman"/>
          <w:b w:val="0"/>
          <w:i w:val="0"/>
          <w:sz w:val="18"/>
        </w:rPr>
      </w:r>
    </w:p>
    <w:p w:rsidR="007F7D63" w:rsidRDefault="007F7D63">
      <w:pPr>
        <w:sectPr w:rsidR="007F7D63">
          <w:pgSz w:w="11906" w:h="16838"/>
          <w:pgMar w:top="1080" w:right="907" w:bottom="1440" w:left="907" w:header="708" w:footer="708" w:gutter="0"/>
          <w:cols w:space="720"/>
          <w:docGrid w:linePitch="360"/>
        </w:sectPr>
      </w:pPr>
    </w:p>
    <w:p w:rsidR="007F7D63" w:rsidRDefault="00B7630C">
      <w:pPr>
        <w:spacing w:after="60"/>
        <w:jc w:val="left"/>
      </w:pPr>
      <w:r>
        <w:rPr>
          <w:rFonts w:ascii="Times New Roman" w:hAnsi="Times New Roman"/>
          <w:b/>
          <w:bCs/>
          <w:i w:val="0"/>
          <w:sz w:val="18"/>
          <w:szCs w:val="18"/>
        </w:rPr>
        <w:t>Abstract</w:t>
      </w:r>
    </w:p>
    <w:p w:rsidR="00BC48A0" w:rsidRDefault="00BC48A0">
      <w:pPr>
        <w:spacing w:after="160"/>
        <w:jc w:val="both"/>
        <w:rPr>
          <w:b/>
          <w:bCs/>
          <w:sz w:val="18"/>
          <w:szCs w:val="18"/>
        </w:rPr>
      </w:pPr>
      <w:r w:rsidRPr="00BC48A0">
        <w:rPr>
          <w:rFonts w:ascii="Times New Roman" w:hAnsi="Times New Roman"/>
          <w:b/>
          <w:bCs/>
          <w:i w:val="0"/>
          <w:sz w:val="18"/>
          <w:szCs w:val="18"/>
        </w:rPr>
        <w:t xml:space="preserve">Model cascading decreases the cost of LLM inference for simple questions by using a smaller model and only seeking input from a larger one when confidence is low. An escalated query has already been run and the small model's energy used but an escalated query can be charged for both tiers or just the returned tier. This paper is a measure of the value of this choice. We use an open source cascading middleware, called </w:t>
      </w:r>
      <w:proofErr w:type="spellStart"/>
      <w:r w:rsidRPr="00BC48A0">
        <w:rPr>
          <w:rFonts w:ascii="Times New Roman" w:hAnsi="Times New Roman"/>
          <w:b/>
          <w:bCs/>
          <w:i w:val="0"/>
          <w:sz w:val="18"/>
          <w:szCs w:val="18"/>
        </w:rPr>
        <w:t>GreenGate</w:t>
      </w:r>
      <w:proofErr w:type="spellEnd"/>
      <w:r w:rsidRPr="00BC48A0">
        <w:rPr>
          <w:rFonts w:ascii="Times New Roman" w:hAnsi="Times New Roman"/>
          <w:b/>
          <w:bCs/>
          <w:i w:val="0"/>
          <w:sz w:val="18"/>
          <w:szCs w:val="18"/>
        </w:rPr>
        <w:t xml:space="preserve">, which meters the GPU power of all devices every 100 </w:t>
      </w:r>
      <w:proofErr w:type="spellStart"/>
      <w:r w:rsidRPr="00BC48A0">
        <w:rPr>
          <w:rFonts w:ascii="Times New Roman" w:hAnsi="Times New Roman"/>
          <w:b/>
          <w:bCs/>
          <w:i w:val="0"/>
          <w:sz w:val="18"/>
          <w:szCs w:val="18"/>
        </w:rPr>
        <w:t>ms</w:t>
      </w:r>
      <w:proofErr w:type="spellEnd"/>
      <w:r w:rsidRPr="00BC48A0">
        <w:rPr>
          <w:rFonts w:ascii="Times New Roman" w:hAnsi="Times New Roman"/>
          <w:b/>
          <w:bCs/>
          <w:i w:val="0"/>
          <w:sz w:val="18"/>
          <w:szCs w:val="18"/>
        </w:rPr>
        <w:t>, and include the temperature-scaled uncertainty as a routing signal that doesn't require any training, and we charge escalated queries for both tiers. The two conventions differ by 2.6 percentage points at 5 percent escalation and by 31.4 points at 60 percent, with charging only the answering tier showing a 23.3 percent decrease compared to no escalation, and full accounting showing an 8.0 percent increase. Full accounting results in making a break-even condition where the savings are roughly equal to the complement of the inter-tier energy ratio minus the escalation rate, as is met by our measurements. When accounting under this more stringent standard, the cascade still saves measured energy by 37.3 percent (95 percent CI 33.5 to 40.9) and maintains 95.9 percent of the answer quality at large tier. The paper presents a study of five models that demonstrate the scaling of informativeness of the routing signals with the scaling of capability of the small model, and a capability floor below which cascading is strictly harmful, which cannot be expressed by charging the answering tier only.</w:t>
      </w:r>
    </w:p>
    <w:p w:rsidR="007F7D63" w:rsidRDefault="00B7630C">
      <w:pPr>
        <w:spacing w:after="160"/>
        <w:jc w:val="both"/>
      </w:pPr>
      <w:r>
        <w:rPr>
          <w:rFonts w:ascii="Times New Roman" w:hAnsi="Times New Roman"/>
          <w:b/>
          <w:bCs/>
          <w:i/>
          <w:iCs/>
          <w:sz w:val="18"/>
          <w:szCs w:val="18"/>
        </w:rPr>
        <w:t>Index Terms</w:t>
      </w:r>
      <w:r w:rsidR="00BC48A0">
        <w:rPr>
          <w:rFonts w:ascii="Times New Roman" w:hAnsi="Times New Roman"/>
          <w:b/>
          <w:bCs/>
          <w:i/>
          <w:iCs/>
          <w:sz w:val="18"/>
          <w:szCs w:val="18"/>
        </w:rPr>
        <w:t xml:space="preserve">: </w:t>
      </w:r>
      <w:r>
        <w:rPr>
          <w:rFonts w:ascii="Times New Roman" w:hAnsi="Times New Roman"/>
          <w:i/>
          <w:iCs/>
          <w:sz w:val="18"/>
          <w:szCs w:val="18"/>
        </w:rPr>
        <w:t>green AI, model cascading, carbon accounting, energy measurement, uncertainty estimation</w:t>
      </w:r>
    </w:p>
    <w:p w:rsidR="007F7D63" w:rsidRDefault="00B7630C">
      <w:pPr>
        <w:spacing w:before="200" w:after="100"/>
        <w:jc w:val="center"/>
      </w:pPr>
      <w:r>
        <w:rPr>
          <w:rFonts w:ascii="Times New Roman" w:hAnsi="Times New Roman"/>
          <w:b/>
          <w:bCs/>
          <w:i w:val="0"/>
          <w:sz w:val="20"/>
        </w:rPr>
        <w:t>I. Introduction</w:t>
      </w:r>
    </w:p>
    <w:p w:rsidR="00BC48A0" w:rsidRDefault="00BC48A0" w:rsidP="00BC48A0">
      <w:pPr>
        <w:spacing w:line="220" w:lineRule="auto"/>
        <w:ind w:firstLine="200"/>
        <w:jc w:val="both"/>
      </w:pPr>
      <w:r>
        <w:rPr>
          <w:rFonts w:ascii="Times New Roman" w:hAnsi="Times New Roman"/>
          <w:b w:val="0"/>
          <w:i w:val="0"/>
          <w:sz w:val="20"/>
        </w:rPr>
        <w:t>The most important determinant of the lifecycle energy of a deployed LLM is not the training process itself, but the inference process, and this gap grows as more LLM use takes place [1], [2]. This cost is a structural inefficiency: difficult and easy requests of a production system are sent to the same large model. Cascading tackles this by trying to attempt a small model first, and only if there is some confidence signal that the answer is not reliable, will the system escalate to a larger model [3] and [4].</w:t>
      </w:r>
    </w:p>
    <w:p w:rsidR="00BC48A0" w:rsidRDefault="00BC48A0" w:rsidP="00BC48A0">
      <w:pPr>
        <w:spacing w:line="220" w:lineRule="auto"/>
        <w:ind w:firstLine="200"/>
        <w:jc w:val="both"/>
      </w:pPr>
      <w:proofErr w:type="gramStart"/>
      <w:proofErr w:type="gramEnd"/>
      <w:r>
        <w:rPr>
          <w:rFonts w:ascii="Times New Roman" w:hAnsi="Times New Roman"/>
          <w:b w:val="0"/>
          <w:i w:val="0"/>
          <w:sz w:val="20"/>
        </w:rPr>
        <w:t>The concept is straightforward, as is the question this paper poses. In a cascaded architecture, a smaller model attempts the query first; only when its confidence is low is the query routed to a larger, more resource-intensive model. By that point the smaller model has already executed, and its energy has already been consumed. A query to an evaluation can cost that evaluation, or only that evaluation which returned the answer. This is shown in Fig. 1. Both conventions describe the same system, but they are not equal, and it's unclear how different they are, how much more or how much less. Measuring it involves metering hardware not per-token estimates, and evaluating identical routing decisions for both conventions.</w:t>
      </w:r>
    </w:p>
    <w:p w:rsidR="007F7D63" w:rsidRDefault="00BC48A0" w:rsidP="00BC48A0">
      <w:pPr>
        <w:spacing w:line="220" w:lineRule="auto"/>
        <w:ind w:firstLine="200"/>
        <w:jc w:val="both"/>
      </w:pPr>
      <w:r>
        <w:rPr>
          <w:rFonts w:ascii="Times New Roman" w:hAnsi="Times New Roman"/>
          <w:b w:val="0"/>
          <w:i w:val="0"/>
          <w:sz w:val="20"/>
        </w:rPr>
        <w:t>There are three contributions we make. First, we measure the disagreement between the two conventions in terms of physically-measured energy and demonstrate that the disagreement is minimal at low levels of escalation, but substantial at moderate levels of escalation, to the extent that the sign of the conclusion is reversed. Second, we deduce and empirically verify a break-even condition that specifies the time at which cascading does not diminish energy at all. Third, we describe the routing signal at the level of task structure and across five small models, setting a benchmark that requires the routing signal to exceed the capability floor for cascading to be strictly harmful. All code, raw per-query records and analysis scripts will be released publicly, and the system is distributed as an installable Python package.</w:t>
      </w:r>
    </w:p>
    <w:p w:rsidR="007F7D63" w:rsidRDefault="00B7630C">
      <w:pPr>
        <w:spacing w:before="120" w:after="40"/>
        <w:jc w:val="center"/>
      </w:pPr>
      <w:r>
        <w:rPr>
          <w:noProof/>
        </w:rPr>
        <w:drawing>
          <wp:inline distT="0" distB="0" distL="0" distR="0">
            <wp:extent cx="2286000"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286000" cy="1676400"/>
                    </a:xfrm>
                    <a:prstGeom prst="rect">
                      <a:avLst/>
                    </a:prstGeom>
                  </pic:spPr>
                </pic:pic>
              </a:graphicData>
            </a:graphic>
          </wp:inline>
        </w:drawing>
      </w:r>
    </w:p>
    <w:p w:rsidR="007F7D63" w:rsidRDefault="00B7630C">
      <w:pPr>
        <w:spacing w:after="140"/>
      </w:pPr>
      <w:r>
        <w:rPr>
          <w:rFonts w:ascii="Times New Roman" w:hAnsi="Times New Roman"/>
          <w:b w:val="0"/>
          <w:i w:val="0"/>
          <w:sz w:val="16"/>
          <w:szCs w:val="16"/>
        </w:rPr>
        <w:t>Fig. 1. The two accounting conventions for an escalated query. Both describe the same execution; they differ in whether the already-spent small-model energy appears in the reported total.</w:t>
      </w:r>
    </w:p>
    <w:p w:rsidR="007F7D63" w:rsidRDefault="00B7630C">
      <w:pPr>
        <w:spacing w:before="200" w:after="100"/>
        <w:jc w:val="center"/>
      </w:pPr>
      <w:r>
        <w:rPr>
          <w:rFonts w:ascii="Times New Roman" w:hAnsi="Times New Roman"/>
          <w:b/>
          <w:bCs/>
          <w:i w:val="0"/>
          <w:sz w:val="20"/>
        </w:rPr>
        <w:t>II. Related Work</w:t>
      </w:r>
    </w:p>
    <w:p w:rsidR="00BC48A0" w:rsidRDefault="00BC48A0" w:rsidP="00BC48A0">
      <w:pPr>
        <w:spacing w:before="140" w:after="60"/>
        <w:ind w:firstLine="200"/>
        <w:jc w:val="both"/>
      </w:pPr>
      <w:r>
        <w:rPr>
          <w:rFonts w:ascii="Times New Roman" w:hAnsi="Times New Roman"/>
          <w:b w:val="0"/>
          <w:i w:val="0"/>
          <w:sz w:val="20"/>
        </w:rPr>
        <w:t xml:space="preserve">In the commercial API world, </w:t>
      </w:r>
      <w:proofErr w:type="spellStart"/>
      <w:r>
        <w:rPr>
          <w:rFonts w:ascii="Times New Roman" w:hAnsi="Times New Roman"/>
          <w:b w:val="0"/>
          <w:i w:val="0"/>
          <w:sz w:val="20"/>
        </w:rPr>
        <w:t>FrugalGPT</w:t>
      </w:r>
      <w:proofErr w:type="spellEnd"/>
      <w:r>
        <w:rPr>
          <w:rFonts w:ascii="Times New Roman" w:hAnsi="Times New Roman"/>
          <w:b w:val="0"/>
          <w:i w:val="0"/>
          <w:sz w:val="20"/>
        </w:rPr>
        <w:t xml:space="preserve"> [3] set a new pattern of optimizing the monetary cost using a learned scoring function to create a cascade pattern. The external scorer was replaced by few-shot self-verification in </w:t>
      </w:r>
      <w:proofErr w:type="spellStart"/>
      <w:r>
        <w:rPr>
          <w:rFonts w:ascii="Times New Roman" w:hAnsi="Times New Roman"/>
          <w:b w:val="0"/>
          <w:i w:val="0"/>
          <w:sz w:val="20"/>
        </w:rPr>
        <w:t>AutoMix</w:t>
      </w:r>
      <w:proofErr w:type="spellEnd"/>
      <w:r>
        <w:rPr>
          <w:rFonts w:ascii="Times New Roman" w:hAnsi="Times New Roman"/>
          <w:b w:val="0"/>
          <w:i w:val="0"/>
          <w:sz w:val="20"/>
        </w:rPr>
        <w:t xml:space="preserve"> [4] and routing was modeled as a partially observed decision process. C3PO [5] used conformal prediction to give label-free cost guarantees. For these systems, the question this paper investigates does not exist in the same form; if cost is charged for every API call then paying for the first attempt to an escalated query incurs costs regardless of whether the query is reported or not. We do not claim to know the internal accountings that any one prior system might make, and we merely point out that published descriptions do not record the energy that can be attributed to the previous efforts, which is what we measure.</w:t>
      </w:r>
    </w:p>
    <w:p w:rsidR="00BC48A0" w:rsidRDefault="00BC48A0" w:rsidP="00BC48A0">
      <w:pPr>
        <w:spacing w:before="140" w:after="60"/>
        <w:ind w:firstLine="200"/>
        <w:jc w:val="both"/>
      </w:pPr>
      <w:r>
        <w:rPr>
          <w:rFonts w:ascii="Times New Roman" w:hAnsi="Times New Roman"/>
          <w:b w:val="0"/>
          <w:i w:val="0"/>
          <w:sz w:val="20"/>
        </w:rPr>
        <w:t xml:space="preserve">Energy-aware routing is more recent. </w:t>
      </w:r>
      <w:proofErr w:type="spellStart"/>
      <w:r>
        <w:rPr>
          <w:rFonts w:ascii="Times New Roman" w:hAnsi="Times New Roman"/>
          <w:b w:val="0"/>
          <w:i w:val="0"/>
          <w:sz w:val="20"/>
        </w:rPr>
        <w:t>GreenServ</w:t>
      </w:r>
      <w:proofErr w:type="spellEnd"/>
      <w:r>
        <w:rPr>
          <w:rFonts w:ascii="Times New Roman" w:hAnsi="Times New Roman"/>
          <w:b w:val="0"/>
          <w:i w:val="0"/>
          <w:sz w:val="20"/>
        </w:rPr>
        <w:t xml:space="preserve"> [6] trains contextual bandits for energy-accuracy trade-offs in a model pool and GAR [7] considers the carbon-aware routing under an accuracy/latency constraint. Both estimate energy via analytical models, both necessitate training on a set of models (model pool), and both are not publicly installable. </w:t>
      </w:r>
      <w:proofErr w:type="spellStart"/>
      <w:r>
        <w:rPr>
          <w:rFonts w:ascii="Times New Roman" w:hAnsi="Times New Roman"/>
          <w:b w:val="0"/>
          <w:i w:val="0"/>
          <w:sz w:val="20"/>
        </w:rPr>
        <w:t>EcoLogits</w:t>
      </w:r>
      <w:proofErr w:type="spellEnd"/>
      <w:r>
        <w:rPr>
          <w:rFonts w:ascii="Times New Roman" w:hAnsi="Times New Roman"/>
          <w:b w:val="0"/>
          <w:i w:val="0"/>
          <w:sz w:val="20"/>
        </w:rPr>
        <w:t xml:space="preserve"> [8] provides carbon estimation for API models by peer review, but doesn't do routing.</w:t>
      </w:r>
    </w:p>
    <w:p w:rsidR="007F7D63" w:rsidRDefault="00BC48A0" w:rsidP="00BC48A0">
      <w:pPr>
        <w:spacing w:before="140" w:after="60"/>
        <w:ind w:firstLine="200"/>
        <w:jc w:val="both"/>
      </w:pPr>
      <w:r>
        <w:rPr>
          <w:rFonts w:ascii="Times New Roman" w:hAnsi="Times New Roman"/>
          <w:b w:val="0"/>
          <w:i w:val="0"/>
          <w:sz w:val="20"/>
        </w:rPr>
        <w:lastRenderedPageBreak/>
        <w:t>On the signal side, the usual correction for neural overconfidence is temperature scaling [9] and semantic entropy [10] adds value to the uncertainty estimation by grouping sampled generations by semantics (meaning) at the expense of repeated inference. Table I compares this work with the most similar systems as described in the published reports and cited along the axes of interest here. The key feature of this work is the introduction of the measurement of energy on hardware versus the estimation of energy, the explicit charging of superseded attempts, and the reporting of an alternative convention along with it, and the extension of this concept of the visual workload to include energy.</w:t>
      </w:r>
      <w:r>
        <w:rPr>
          <w:rFonts w:ascii="Times New Roman" w:hAnsi="Times New Roman"/>
          <w:b w:val="0"/>
          <w:i w:val="0"/>
          <w:sz w:val="20"/>
        </w:rPr>
        <w:br/>
      </w:r>
      <w:r>
        <w:rPr>
          <w:rFonts w:ascii="Times New Roman" w:hAnsi="Times New Roman"/>
          <w:b w:val="0"/>
          <w:i w:val="0"/>
          <w:sz w:val="20"/>
        </w:rPr>
        <w:br/>
      </w:r>
      <w:r w:rsidR="00B7630C">
        <w:rPr>
          <w:rFonts w:ascii="Times New Roman" w:hAnsi="Times New Roman"/>
          <w:b w:val="0"/>
          <w:i w:val="0"/>
          <w:sz w:val="20"/>
          <w:szCs w:val="16"/>
        </w:rPr>
        <w:t>TABLE I. POSITIONING, AS DESCRIBED IN PUBLISHED ACCOUNTS</w:t>
      </w:r>
    </w:p>
    <w:tbl>
      <w:tblPr>
        <w:tblW w:w="4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896"/>
        <w:gridCol w:w="817"/>
        <w:gridCol w:w="778"/>
        <w:gridCol w:w="1146"/>
      </w:tblGrid>
      <w:tr w:rsidR="007F7D63">
        <w:tblPrEx>
          <w:tblCellMar>
            <w:top w:w="0" w:type="dxa"/>
            <w:bottom w:w="0" w:type="dxa"/>
          </w:tblCellMar>
        </w:tblPrEx>
        <w:tc>
          <w:tcPr>
            <w:tcW w:w="114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System</w:t>
            </w:r>
          </w:p>
        </w:tc>
        <w:tc>
          <w:tcPr>
            <w:tcW w:w="900" w:type="dxa"/>
            <w:shd w:val="clear" w:color="auto" w:fill="E8E8E8"/>
            <w:tcMar>
              <w:top w:w="30" w:type="dxa"/>
              <w:left w:w="60" w:type="dxa"/>
              <w:bottom w:w="30" w:type="dxa"/>
              <w:right w:w="60" w:type="dxa"/>
            </w:tcMar>
          </w:tcPr>
          <w:p w:rsidR="007F7D63" w:rsidRDefault="00B7630C">
            <w:pPr>
              <w:jc w:val="center"/>
            </w:pPr>
            <w:proofErr w:type="spellStart"/>
            <w:r>
              <w:rPr>
                <w:rFonts w:ascii="Times New Roman" w:hAnsi="Times New Roman"/>
                <w:b/>
                <w:bCs/>
                <w:sz w:val="16"/>
                <w:szCs w:val="16"/>
              </w:rPr>
              <w:t>Optimises</w:t>
            </w:r>
            <w:proofErr w:type="spellEnd"/>
          </w:p>
        </w:tc>
        <w:tc>
          <w:tcPr>
            <w:tcW w:w="82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Energy figures</w:t>
            </w:r>
          </w:p>
        </w:tc>
        <w:tc>
          <w:tcPr>
            <w:tcW w:w="74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Training-free</w:t>
            </w:r>
          </w:p>
        </w:tc>
        <w:tc>
          <w:tcPr>
            <w:tcW w:w="116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Superseded attempt reported</w:t>
            </w:r>
          </w:p>
        </w:tc>
      </w:tr>
      <w:tr w:rsidR="007F7D63">
        <w:tblPrEx>
          <w:tblCellMar>
            <w:top w:w="0" w:type="dxa"/>
            <w:bottom w:w="0" w:type="dxa"/>
          </w:tblCellMar>
        </w:tblPrEx>
        <w:tc>
          <w:tcPr>
            <w:tcW w:w="1140" w:type="dxa"/>
            <w:tcMar>
              <w:top w:w="30" w:type="dxa"/>
              <w:left w:w="60" w:type="dxa"/>
              <w:bottom w:w="30" w:type="dxa"/>
              <w:right w:w="60" w:type="dxa"/>
            </w:tcMar>
          </w:tcPr>
          <w:p w:rsidR="007F7D63" w:rsidRDefault="00B7630C">
            <w:pPr>
              <w:jc w:val="center"/>
            </w:pPr>
            <w:proofErr w:type="spellStart"/>
            <w:r>
              <w:rPr>
                <w:rFonts w:ascii="Times New Roman" w:hAnsi="Times New Roman"/>
                <w:b w:val="0"/>
                <w:sz w:val="16"/>
                <w:szCs w:val="16"/>
              </w:rPr>
              <w:t>FrugalGPT</w:t>
            </w:r>
            <w:proofErr w:type="spellEnd"/>
            <w:r>
              <w:rPr>
                <w:rFonts w:ascii="Times New Roman" w:hAnsi="Times New Roman"/>
                <w:b w:val="0"/>
                <w:sz w:val="16"/>
                <w:szCs w:val="16"/>
              </w:rPr>
              <w:t xml:space="preserve"> [3]</w:t>
            </w:r>
          </w:p>
        </w:tc>
        <w:tc>
          <w:tcPr>
            <w:tcW w:w="900" w:type="dxa"/>
            <w:tcMar>
              <w:top w:w="30" w:type="dxa"/>
              <w:left w:w="60" w:type="dxa"/>
              <w:bottom w:w="30" w:type="dxa"/>
              <w:right w:w="60" w:type="dxa"/>
            </w:tcMar>
          </w:tcPr>
          <w:p w:rsidR="007F7D63" w:rsidRDefault="00B7630C">
            <w:pPr>
              <w:jc w:val="center"/>
            </w:pPr>
            <w:r>
              <w:rPr>
                <w:rFonts w:ascii="Times New Roman" w:hAnsi="Times New Roman"/>
                <w:b w:val="0"/>
                <w:sz w:val="16"/>
                <w:szCs w:val="16"/>
              </w:rPr>
              <w:t>Monetary cost</w:t>
            </w:r>
          </w:p>
        </w:tc>
        <w:tc>
          <w:tcPr>
            <w:tcW w:w="820" w:type="dxa"/>
            <w:tcMar>
              <w:top w:w="30" w:type="dxa"/>
              <w:left w:w="60" w:type="dxa"/>
              <w:bottom w:w="30" w:type="dxa"/>
              <w:right w:w="60" w:type="dxa"/>
            </w:tcMar>
          </w:tcPr>
          <w:p w:rsidR="007F7D63" w:rsidRDefault="00B7630C">
            <w:pPr>
              <w:jc w:val="center"/>
            </w:pPr>
            <w:r>
              <w:rPr>
                <w:rFonts w:ascii="Times New Roman" w:hAnsi="Times New Roman"/>
                <w:b w:val="0"/>
                <w:sz w:val="16"/>
                <w:szCs w:val="16"/>
              </w:rPr>
              <w:t>None</w:t>
            </w:r>
          </w:p>
        </w:tc>
        <w:tc>
          <w:tcPr>
            <w:tcW w:w="740" w:type="dxa"/>
            <w:tcMar>
              <w:top w:w="30" w:type="dxa"/>
              <w:left w:w="60" w:type="dxa"/>
              <w:bottom w:w="30" w:type="dxa"/>
              <w:right w:w="60" w:type="dxa"/>
            </w:tcMar>
          </w:tcPr>
          <w:p w:rsidR="007F7D63" w:rsidRDefault="00B7630C">
            <w:pPr>
              <w:jc w:val="center"/>
            </w:pPr>
            <w:r>
              <w:rPr>
                <w:rFonts w:ascii="Times New Roman" w:hAnsi="Times New Roman"/>
                <w:b w:val="0"/>
                <w:sz w:val="16"/>
                <w:szCs w:val="16"/>
              </w:rPr>
              <w:t>No</w:t>
            </w:r>
          </w:p>
        </w:tc>
        <w:tc>
          <w:tcPr>
            <w:tcW w:w="1160" w:type="dxa"/>
            <w:tcMar>
              <w:top w:w="30" w:type="dxa"/>
              <w:left w:w="60" w:type="dxa"/>
              <w:bottom w:w="30" w:type="dxa"/>
              <w:right w:w="60" w:type="dxa"/>
            </w:tcMar>
          </w:tcPr>
          <w:p w:rsidR="007F7D63" w:rsidRDefault="00B7630C">
            <w:pPr>
              <w:jc w:val="center"/>
            </w:pPr>
            <w:r>
              <w:rPr>
                <w:rFonts w:ascii="Times New Roman" w:hAnsi="Times New Roman"/>
                <w:b w:val="0"/>
                <w:sz w:val="16"/>
                <w:szCs w:val="16"/>
              </w:rPr>
              <w:t>Not reported</w:t>
            </w:r>
          </w:p>
        </w:tc>
      </w:tr>
      <w:tr w:rsidR="007F7D63">
        <w:tblPrEx>
          <w:tblCellMar>
            <w:top w:w="0" w:type="dxa"/>
            <w:bottom w:w="0" w:type="dxa"/>
          </w:tblCellMar>
        </w:tblPrEx>
        <w:tc>
          <w:tcPr>
            <w:tcW w:w="1140" w:type="dxa"/>
            <w:tcMar>
              <w:top w:w="30" w:type="dxa"/>
              <w:left w:w="60" w:type="dxa"/>
              <w:bottom w:w="30" w:type="dxa"/>
              <w:right w:w="60" w:type="dxa"/>
            </w:tcMar>
          </w:tcPr>
          <w:p w:rsidR="007F7D63" w:rsidRDefault="00B7630C">
            <w:pPr>
              <w:jc w:val="center"/>
            </w:pPr>
            <w:proofErr w:type="spellStart"/>
            <w:r>
              <w:rPr>
                <w:rFonts w:ascii="Times New Roman" w:hAnsi="Times New Roman"/>
                <w:b w:val="0"/>
                <w:sz w:val="16"/>
                <w:szCs w:val="16"/>
              </w:rPr>
              <w:t>AutoMix</w:t>
            </w:r>
            <w:proofErr w:type="spellEnd"/>
            <w:r>
              <w:rPr>
                <w:rFonts w:ascii="Times New Roman" w:hAnsi="Times New Roman"/>
                <w:b w:val="0"/>
                <w:sz w:val="16"/>
                <w:szCs w:val="16"/>
              </w:rPr>
              <w:t xml:space="preserve"> [4]</w:t>
            </w:r>
          </w:p>
        </w:tc>
        <w:tc>
          <w:tcPr>
            <w:tcW w:w="900" w:type="dxa"/>
            <w:tcMar>
              <w:top w:w="30" w:type="dxa"/>
              <w:left w:w="60" w:type="dxa"/>
              <w:bottom w:w="30" w:type="dxa"/>
              <w:right w:w="60" w:type="dxa"/>
            </w:tcMar>
          </w:tcPr>
          <w:p w:rsidR="007F7D63" w:rsidRDefault="00B7630C">
            <w:pPr>
              <w:jc w:val="center"/>
            </w:pPr>
            <w:r>
              <w:rPr>
                <w:rFonts w:ascii="Times New Roman" w:hAnsi="Times New Roman"/>
                <w:b w:val="0"/>
                <w:sz w:val="16"/>
                <w:szCs w:val="16"/>
              </w:rPr>
              <w:t>Cost, accuracy</w:t>
            </w:r>
          </w:p>
        </w:tc>
        <w:tc>
          <w:tcPr>
            <w:tcW w:w="820" w:type="dxa"/>
            <w:tcMar>
              <w:top w:w="30" w:type="dxa"/>
              <w:left w:w="60" w:type="dxa"/>
              <w:bottom w:w="30" w:type="dxa"/>
              <w:right w:w="60" w:type="dxa"/>
            </w:tcMar>
          </w:tcPr>
          <w:p w:rsidR="007F7D63" w:rsidRDefault="00B7630C">
            <w:pPr>
              <w:jc w:val="center"/>
            </w:pPr>
            <w:r>
              <w:rPr>
                <w:rFonts w:ascii="Times New Roman" w:hAnsi="Times New Roman"/>
                <w:b w:val="0"/>
                <w:sz w:val="16"/>
                <w:szCs w:val="16"/>
              </w:rPr>
              <w:t>None</w:t>
            </w:r>
          </w:p>
        </w:tc>
        <w:tc>
          <w:tcPr>
            <w:tcW w:w="740" w:type="dxa"/>
            <w:tcMar>
              <w:top w:w="30" w:type="dxa"/>
              <w:left w:w="60" w:type="dxa"/>
              <w:bottom w:w="30" w:type="dxa"/>
              <w:right w:w="60" w:type="dxa"/>
            </w:tcMar>
          </w:tcPr>
          <w:p w:rsidR="007F7D63" w:rsidRDefault="00B7630C">
            <w:pPr>
              <w:jc w:val="center"/>
            </w:pPr>
            <w:r>
              <w:rPr>
                <w:rFonts w:ascii="Times New Roman" w:hAnsi="Times New Roman"/>
                <w:b w:val="0"/>
                <w:sz w:val="16"/>
                <w:szCs w:val="16"/>
              </w:rPr>
              <w:t>Yes</w:t>
            </w:r>
          </w:p>
        </w:tc>
        <w:tc>
          <w:tcPr>
            <w:tcW w:w="1160" w:type="dxa"/>
            <w:tcMar>
              <w:top w:w="30" w:type="dxa"/>
              <w:left w:w="60" w:type="dxa"/>
              <w:bottom w:w="30" w:type="dxa"/>
              <w:right w:w="60" w:type="dxa"/>
            </w:tcMar>
          </w:tcPr>
          <w:p w:rsidR="007F7D63" w:rsidRDefault="00B7630C">
            <w:pPr>
              <w:jc w:val="center"/>
            </w:pPr>
            <w:r>
              <w:rPr>
                <w:rFonts w:ascii="Times New Roman" w:hAnsi="Times New Roman"/>
                <w:b w:val="0"/>
                <w:sz w:val="16"/>
                <w:szCs w:val="16"/>
              </w:rPr>
              <w:t>Not reported</w:t>
            </w:r>
          </w:p>
        </w:tc>
      </w:tr>
      <w:tr w:rsidR="007F7D63">
        <w:tblPrEx>
          <w:tblCellMar>
            <w:top w:w="0" w:type="dxa"/>
            <w:bottom w:w="0" w:type="dxa"/>
          </w:tblCellMar>
        </w:tblPrEx>
        <w:tc>
          <w:tcPr>
            <w:tcW w:w="1140" w:type="dxa"/>
            <w:tcMar>
              <w:top w:w="30" w:type="dxa"/>
              <w:left w:w="60" w:type="dxa"/>
              <w:bottom w:w="30" w:type="dxa"/>
              <w:right w:w="60" w:type="dxa"/>
            </w:tcMar>
          </w:tcPr>
          <w:p w:rsidR="007F7D63" w:rsidRDefault="00B7630C">
            <w:pPr>
              <w:jc w:val="center"/>
            </w:pPr>
            <w:r>
              <w:rPr>
                <w:rFonts w:ascii="Times New Roman" w:hAnsi="Times New Roman"/>
                <w:b w:val="0"/>
                <w:sz w:val="16"/>
                <w:szCs w:val="16"/>
              </w:rPr>
              <w:t>C3PO [5]</w:t>
            </w:r>
          </w:p>
        </w:tc>
        <w:tc>
          <w:tcPr>
            <w:tcW w:w="900" w:type="dxa"/>
            <w:tcMar>
              <w:top w:w="30" w:type="dxa"/>
              <w:left w:w="60" w:type="dxa"/>
              <w:bottom w:w="30" w:type="dxa"/>
              <w:right w:w="60" w:type="dxa"/>
            </w:tcMar>
          </w:tcPr>
          <w:p w:rsidR="007F7D63" w:rsidRDefault="00B7630C">
            <w:pPr>
              <w:jc w:val="center"/>
            </w:pPr>
            <w:r>
              <w:rPr>
                <w:rFonts w:ascii="Times New Roman" w:hAnsi="Times New Roman"/>
                <w:b w:val="0"/>
                <w:sz w:val="16"/>
                <w:szCs w:val="16"/>
              </w:rPr>
              <w:t>Cost bound</w:t>
            </w:r>
          </w:p>
        </w:tc>
        <w:tc>
          <w:tcPr>
            <w:tcW w:w="820" w:type="dxa"/>
            <w:tcMar>
              <w:top w:w="30" w:type="dxa"/>
              <w:left w:w="60" w:type="dxa"/>
              <w:bottom w:w="30" w:type="dxa"/>
              <w:right w:w="60" w:type="dxa"/>
            </w:tcMar>
          </w:tcPr>
          <w:p w:rsidR="007F7D63" w:rsidRDefault="00B7630C">
            <w:pPr>
              <w:jc w:val="center"/>
            </w:pPr>
            <w:r>
              <w:rPr>
                <w:rFonts w:ascii="Times New Roman" w:hAnsi="Times New Roman"/>
                <w:b w:val="0"/>
                <w:sz w:val="16"/>
                <w:szCs w:val="16"/>
              </w:rPr>
              <w:t>None</w:t>
            </w:r>
          </w:p>
        </w:tc>
        <w:tc>
          <w:tcPr>
            <w:tcW w:w="740" w:type="dxa"/>
            <w:tcMar>
              <w:top w:w="30" w:type="dxa"/>
              <w:left w:w="60" w:type="dxa"/>
              <w:bottom w:w="30" w:type="dxa"/>
              <w:right w:w="60" w:type="dxa"/>
            </w:tcMar>
          </w:tcPr>
          <w:p w:rsidR="007F7D63" w:rsidRDefault="00B7630C">
            <w:pPr>
              <w:jc w:val="center"/>
            </w:pPr>
            <w:r>
              <w:rPr>
                <w:rFonts w:ascii="Times New Roman" w:hAnsi="Times New Roman"/>
                <w:b w:val="0"/>
                <w:sz w:val="16"/>
                <w:szCs w:val="16"/>
              </w:rPr>
              <w:t>Yes</w:t>
            </w:r>
          </w:p>
        </w:tc>
        <w:tc>
          <w:tcPr>
            <w:tcW w:w="1160" w:type="dxa"/>
            <w:tcMar>
              <w:top w:w="30" w:type="dxa"/>
              <w:left w:w="60" w:type="dxa"/>
              <w:bottom w:w="30" w:type="dxa"/>
              <w:right w:w="60" w:type="dxa"/>
            </w:tcMar>
          </w:tcPr>
          <w:p w:rsidR="007F7D63" w:rsidRDefault="00B7630C">
            <w:pPr>
              <w:jc w:val="center"/>
            </w:pPr>
            <w:r>
              <w:rPr>
                <w:rFonts w:ascii="Times New Roman" w:hAnsi="Times New Roman"/>
                <w:b w:val="0"/>
                <w:sz w:val="16"/>
                <w:szCs w:val="16"/>
              </w:rPr>
              <w:t>Not reported</w:t>
            </w:r>
          </w:p>
        </w:tc>
      </w:tr>
      <w:tr w:rsidR="007F7D63">
        <w:tblPrEx>
          <w:tblCellMar>
            <w:top w:w="0" w:type="dxa"/>
            <w:bottom w:w="0" w:type="dxa"/>
          </w:tblCellMar>
        </w:tblPrEx>
        <w:tc>
          <w:tcPr>
            <w:tcW w:w="1140" w:type="dxa"/>
            <w:tcMar>
              <w:top w:w="30" w:type="dxa"/>
              <w:left w:w="60" w:type="dxa"/>
              <w:bottom w:w="30" w:type="dxa"/>
              <w:right w:w="60" w:type="dxa"/>
            </w:tcMar>
          </w:tcPr>
          <w:p w:rsidR="007F7D63" w:rsidRDefault="00B7630C">
            <w:pPr>
              <w:jc w:val="center"/>
            </w:pPr>
            <w:proofErr w:type="spellStart"/>
            <w:r>
              <w:rPr>
                <w:rFonts w:ascii="Times New Roman" w:hAnsi="Times New Roman"/>
                <w:b w:val="0"/>
                <w:sz w:val="16"/>
                <w:szCs w:val="16"/>
              </w:rPr>
              <w:t>GreenServ</w:t>
            </w:r>
            <w:proofErr w:type="spellEnd"/>
            <w:r>
              <w:rPr>
                <w:rFonts w:ascii="Times New Roman" w:hAnsi="Times New Roman"/>
                <w:b w:val="0"/>
                <w:sz w:val="16"/>
                <w:szCs w:val="16"/>
              </w:rPr>
              <w:t xml:space="preserve"> [6]</w:t>
            </w:r>
          </w:p>
        </w:tc>
        <w:tc>
          <w:tcPr>
            <w:tcW w:w="900" w:type="dxa"/>
            <w:tcMar>
              <w:top w:w="30" w:type="dxa"/>
              <w:left w:w="60" w:type="dxa"/>
              <w:bottom w:w="30" w:type="dxa"/>
              <w:right w:w="60" w:type="dxa"/>
            </w:tcMar>
          </w:tcPr>
          <w:p w:rsidR="007F7D63" w:rsidRDefault="00B7630C">
            <w:pPr>
              <w:jc w:val="center"/>
            </w:pPr>
            <w:r>
              <w:rPr>
                <w:rFonts w:ascii="Times New Roman" w:hAnsi="Times New Roman"/>
                <w:b w:val="0"/>
                <w:sz w:val="16"/>
                <w:szCs w:val="16"/>
              </w:rPr>
              <w:t>Energy</w:t>
            </w:r>
          </w:p>
        </w:tc>
        <w:tc>
          <w:tcPr>
            <w:tcW w:w="820" w:type="dxa"/>
            <w:tcMar>
              <w:top w:w="30" w:type="dxa"/>
              <w:left w:w="60" w:type="dxa"/>
              <w:bottom w:w="30" w:type="dxa"/>
              <w:right w:w="60" w:type="dxa"/>
            </w:tcMar>
          </w:tcPr>
          <w:p w:rsidR="007F7D63" w:rsidRDefault="00B7630C">
            <w:pPr>
              <w:jc w:val="center"/>
            </w:pPr>
            <w:r>
              <w:rPr>
                <w:rFonts w:ascii="Times New Roman" w:hAnsi="Times New Roman"/>
                <w:b w:val="0"/>
                <w:sz w:val="16"/>
                <w:szCs w:val="16"/>
              </w:rPr>
              <w:t>Estimated</w:t>
            </w:r>
          </w:p>
        </w:tc>
        <w:tc>
          <w:tcPr>
            <w:tcW w:w="740" w:type="dxa"/>
            <w:tcMar>
              <w:top w:w="30" w:type="dxa"/>
              <w:left w:w="60" w:type="dxa"/>
              <w:bottom w:w="30" w:type="dxa"/>
              <w:right w:w="60" w:type="dxa"/>
            </w:tcMar>
          </w:tcPr>
          <w:p w:rsidR="007F7D63" w:rsidRDefault="00B7630C">
            <w:pPr>
              <w:jc w:val="center"/>
            </w:pPr>
            <w:r>
              <w:rPr>
                <w:rFonts w:ascii="Times New Roman" w:hAnsi="Times New Roman"/>
                <w:b w:val="0"/>
                <w:sz w:val="16"/>
                <w:szCs w:val="16"/>
              </w:rPr>
              <w:t>No</w:t>
            </w:r>
          </w:p>
        </w:tc>
        <w:tc>
          <w:tcPr>
            <w:tcW w:w="1160" w:type="dxa"/>
            <w:tcMar>
              <w:top w:w="30" w:type="dxa"/>
              <w:left w:w="60" w:type="dxa"/>
              <w:bottom w:w="30" w:type="dxa"/>
              <w:right w:w="60" w:type="dxa"/>
            </w:tcMar>
          </w:tcPr>
          <w:p w:rsidR="007F7D63" w:rsidRDefault="00B7630C">
            <w:pPr>
              <w:jc w:val="center"/>
            </w:pPr>
            <w:r>
              <w:rPr>
                <w:rFonts w:ascii="Times New Roman" w:hAnsi="Times New Roman"/>
                <w:b w:val="0"/>
                <w:sz w:val="16"/>
                <w:szCs w:val="16"/>
              </w:rPr>
              <w:t>Not reported</w:t>
            </w:r>
          </w:p>
        </w:tc>
      </w:tr>
      <w:tr w:rsidR="007F7D63">
        <w:tblPrEx>
          <w:tblCellMar>
            <w:top w:w="0" w:type="dxa"/>
            <w:bottom w:w="0" w:type="dxa"/>
          </w:tblCellMar>
        </w:tblPrEx>
        <w:tc>
          <w:tcPr>
            <w:tcW w:w="1140" w:type="dxa"/>
            <w:tcMar>
              <w:top w:w="30" w:type="dxa"/>
              <w:left w:w="60" w:type="dxa"/>
              <w:bottom w:w="30" w:type="dxa"/>
              <w:right w:w="60" w:type="dxa"/>
            </w:tcMar>
          </w:tcPr>
          <w:p w:rsidR="007F7D63" w:rsidRDefault="00B7630C">
            <w:pPr>
              <w:jc w:val="center"/>
            </w:pPr>
            <w:r>
              <w:rPr>
                <w:rFonts w:ascii="Times New Roman" w:hAnsi="Times New Roman"/>
                <w:b w:val="0"/>
                <w:sz w:val="16"/>
                <w:szCs w:val="16"/>
              </w:rPr>
              <w:t>GAR [7]</w:t>
            </w:r>
          </w:p>
        </w:tc>
        <w:tc>
          <w:tcPr>
            <w:tcW w:w="900" w:type="dxa"/>
            <w:tcMar>
              <w:top w:w="30" w:type="dxa"/>
              <w:left w:w="60" w:type="dxa"/>
              <w:bottom w:w="30" w:type="dxa"/>
              <w:right w:w="60" w:type="dxa"/>
            </w:tcMar>
          </w:tcPr>
          <w:p w:rsidR="007F7D63" w:rsidRDefault="00B7630C">
            <w:pPr>
              <w:jc w:val="center"/>
            </w:pPr>
            <w:r>
              <w:rPr>
                <w:rFonts w:ascii="Times New Roman" w:hAnsi="Times New Roman"/>
                <w:b w:val="0"/>
                <w:sz w:val="16"/>
                <w:szCs w:val="16"/>
              </w:rPr>
              <w:t>Carbon, SLO</w:t>
            </w:r>
          </w:p>
        </w:tc>
        <w:tc>
          <w:tcPr>
            <w:tcW w:w="820" w:type="dxa"/>
            <w:tcMar>
              <w:top w:w="30" w:type="dxa"/>
              <w:left w:w="60" w:type="dxa"/>
              <w:bottom w:w="30" w:type="dxa"/>
              <w:right w:w="60" w:type="dxa"/>
            </w:tcMar>
          </w:tcPr>
          <w:p w:rsidR="007F7D63" w:rsidRDefault="00B7630C">
            <w:pPr>
              <w:jc w:val="center"/>
            </w:pPr>
            <w:r>
              <w:rPr>
                <w:rFonts w:ascii="Times New Roman" w:hAnsi="Times New Roman"/>
                <w:b w:val="0"/>
                <w:sz w:val="16"/>
                <w:szCs w:val="16"/>
              </w:rPr>
              <w:t>Estimated</w:t>
            </w:r>
          </w:p>
        </w:tc>
        <w:tc>
          <w:tcPr>
            <w:tcW w:w="740" w:type="dxa"/>
            <w:tcMar>
              <w:top w:w="30" w:type="dxa"/>
              <w:left w:w="60" w:type="dxa"/>
              <w:bottom w:w="30" w:type="dxa"/>
              <w:right w:w="60" w:type="dxa"/>
            </w:tcMar>
          </w:tcPr>
          <w:p w:rsidR="007F7D63" w:rsidRDefault="00B7630C">
            <w:pPr>
              <w:jc w:val="center"/>
            </w:pPr>
            <w:r>
              <w:rPr>
                <w:rFonts w:ascii="Times New Roman" w:hAnsi="Times New Roman"/>
                <w:b w:val="0"/>
                <w:sz w:val="16"/>
                <w:szCs w:val="16"/>
              </w:rPr>
              <w:t>No</w:t>
            </w:r>
          </w:p>
        </w:tc>
        <w:tc>
          <w:tcPr>
            <w:tcW w:w="1160" w:type="dxa"/>
            <w:tcMar>
              <w:top w:w="30" w:type="dxa"/>
              <w:left w:w="60" w:type="dxa"/>
              <w:bottom w:w="30" w:type="dxa"/>
              <w:right w:w="60" w:type="dxa"/>
            </w:tcMar>
          </w:tcPr>
          <w:p w:rsidR="007F7D63" w:rsidRDefault="00B7630C">
            <w:pPr>
              <w:jc w:val="center"/>
            </w:pPr>
            <w:r>
              <w:rPr>
                <w:rFonts w:ascii="Times New Roman" w:hAnsi="Times New Roman"/>
                <w:b w:val="0"/>
                <w:sz w:val="16"/>
                <w:szCs w:val="16"/>
              </w:rPr>
              <w:t>Not reported</w:t>
            </w:r>
          </w:p>
        </w:tc>
      </w:tr>
      <w:tr w:rsidR="007F7D63">
        <w:tblPrEx>
          <w:tblCellMar>
            <w:top w:w="0" w:type="dxa"/>
            <w:bottom w:w="0" w:type="dxa"/>
          </w:tblCellMar>
        </w:tblPrEx>
        <w:tc>
          <w:tcPr>
            <w:tcW w:w="1140" w:type="dxa"/>
            <w:tcMar>
              <w:top w:w="30" w:type="dxa"/>
              <w:left w:w="60" w:type="dxa"/>
              <w:bottom w:w="30" w:type="dxa"/>
              <w:right w:w="60" w:type="dxa"/>
            </w:tcMar>
          </w:tcPr>
          <w:p w:rsidR="007F7D63" w:rsidRDefault="00B7630C">
            <w:pPr>
              <w:jc w:val="center"/>
            </w:pPr>
            <w:proofErr w:type="spellStart"/>
            <w:r>
              <w:rPr>
                <w:rFonts w:ascii="Times New Roman" w:hAnsi="Times New Roman"/>
                <w:b w:val="0"/>
                <w:sz w:val="16"/>
                <w:szCs w:val="16"/>
              </w:rPr>
              <w:t>EcoLogits</w:t>
            </w:r>
            <w:proofErr w:type="spellEnd"/>
            <w:r>
              <w:rPr>
                <w:rFonts w:ascii="Times New Roman" w:hAnsi="Times New Roman"/>
                <w:b w:val="0"/>
                <w:sz w:val="16"/>
                <w:szCs w:val="16"/>
              </w:rPr>
              <w:t xml:space="preserve"> [8]</w:t>
            </w:r>
          </w:p>
        </w:tc>
        <w:tc>
          <w:tcPr>
            <w:tcW w:w="900" w:type="dxa"/>
            <w:tcMar>
              <w:top w:w="30" w:type="dxa"/>
              <w:left w:w="60" w:type="dxa"/>
              <w:bottom w:w="30" w:type="dxa"/>
              <w:right w:w="60" w:type="dxa"/>
            </w:tcMar>
          </w:tcPr>
          <w:p w:rsidR="007F7D63" w:rsidRDefault="00B7630C">
            <w:pPr>
              <w:jc w:val="center"/>
            </w:pPr>
            <w:r>
              <w:rPr>
                <w:rFonts w:ascii="Times New Roman" w:hAnsi="Times New Roman"/>
                <w:b w:val="0"/>
                <w:sz w:val="16"/>
                <w:szCs w:val="16"/>
              </w:rPr>
              <w:t>n/a (estimator)</w:t>
            </w:r>
          </w:p>
        </w:tc>
        <w:tc>
          <w:tcPr>
            <w:tcW w:w="820" w:type="dxa"/>
            <w:tcMar>
              <w:top w:w="30" w:type="dxa"/>
              <w:left w:w="60" w:type="dxa"/>
              <w:bottom w:w="30" w:type="dxa"/>
              <w:right w:w="60" w:type="dxa"/>
            </w:tcMar>
          </w:tcPr>
          <w:p w:rsidR="007F7D63" w:rsidRDefault="00B7630C">
            <w:pPr>
              <w:jc w:val="center"/>
            </w:pPr>
            <w:r>
              <w:rPr>
                <w:rFonts w:ascii="Times New Roman" w:hAnsi="Times New Roman"/>
                <w:b w:val="0"/>
                <w:sz w:val="16"/>
                <w:szCs w:val="16"/>
              </w:rPr>
              <w:t>Estimated</w:t>
            </w:r>
          </w:p>
        </w:tc>
        <w:tc>
          <w:tcPr>
            <w:tcW w:w="740" w:type="dxa"/>
            <w:tcMar>
              <w:top w:w="30" w:type="dxa"/>
              <w:left w:w="60" w:type="dxa"/>
              <w:bottom w:w="30" w:type="dxa"/>
              <w:right w:w="60" w:type="dxa"/>
            </w:tcMar>
          </w:tcPr>
          <w:p w:rsidR="007F7D63" w:rsidRDefault="00B7630C">
            <w:pPr>
              <w:jc w:val="center"/>
            </w:pPr>
            <w:r>
              <w:rPr>
                <w:rFonts w:ascii="Times New Roman" w:hAnsi="Times New Roman"/>
                <w:b w:val="0"/>
                <w:sz w:val="16"/>
                <w:szCs w:val="16"/>
              </w:rPr>
              <w:t>Yes</w:t>
            </w:r>
          </w:p>
        </w:tc>
        <w:tc>
          <w:tcPr>
            <w:tcW w:w="1160" w:type="dxa"/>
            <w:tcMar>
              <w:top w:w="30" w:type="dxa"/>
              <w:left w:w="60" w:type="dxa"/>
              <w:bottom w:w="30" w:type="dxa"/>
              <w:right w:w="60" w:type="dxa"/>
            </w:tcMar>
          </w:tcPr>
          <w:p w:rsidR="007F7D63" w:rsidRDefault="00B7630C">
            <w:pPr>
              <w:jc w:val="center"/>
            </w:pPr>
            <w:r>
              <w:rPr>
                <w:rFonts w:ascii="Times New Roman" w:hAnsi="Times New Roman"/>
                <w:b w:val="0"/>
                <w:sz w:val="16"/>
                <w:szCs w:val="16"/>
              </w:rPr>
              <w:t>n/a</w:t>
            </w:r>
          </w:p>
        </w:tc>
      </w:tr>
      <w:tr w:rsidR="007F7D63">
        <w:tblPrEx>
          <w:tblCellMar>
            <w:top w:w="0" w:type="dxa"/>
            <w:bottom w:w="0" w:type="dxa"/>
          </w:tblCellMar>
        </w:tblPrEx>
        <w:tc>
          <w:tcPr>
            <w:tcW w:w="1140" w:type="dxa"/>
            <w:tcMar>
              <w:top w:w="30" w:type="dxa"/>
              <w:left w:w="60" w:type="dxa"/>
              <w:bottom w:w="30" w:type="dxa"/>
              <w:right w:w="60" w:type="dxa"/>
            </w:tcMar>
          </w:tcPr>
          <w:p w:rsidR="007F7D63" w:rsidRDefault="00B7630C">
            <w:pPr>
              <w:jc w:val="center"/>
            </w:pPr>
            <w:r>
              <w:rPr>
                <w:rFonts w:ascii="Times New Roman" w:hAnsi="Times New Roman"/>
                <w:b w:val="0"/>
                <w:sz w:val="16"/>
                <w:szCs w:val="16"/>
              </w:rPr>
              <w:t>This work</w:t>
            </w:r>
          </w:p>
        </w:tc>
        <w:tc>
          <w:tcPr>
            <w:tcW w:w="900" w:type="dxa"/>
            <w:tcMar>
              <w:top w:w="30" w:type="dxa"/>
              <w:left w:w="60" w:type="dxa"/>
              <w:bottom w:w="30" w:type="dxa"/>
              <w:right w:w="60" w:type="dxa"/>
            </w:tcMar>
          </w:tcPr>
          <w:p w:rsidR="007F7D63" w:rsidRDefault="00B7630C">
            <w:pPr>
              <w:jc w:val="center"/>
            </w:pPr>
            <w:r>
              <w:rPr>
                <w:rFonts w:ascii="Times New Roman" w:hAnsi="Times New Roman"/>
                <w:b w:val="0"/>
                <w:sz w:val="16"/>
                <w:szCs w:val="16"/>
              </w:rPr>
              <w:t>Energy, quality</w:t>
            </w:r>
          </w:p>
        </w:tc>
        <w:tc>
          <w:tcPr>
            <w:tcW w:w="820" w:type="dxa"/>
            <w:tcMar>
              <w:top w:w="30" w:type="dxa"/>
              <w:left w:w="60" w:type="dxa"/>
              <w:bottom w:w="30" w:type="dxa"/>
              <w:right w:w="60" w:type="dxa"/>
            </w:tcMar>
          </w:tcPr>
          <w:p w:rsidR="007F7D63" w:rsidRDefault="00B7630C">
            <w:pPr>
              <w:jc w:val="center"/>
            </w:pPr>
            <w:r>
              <w:rPr>
                <w:rFonts w:ascii="Times New Roman" w:hAnsi="Times New Roman"/>
                <w:b w:val="0"/>
                <w:sz w:val="16"/>
                <w:szCs w:val="16"/>
              </w:rPr>
              <w:t>Measured</w:t>
            </w:r>
          </w:p>
        </w:tc>
        <w:tc>
          <w:tcPr>
            <w:tcW w:w="740" w:type="dxa"/>
            <w:tcMar>
              <w:top w:w="30" w:type="dxa"/>
              <w:left w:w="60" w:type="dxa"/>
              <w:bottom w:w="30" w:type="dxa"/>
              <w:right w:w="60" w:type="dxa"/>
            </w:tcMar>
          </w:tcPr>
          <w:p w:rsidR="007F7D63" w:rsidRDefault="00B7630C">
            <w:pPr>
              <w:jc w:val="center"/>
            </w:pPr>
            <w:r>
              <w:rPr>
                <w:rFonts w:ascii="Times New Roman" w:hAnsi="Times New Roman"/>
                <w:b w:val="0"/>
                <w:sz w:val="16"/>
                <w:szCs w:val="16"/>
              </w:rPr>
              <w:t>Yes</w:t>
            </w:r>
          </w:p>
        </w:tc>
        <w:tc>
          <w:tcPr>
            <w:tcW w:w="1160" w:type="dxa"/>
            <w:tcMar>
              <w:top w:w="30" w:type="dxa"/>
              <w:left w:w="60" w:type="dxa"/>
              <w:bottom w:w="30" w:type="dxa"/>
              <w:right w:w="60" w:type="dxa"/>
            </w:tcMar>
          </w:tcPr>
          <w:p w:rsidR="007F7D63" w:rsidRDefault="00B7630C">
            <w:pPr>
              <w:jc w:val="center"/>
            </w:pPr>
            <w:r>
              <w:rPr>
                <w:rFonts w:ascii="Times New Roman" w:hAnsi="Times New Roman"/>
                <w:b w:val="0"/>
                <w:sz w:val="16"/>
                <w:szCs w:val="16"/>
              </w:rPr>
              <w:t>Reported, both conventions</w:t>
            </w:r>
          </w:p>
        </w:tc>
      </w:tr>
    </w:tbl>
    <w:p w:rsidR="007F7D63" w:rsidRDefault="00B7630C">
      <w:pPr>
        <w:spacing w:after="140"/>
      </w:pPr>
      <w:r>
        <w:rPr>
          <w:sz w:val="8"/>
          <w:szCs w:val="8"/>
        </w:rPr>
        <w:t xml:space="preserve"> </w:t>
      </w:r>
    </w:p>
    <w:p w:rsidR="007F7D63" w:rsidRDefault="00B7630C">
      <w:pPr>
        <w:spacing w:before="200" w:after="100"/>
        <w:jc w:val="center"/>
      </w:pPr>
      <w:r>
        <w:rPr>
          <w:rFonts w:ascii="Times New Roman" w:hAnsi="Times New Roman"/>
          <w:b/>
          <w:bCs/>
          <w:i w:val="0"/>
          <w:sz w:val="20"/>
        </w:rPr>
        <w:t>III. Method</w:t>
      </w:r>
    </w:p>
    <w:p w:rsidR="007F7D63" w:rsidRDefault="00B7630C">
      <w:pPr>
        <w:spacing w:before="120" w:after="60"/>
        <w:jc w:val="left"/>
      </w:pPr>
      <w:r>
        <w:rPr>
          <w:rFonts w:ascii="Times New Roman" w:hAnsi="Times New Roman"/>
          <w:b/>
          <w:bCs/>
          <w:i/>
          <w:iCs/>
          <w:sz w:val="20"/>
        </w:rPr>
        <w:t>A. Cascade and routing signal</w:t>
      </w:r>
    </w:p>
    <w:p w:rsidR="00BC48A0" w:rsidRDefault="00BC48A0">
      <w:pPr>
        <w:spacing w:before="120" w:after="60"/>
        <w:ind w:firstLine="200"/>
        <w:jc w:val="both"/>
      </w:pPr>
      <w:r w:rsidRPr="00BC48A0">
        <w:rPr>
          <w:rFonts w:ascii="Times New Roman" w:hAnsi="Times New Roman"/>
          <w:b w:val="0"/>
          <w:i w:val="0"/>
          <w:sz w:val="20"/>
        </w:rPr>
        <w:t xml:space="preserve">They start by responding to a query with a small open-weight model that is run locally, as the routing signal is derived from the token logits, which are not provided by the hosted APIs. We use mean token entropy over the generated sequence for free-form text, the mean entropy over the </w:t>
      </w:r>
      <w:proofErr w:type="spellStart"/>
      <w:r w:rsidRPr="00BC48A0">
        <w:rPr>
          <w:rFonts w:ascii="Times New Roman" w:hAnsi="Times New Roman"/>
          <w:b w:val="0"/>
          <w:i w:val="0"/>
          <w:sz w:val="20"/>
        </w:rPr>
        <w:t>renormalised</w:t>
      </w:r>
      <w:proofErr w:type="spellEnd"/>
      <w:r w:rsidRPr="00BC48A0">
        <w:rPr>
          <w:rFonts w:ascii="Times New Roman" w:hAnsi="Times New Roman"/>
          <w:b w:val="0"/>
          <w:i w:val="0"/>
          <w:sz w:val="20"/>
        </w:rPr>
        <w:t xml:space="preserve"> distribution across answer options for multiple-choice, and the mean probability that the model assigns to its own generated tokens for visual question answering. Before the </w:t>
      </w:r>
      <w:proofErr w:type="spellStart"/>
      <w:r w:rsidRPr="00BC48A0">
        <w:rPr>
          <w:rFonts w:ascii="Times New Roman" w:hAnsi="Times New Roman"/>
          <w:b w:val="0"/>
          <w:i w:val="0"/>
          <w:sz w:val="20"/>
        </w:rPr>
        <w:t>softmax</w:t>
      </w:r>
      <w:proofErr w:type="spellEnd"/>
      <w:r w:rsidRPr="00BC48A0">
        <w:rPr>
          <w:rFonts w:ascii="Times New Roman" w:hAnsi="Times New Roman"/>
          <w:b w:val="0"/>
          <w:i w:val="0"/>
          <w:sz w:val="20"/>
        </w:rPr>
        <w:t xml:space="preserve"> [9] a temperature is fitted on a held-out validation set, and then logits are divided. If the signal generated by the query exceeds a threshold, the query is escalated if there is a carbon budget.</w:t>
      </w:r>
    </w:p>
    <w:p w:rsidR="007F7D63" w:rsidRDefault="00B7630C">
      <w:pPr>
        <w:spacing w:before="120" w:after="60"/>
        <w:jc w:val="left"/>
      </w:pPr>
      <w:r>
        <w:rPr>
          <w:rFonts w:ascii="Times New Roman" w:hAnsi="Times New Roman"/>
          <w:b/>
          <w:bCs/>
          <w:i/>
          <w:iCs/>
          <w:sz w:val="20"/>
        </w:rPr>
        <w:t>B. Dual-mode carbon measurement</w:t>
      </w:r>
    </w:p>
    <w:p w:rsidR="007F7D63" w:rsidRDefault="00B7630C">
      <w:pPr>
        <w:spacing w:line="220" w:lineRule="auto"/>
        <w:ind w:firstLine="200"/>
        <w:jc w:val="both"/>
      </w:pPr>
      <w:r>
        <w:rPr>
          <w:rFonts w:ascii="Times New Roman" w:hAnsi="Times New Roman"/>
          <w:b w:val="0"/>
          <w:i w:val="0"/>
          <w:sz w:val="20"/>
        </w:rPr>
        <w:t xml:space="preserve">Local inference is measured, not estimated. A background thread polls instantaneous power draw at 100 </w:t>
      </w:r>
      <w:proofErr w:type="spellStart"/>
      <w:r>
        <w:rPr>
          <w:rFonts w:ascii="Times New Roman" w:hAnsi="Times New Roman"/>
          <w:b w:val="0"/>
          <w:i w:val="0"/>
          <w:sz w:val="20"/>
        </w:rPr>
        <w:t>ms</w:t>
      </w:r>
      <w:proofErr w:type="spellEnd"/>
      <w:r>
        <w:rPr>
          <w:rFonts w:ascii="Times New Roman" w:hAnsi="Times New Roman"/>
          <w:b w:val="0"/>
          <w:i w:val="0"/>
          <w:sz w:val="20"/>
        </w:rPr>
        <w:t xml:space="preserve"> intervals through NVML, summed across every visible device, since </w:t>
      </w:r>
      <w:proofErr w:type="spellStart"/>
      <w:r>
        <w:rPr>
          <w:rFonts w:ascii="Times New Roman" w:hAnsi="Times New Roman"/>
          <w:b w:val="0"/>
          <w:i w:val="0"/>
          <w:sz w:val="20"/>
        </w:rPr>
        <w:t>quantised</w:t>
      </w:r>
      <w:proofErr w:type="spellEnd"/>
      <w:r>
        <w:rPr>
          <w:rFonts w:ascii="Times New Roman" w:hAnsi="Times New Roman"/>
          <w:b w:val="0"/>
          <w:i w:val="0"/>
          <w:sz w:val="20"/>
        </w:rPr>
        <w:t xml:space="preserve"> models </w:t>
      </w:r>
      <w:proofErr w:type="spellStart"/>
      <w:r>
        <w:rPr>
          <w:rFonts w:ascii="Times New Roman" w:hAnsi="Times New Roman"/>
          <w:b w:val="0"/>
          <w:i w:val="0"/>
          <w:sz w:val="20"/>
        </w:rPr>
        <w:t>sharded</w:t>
      </w:r>
      <w:proofErr w:type="spellEnd"/>
      <w:r>
        <w:rPr>
          <w:rFonts w:ascii="Times New Roman" w:hAnsi="Times New Roman"/>
          <w:b w:val="0"/>
          <w:i w:val="0"/>
          <w:sz w:val="20"/>
        </w:rPr>
        <w:t xml:space="preserve"> over multiple accelerators draw power on all of them; sampli</w:t>
      </w:r>
      <w:r>
        <w:rPr>
          <w:rFonts w:ascii="Times New Roman" w:hAnsi="Times New Roman"/>
          <w:b w:val="0"/>
          <w:i w:val="0"/>
          <w:sz w:val="20"/>
        </w:rPr>
        <w:t>ng a single device understated an identical workload by a factor of 2.4 in our own instrumentation audit. Energy is mean sampled power integrated over inference time, and carbon follows C = E x PUE x I with PUE 1.2 and grid intensity I. API tiers, which ca</w:t>
      </w:r>
      <w:r>
        <w:rPr>
          <w:rFonts w:ascii="Times New Roman" w:hAnsi="Times New Roman"/>
          <w:b w:val="0"/>
          <w:i w:val="0"/>
          <w:sz w:val="20"/>
        </w:rPr>
        <w:t xml:space="preserve">nnot be metered, use </w:t>
      </w:r>
      <w:proofErr w:type="spellStart"/>
      <w:r>
        <w:rPr>
          <w:rFonts w:ascii="Times New Roman" w:hAnsi="Times New Roman"/>
          <w:b w:val="0"/>
          <w:i w:val="0"/>
          <w:sz w:val="20"/>
        </w:rPr>
        <w:t>EcoLogits</w:t>
      </w:r>
      <w:proofErr w:type="spellEnd"/>
      <w:r>
        <w:rPr>
          <w:rFonts w:ascii="Times New Roman" w:hAnsi="Times New Roman"/>
          <w:b w:val="0"/>
          <w:i w:val="0"/>
          <w:sz w:val="20"/>
        </w:rPr>
        <w:t xml:space="preserve"> [8] and are reported separately as estimates.</w:t>
      </w:r>
    </w:p>
    <w:p w:rsidR="007F7D63" w:rsidRDefault="00B7630C">
      <w:pPr>
        <w:spacing w:before="120" w:after="60"/>
        <w:jc w:val="left"/>
      </w:pPr>
      <w:r>
        <w:rPr>
          <w:rFonts w:ascii="Times New Roman" w:hAnsi="Times New Roman"/>
          <w:b/>
          <w:bCs/>
          <w:i/>
          <w:iCs/>
          <w:sz w:val="20"/>
        </w:rPr>
        <w:t>C. Full carbon accounting and break-even</w:t>
      </w:r>
    </w:p>
    <w:p w:rsidR="007F7D63" w:rsidRDefault="00B7630C">
      <w:pPr>
        <w:spacing w:line="220" w:lineRule="auto"/>
        <w:ind w:firstLine="200"/>
        <w:jc w:val="both"/>
      </w:pPr>
      <w:r>
        <w:rPr>
          <w:rFonts w:ascii="Times New Roman" w:hAnsi="Times New Roman"/>
          <w:b w:val="0"/>
          <w:i w:val="0"/>
          <w:sz w:val="20"/>
        </w:rPr>
        <w:t xml:space="preserve">Let C_s and </w:t>
      </w:r>
      <w:proofErr w:type="spellStart"/>
      <w:r>
        <w:rPr>
          <w:rFonts w:ascii="Times New Roman" w:hAnsi="Times New Roman"/>
          <w:b w:val="0"/>
          <w:i w:val="0"/>
          <w:sz w:val="20"/>
        </w:rPr>
        <w:t>C_l</w:t>
      </w:r>
      <w:proofErr w:type="spellEnd"/>
      <w:r>
        <w:rPr>
          <w:rFonts w:ascii="Times New Roman" w:hAnsi="Times New Roman"/>
          <w:b w:val="0"/>
          <w:i w:val="0"/>
          <w:sz w:val="20"/>
        </w:rPr>
        <w:t xml:space="preserve"> </w:t>
      </w:r>
      <w:proofErr w:type="gramStart"/>
      <w:r>
        <w:rPr>
          <w:rFonts w:ascii="Times New Roman" w:hAnsi="Times New Roman"/>
          <w:b w:val="0"/>
          <w:i w:val="0"/>
          <w:sz w:val="20"/>
        </w:rPr>
        <w:t>denote</w:t>
      </w:r>
      <w:proofErr w:type="gramEnd"/>
      <w:r>
        <w:rPr>
          <w:rFonts w:ascii="Times New Roman" w:hAnsi="Times New Roman"/>
          <w:b w:val="0"/>
          <w:i w:val="0"/>
          <w:sz w:val="20"/>
        </w:rPr>
        <w:t xml:space="preserve"> the mean per-query carbon of the small and large tiers and let </w:t>
      </w:r>
      <w:proofErr w:type="spellStart"/>
      <w:r>
        <w:rPr>
          <w:rFonts w:ascii="Times New Roman" w:hAnsi="Times New Roman"/>
          <w:b w:val="0"/>
          <w:i w:val="0"/>
          <w:sz w:val="20"/>
        </w:rPr>
        <w:t>e</w:t>
      </w:r>
      <w:proofErr w:type="spellEnd"/>
      <w:r>
        <w:rPr>
          <w:rFonts w:ascii="Times New Roman" w:hAnsi="Times New Roman"/>
          <w:b w:val="0"/>
          <w:i w:val="0"/>
          <w:sz w:val="20"/>
        </w:rPr>
        <w:t xml:space="preserve"> be the escalation rate. The </w:t>
      </w:r>
      <w:r>
        <w:rPr>
          <w:rFonts w:ascii="Times New Roman" w:hAnsi="Times New Roman"/>
          <w:b w:val="0"/>
          <w:i w:val="0"/>
          <w:sz w:val="20"/>
        </w:rPr>
        <w:t xml:space="preserve">prevailing convention </w:t>
      </w:r>
      <w:r>
        <w:rPr>
          <w:rFonts w:ascii="Times New Roman" w:hAnsi="Times New Roman"/>
          <w:b w:val="0"/>
          <w:i w:val="0"/>
          <w:sz w:val="20"/>
        </w:rPr>
        <w:t xml:space="preserve">reports </w:t>
      </w:r>
      <w:proofErr w:type="spellStart"/>
      <w:r>
        <w:rPr>
          <w:rFonts w:ascii="Times New Roman" w:hAnsi="Times New Roman"/>
          <w:b w:val="0"/>
          <w:i w:val="0"/>
          <w:sz w:val="20"/>
        </w:rPr>
        <w:t>C_naive</w:t>
      </w:r>
      <w:proofErr w:type="spellEnd"/>
      <w:r>
        <w:rPr>
          <w:rFonts w:ascii="Times New Roman" w:hAnsi="Times New Roman"/>
          <w:b w:val="0"/>
          <w:i w:val="0"/>
          <w:sz w:val="20"/>
        </w:rPr>
        <w:t xml:space="preserve"> = (1-e) C_s + e </w:t>
      </w:r>
      <w:proofErr w:type="spellStart"/>
      <w:r>
        <w:rPr>
          <w:rFonts w:ascii="Times New Roman" w:hAnsi="Times New Roman"/>
          <w:b w:val="0"/>
          <w:i w:val="0"/>
          <w:sz w:val="20"/>
        </w:rPr>
        <w:t>C_l</w:t>
      </w:r>
      <w:proofErr w:type="spellEnd"/>
      <w:r>
        <w:rPr>
          <w:rFonts w:ascii="Times New Roman" w:hAnsi="Times New Roman"/>
          <w:b w:val="0"/>
          <w:i w:val="0"/>
          <w:sz w:val="20"/>
        </w:rPr>
        <w:t xml:space="preserve">. Full accounting charges the discarded attempt on every escalated query, giving </w:t>
      </w:r>
      <w:proofErr w:type="spellStart"/>
      <w:r>
        <w:rPr>
          <w:rFonts w:ascii="Times New Roman" w:hAnsi="Times New Roman"/>
          <w:b w:val="0"/>
          <w:i w:val="0"/>
          <w:sz w:val="20"/>
        </w:rPr>
        <w:t>C_full</w:t>
      </w:r>
      <w:proofErr w:type="spellEnd"/>
      <w:r>
        <w:rPr>
          <w:rFonts w:ascii="Times New Roman" w:hAnsi="Times New Roman"/>
          <w:b w:val="0"/>
          <w:i w:val="0"/>
          <w:sz w:val="20"/>
        </w:rPr>
        <w:t xml:space="preserve"> = C_s + e </w:t>
      </w:r>
      <w:proofErr w:type="spellStart"/>
      <w:r>
        <w:rPr>
          <w:rFonts w:ascii="Times New Roman" w:hAnsi="Times New Roman"/>
          <w:b w:val="0"/>
          <w:i w:val="0"/>
          <w:sz w:val="20"/>
        </w:rPr>
        <w:t>C_l</w:t>
      </w:r>
      <w:proofErr w:type="spellEnd"/>
      <w:r>
        <w:rPr>
          <w:rFonts w:ascii="Times New Roman" w:hAnsi="Times New Roman"/>
          <w:b w:val="0"/>
          <w:i w:val="0"/>
          <w:sz w:val="20"/>
        </w:rPr>
        <w:t>. Relative to always using the large tier, savings under full accounting are</w:t>
      </w:r>
    </w:p>
    <w:p w:rsidR="007F7D63" w:rsidRDefault="00B7630C">
      <w:pPr>
        <w:spacing w:before="60" w:after="60"/>
        <w:ind w:firstLine="200"/>
        <w:jc w:val="both"/>
      </w:pPr>
      <w:r>
        <w:rPr>
          <w:rFonts w:ascii="Times New Roman" w:hAnsi="Times New Roman"/>
          <w:b w:val="0"/>
          <w:i w:val="0"/>
          <w:iCs/>
          <w:sz w:val="20"/>
        </w:rPr>
        <w:t xml:space="preserve">S = 1 - (C_s / </w:t>
      </w:r>
      <w:proofErr w:type="spellStart"/>
      <w:r>
        <w:rPr>
          <w:rFonts w:ascii="Times New Roman" w:hAnsi="Times New Roman"/>
          <w:b w:val="0"/>
          <w:i w:val="0"/>
          <w:iCs/>
          <w:sz w:val="20"/>
        </w:rPr>
        <w:t>C_l</w:t>
      </w:r>
      <w:proofErr w:type="spellEnd"/>
      <w:r>
        <w:rPr>
          <w:rFonts w:ascii="Times New Roman" w:hAnsi="Times New Roman"/>
          <w:b w:val="0"/>
          <w:i w:val="0"/>
          <w:iCs/>
          <w:sz w:val="20"/>
        </w:rPr>
        <w:t>) - e,</w:t>
      </w:r>
    </w:p>
    <w:p w:rsidR="007F7D63" w:rsidRDefault="00B7630C">
      <w:pPr>
        <w:spacing w:line="220" w:lineRule="auto"/>
        <w:ind w:firstLine="200"/>
        <w:jc w:val="both"/>
      </w:pPr>
      <w:proofErr w:type="gramStart"/>
      <w:r>
        <w:rPr>
          <w:rFonts w:ascii="Times New Roman" w:hAnsi="Times New Roman"/>
          <w:b w:val="0"/>
          <w:i w:val="0"/>
          <w:sz w:val="20"/>
        </w:rPr>
        <w:t>so</w:t>
      </w:r>
      <w:proofErr w:type="gramEnd"/>
      <w:r>
        <w:rPr>
          <w:rFonts w:ascii="Times New Roman" w:hAnsi="Times New Roman"/>
          <w:b w:val="0"/>
          <w:i w:val="0"/>
          <w:sz w:val="20"/>
        </w:rPr>
        <w:t xml:space="preserve"> a cascade reduc</w:t>
      </w:r>
      <w:r>
        <w:rPr>
          <w:rFonts w:ascii="Times New Roman" w:hAnsi="Times New Roman"/>
          <w:b w:val="0"/>
          <w:i w:val="0"/>
          <w:sz w:val="20"/>
        </w:rPr>
        <w:t>es energy only while e &lt; 1 - C_s/</w:t>
      </w:r>
      <w:proofErr w:type="spellStart"/>
      <w:r>
        <w:rPr>
          <w:rFonts w:ascii="Times New Roman" w:hAnsi="Times New Roman"/>
          <w:b w:val="0"/>
          <w:i w:val="0"/>
          <w:sz w:val="20"/>
        </w:rPr>
        <w:t>C_l</w:t>
      </w:r>
      <w:proofErr w:type="spellEnd"/>
      <w:r>
        <w:rPr>
          <w:rFonts w:ascii="Times New Roman" w:hAnsi="Times New Roman"/>
          <w:b w:val="0"/>
          <w:i w:val="0"/>
          <w:sz w:val="20"/>
        </w:rPr>
        <w:t>. The inter-tier energy ratio therefore bounds achievable savings, and a sufficiently escalating cascade emits more than never cascading. The naive convention omits the C_s term on escalated queries and cannot express th</w:t>
      </w:r>
      <w:r>
        <w:rPr>
          <w:rFonts w:ascii="Times New Roman" w:hAnsi="Times New Roman"/>
          <w:b w:val="0"/>
          <w:i w:val="0"/>
          <w:sz w:val="20"/>
        </w:rPr>
        <w:t>is condition.</w:t>
      </w:r>
    </w:p>
    <w:p w:rsidR="007F7D63" w:rsidRDefault="00B7630C">
      <w:pPr>
        <w:spacing w:before="120" w:after="60"/>
        <w:jc w:val="left"/>
      </w:pPr>
      <w:r>
        <w:rPr>
          <w:rFonts w:ascii="Times New Roman" w:hAnsi="Times New Roman"/>
          <w:b/>
          <w:bCs/>
          <w:i/>
          <w:iCs/>
          <w:sz w:val="20"/>
        </w:rPr>
        <w:t>D. Calibration and threshold selection</w:t>
      </w:r>
    </w:p>
    <w:p w:rsidR="007F7D63" w:rsidRDefault="00B7630C">
      <w:pPr>
        <w:spacing w:line="220" w:lineRule="auto"/>
        <w:ind w:firstLine="200"/>
        <w:jc w:val="both"/>
      </w:pPr>
      <w:r>
        <w:rPr>
          <w:rFonts w:ascii="Times New Roman" w:hAnsi="Times New Roman"/>
          <w:b w:val="0"/>
          <w:i w:val="0"/>
          <w:sz w:val="20"/>
        </w:rPr>
        <w:t xml:space="preserve">Language models are systematically overconfident, so raw entropy thresholds are not comparable across models. We fit a single scalar temperature per small model by </w:t>
      </w:r>
      <w:proofErr w:type="spellStart"/>
      <w:r>
        <w:rPr>
          <w:rFonts w:ascii="Times New Roman" w:hAnsi="Times New Roman"/>
          <w:b w:val="0"/>
          <w:i w:val="0"/>
          <w:sz w:val="20"/>
        </w:rPr>
        <w:t>minimising</w:t>
      </w:r>
      <w:proofErr w:type="spellEnd"/>
      <w:r>
        <w:rPr>
          <w:rFonts w:ascii="Times New Roman" w:hAnsi="Times New Roman"/>
          <w:b w:val="0"/>
          <w:i w:val="0"/>
          <w:sz w:val="20"/>
        </w:rPr>
        <w:t xml:space="preserve"> negative log-likelihood on a</w:t>
      </w:r>
      <w:r>
        <w:rPr>
          <w:rFonts w:ascii="Times New Roman" w:hAnsi="Times New Roman"/>
          <w:b w:val="0"/>
          <w:i w:val="0"/>
          <w:sz w:val="20"/>
        </w:rPr>
        <w:t xml:space="preserve"> held-out validation split, following [9], and report Expected Calibration Error before and after. Across the seven models calibrated in this study, ECE fell by between 32.9 and 71.9 percent; the 4-bit large model required the largest correction, consisten</w:t>
      </w:r>
      <w:r>
        <w:rPr>
          <w:rFonts w:ascii="Times New Roman" w:hAnsi="Times New Roman"/>
          <w:b w:val="0"/>
          <w:i w:val="0"/>
          <w:sz w:val="20"/>
        </w:rPr>
        <w:t xml:space="preserve">t with </w:t>
      </w:r>
      <w:proofErr w:type="spellStart"/>
      <w:r>
        <w:rPr>
          <w:rFonts w:ascii="Times New Roman" w:hAnsi="Times New Roman"/>
          <w:b w:val="0"/>
          <w:i w:val="0"/>
          <w:sz w:val="20"/>
        </w:rPr>
        <w:t>quantisation</w:t>
      </w:r>
      <w:proofErr w:type="spellEnd"/>
      <w:r>
        <w:rPr>
          <w:rFonts w:ascii="Times New Roman" w:hAnsi="Times New Roman"/>
          <w:b w:val="0"/>
          <w:i w:val="0"/>
          <w:sz w:val="20"/>
        </w:rPr>
        <w:t xml:space="preserve"> amplifying overconfidence. Thresholds are then selected as percentiles of the observed signal distribution, which makes them transferable across models whose entropy scales differ.</w:t>
      </w:r>
    </w:p>
    <w:p w:rsidR="007F7D63" w:rsidRDefault="00B7630C">
      <w:pPr>
        <w:spacing w:before="120" w:after="40"/>
        <w:jc w:val="center"/>
      </w:pPr>
      <w:r>
        <w:rPr>
          <w:noProof/>
        </w:rPr>
        <w:drawing>
          <wp:inline distT="0" distB="0" distL="0" distR="0">
            <wp:extent cx="2286000" cy="1619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86000" cy="1619250"/>
                    </a:xfrm>
                    <a:prstGeom prst="rect">
                      <a:avLst/>
                    </a:prstGeom>
                  </pic:spPr>
                </pic:pic>
              </a:graphicData>
            </a:graphic>
          </wp:inline>
        </w:drawing>
      </w:r>
    </w:p>
    <w:p w:rsidR="007F7D63" w:rsidRDefault="00B7630C">
      <w:pPr>
        <w:spacing w:after="140"/>
      </w:pPr>
      <w:r>
        <w:rPr>
          <w:rFonts w:ascii="Times New Roman" w:hAnsi="Times New Roman"/>
          <w:b w:val="0"/>
          <w:i w:val="0"/>
          <w:sz w:val="16"/>
          <w:szCs w:val="16"/>
        </w:rPr>
        <w:t>Fig. 2. Expected Calibration Error before and after t</w:t>
      </w:r>
      <w:r>
        <w:rPr>
          <w:rFonts w:ascii="Times New Roman" w:hAnsi="Times New Roman"/>
          <w:b w:val="0"/>
          <w:i w:val="0"/>
          <w:sz w:val="16"/>
          <w:szCs w:val="16"/>
        </w:rPr>
        <w:t>emperature scaling for the seven models calibrated in this study. Every model is overconfident before correction; the 4-bit large model requires the largest temperature.</w:t>
      </w:r>
    </w:p>
    <w:p w:rsidR="007F7D63" w:rsidRDefault="00B7630C">
      <w:pPr>
        <w:spacing w:before="120" w:after="60"/>
        <w:jc w:val="left"/>
      </w:pPr>
      <w:r>
        <w:rPr>
          <w:rFonts w:ascii="Times New Roman" w:hAnsi="Times New Roman"/>
          <w:b/>
          <w:bCs/>
          <w:i/>
          <w:iCs/>
          <w:sz w:val="20"/>
        </w:rPr>
        <w:t>E. Carbon budget</w:t>
      </w:r>
    </w:p>
    <w:p w:rsidR="007F7D63" w:rsidRDefault="00B7630C">
      <w:pPr>
        <w:spacing w:line="220" w:lineRule="auto"/>
        <w:ind w:firstLine="200"/>
        <w:jc w:val="both"/>
      </w:pPr>
      <w:r>
        <w:rPr>
          <w:rFonts w:ascii="Times New Roman" w:hAnsi="Times New Roman"/>
          <w:b w:val="0"/>
          <w:i w:val="0"/>
          <w:sz w:val="20"/>
        </w:rPr>
        <w:t>Deployments that must respect a carbon ceiling cannot rely on a stati</w:t>
      </w:r>
      <w:r>
        <w:rPr>
          <w:rFonts w:ascii="Times New Roman" w:hAnsi="Times New Roman"/>
          <w:b w:val="0"/>
          <w:i w:val="0"/>
          <w:sz w:val="20"/>
        </w:rPr>
        <w:t>c threshold, since escalation rate varies with traffic. We maintain a sliding window over recent routing decisions and block escalation when the projected cost would exceed the budget within the window, allowing it to resume as older spending ages out. Rep</w:t>
      </w:r>
      <w:r>
        <w:rPr>
          <w:rFonts w:ascii="Times New Roman" w:hAnsi="Times New Roman"/>
          <w:b w:val="0"/>
          <w:i w:val="0"/>
          <w:sz w:val="20"/>
        </w:rPr>
        <w:t>laying our judged queries under arrival timestamps drawn from a production inference trace, a 10 g per 600 s budget deferred 37 of 51 attempted escalations during bursts, capping carbon 15 percent below the unbudgeted operating point while mean quality deg</w:t>
      </w:r>
      <w:r>
        <w:rPr>
          <w:rFonts w:ascii="Times New Roman" w:hAnsi="Times New Roman"/>
          <w:b w:val="0"/>
          <w:i w:val="0"/>
          <w:sz w:val="20"/>
        </w:rPr>
        <w:t xml:space="preserve">raded from 2.464 to 2.390. The mechanism therefore trades quality gracefully rather than failing, which is the </w:t>
      </w:r>
      <w:proofErr w:type="spellStart"/>
      <w:r>
        <w:rPr>
          <w:rFonts w:ascii="Times New Roman" w:hAnsi="Times New Roman"/>
          <w:b w:val="0"/>
          <w:i w:val="0"/>
          <w:sz w:val="20"/>
        </w:rPr>
        <w:t>behaviour</w:t>
      </w:r>
      <w:proofErr w:type="spellEnd"/>
      <w:r>
        <w:rPr>
          <w:rFonts w:ascii="Times New Roman" w:hAnsi="Times New Roman"/>
          <w:b w:val="0"/>
          <w:i w:val="0"/>
          <w:sz w:val="20"/>
        </w:rPr>
        <w:t xml:space="preserve"> a service-level constraint requires.</w:t>
      </w:r>
    </w:p>
    <w:p w:rsidR="007F7D63" w:rsidRDefault="00B7630C">
      <w:pPr>
        <w:spacing w:before="200" w:after="100"/>
        <w:jc w:val="left"/>
      </w:pPr>
      <w:r>
        <w:rPr>
          <w:rFonts w:ascii="Times New Roman" w:hAnsi="Times New Roman"/>
          <w:b/>
          <w:i/>
          <w:sz w:val="20"/>
        </w:rPr>
        <w:t>F. Implementation and availability</w:t>
      </w:r>
    </w:p>
    <w:p w:rsidR="007F7D63" w:rsidRDefault="00B7630C">
      <w:pPr>
        <w:spacing w:before="200" w:after="100"/>
        <w:ind w:firstLine="200"/>
        <w:jc w:val="both"/>
      </w:pPr>
      <w:r>
        <w:rPr>
          <w:rFonts w:ascii="Times New Roman" w:hAnsi="Times New Roman"/>
          <w:b w:val="0"/>
          <w:i w:val="0"/>
          <w:sz w:val="20"/>
        </w:rPr>
        <w:t>The system is released as an installable Python package rather than as experiment scripts, so that the routing policy, the measurement method and the accounting convention evaluated here can be applied directly to other deployments. A cascade is configured with any local open-weight small model and either a local or a hosted large model, after which a single call routes a query and returns the answer together with its full-accounted energy, the routing decision and the signal value that produced it. A session-level call reports cumulative energy, escalation rate and the energy attributable to superseded attempts, which are the three quantities the break-even condition requires. Calibration temperatures fitted in this study ship with the package for the seven models evaluated, and an unlisted model can be calibrated locally by the same procedure described in Section III-D. The package is distributed through a public package index; the identifier is withheld for blind review.</w:t>
      </w:r>
    </w:p>
    <w:p w:rsidR="007F7D63" w:rsidRDefault="00B7630C">
      <w:pPr>
        <w:spacing w:before="200" w:after="100"/>
        <w:jc w:val="center"/>
      </w:pPr>
      <w:r>
        <w:rPr>
          <w:rFonts w:ascii="Times New Roman" w:hAnsi="Times New Roman"/>
          <w:b/>
          <w:bCs/>
          <w:i w:val="0"/>
          <w:sz w:val="20"/>
        </w:rPr>
        <w:t>IV. Experimental Setup</w:t>
      </w:r>
    </w:p>
    <w:p w:rsidR="007F7D63" w:rsidRDefault="00B7630C">
      <w:pPr>
        <w:spacing w:line="220" w:lineRule="auto"/>
        <w:ind w:firstLine="200"/>
        <w:jc w:val="both"/>
      </w:pPr>
      <w:r>
        <w:rPr>
          <w:rFonts w:ascii="Times New Roman" w:hAnsi="Times New Roman"/>
          <w:b w:val="0"/>
          <w:i w:val="0"/>
          <w:sz w:val="20"/>
        </w:rPr>
        <w:t>We evaluate three deployment configurations on shared query sets. The prima</w:t>
      </w:r>
      <w:r>
        <w:rPr>
          <w:rFonts w:ascii="Times New Roman" w:hAnsi="Times New Roman"/>
          <w:b w:val="0"/>
          <w:i w:val="0"/>
          <w:sz w:val="20"/>
        </w:rPr>
        <w:t>ry local-to-local configuration pairs Qwen2.5-1.5B-Instruct with Mistral-7B-Instruct-v0.2 in 4-bit, both metered on identical hardware, which is the only configuration in which both tiers are measured on a common basis. A local-to-API configuration pairs M</w:t>
      </w:r>
      <w:r>
        <w:rPr>
          <w:rFonts w:ascii="Times New Roman" w:hAnsi="Times New Roman"/>
          <w:b w:val="0"/>
          <w:i w:val="0"/>
          <w:sz w:val="20"/>
        </w:rPr>
        <w:t>istral-7B with GPT-4o-mini, exercising both profiler modes. An API-to-API configuration pairs GPT-4o-mini with GPT-4o, routed on provider log-probabilities, where the exactly known quantity is monetary cost.</w:t>
      </w:r>
    </w:p>
    <w:p w:rsidR="007F7D63" w:rsidRDefault="00B7630C">
      <w:pPr>
        <w:spacing w:line="220" w:lineRule="auto"/>
        <w:ind w:firstLine="200"/>
        <w:jc w:val="both"/>
      </w:pPr>
      <w:r>
        <w:rPr>
          <w:rFonts w:ascii="Times New Roman" w:hAnsi="Times New Roman"/>
          <w:b w:val="0"/>
          <w:i w:val="0"/>
          <w:sz w:val="20"/>
        </w:rPr>
        <w:lastRenderedPageBreak/>
        <w:t xml:space="preserve">Workloads are 500 first-turn </w:t>
      </w:r>
      <w:proofErr w:type="spellStart"/>
      <w:r>
        <w:rPr>
          <w:rFonts w:ascii="Times New Roman" w:hAnsi="Times New Roman"/>
          <w:b w:val="0"/>
          <w:i w:val="0"/>
          <w:sz w:val="20"/>
        </w:rPr>
        <w:t>ShareGPT</w:t>
      </w:r>
      <w:proofErr w:type="spellEnd"/>
      <w:r>
        <w:rPr>
          <w:rFonts w:ascii="Times New Roman" w:hAnsi="Times New Roman"/>
          <w:b w:val="0"/>
          <w:i w:val="0"/>
          <w:sz w:val="20"/>
        </w:rPr>
        <w:t xml:space="preserve"> user queri</w:t>
      </w:r>
      <w:r>
        <w:rPr>
          <w:rFonts w:ascii="Times New Roman" w:hAnsi="Times New Roman"/>
          <w:b w:val="0"/>
          <w:i w:val="0"/>
          <w:sz w:val="20"/>
        </w:rPr>
        <w:t>es scrubbed of personal information, 300 MMLU test questions, and 500 VQAv2 questions with embedded images; 150 held-out MMLU validation questions per model are used only for calibration. Open-ended answers are scored once each on a five-point scale by a G</w:t>
      </w:r>
      <w:r>
        <w:rPr>
          <w:rFonts w:ascii="Times New Roman" w:hAnsi="Times New Roman"/>
          <w:b w:val="0"/>
          <w:i w:val="0"/>
          <w:sz w:val="20"/>
        </w:rPr>
        <w:t>PT-4o judge, cross-checked by an open-weight second judge and by a blind two-annotator human sample. Structured and visual workloads use exact-match ground truth. All experiments ran on free-tier dual NVIDIA T4 accelerators; energy repeatability across thr</w:t>
      </w:r>
      <w:r>
        <w:rPr>
          <w:rFonts w:ascii="Times New Roman" w:hAnsi="Times New Roman"/>
          <w:b w:val="0"/>
          <w:i w:val="0"/>
          <w:sz w:val="20"/>
        </w:rPr>
        <w:t>ee runs of a fixed workload was 1.4 percent.</w:t>
      </w:r>
    </w:p>
    <w:p w:rsidR="007F7D63" w:rsidRDefault="00B7630C">
      <w:pPr>
        <w:spacing w:line="220" w:lineRule="auto"/>
        <w:ind w:firstLine="200"/>
        <w:jc w:val="both"/>
      </w:pPr>
      <w:r>
        <w:rPr>
          <w:rFonts w:ascii="Times New Roman" w:hAnsi="Times New Roman"/>
          <w:b w:val="0"/>
          <w:i w:val="0"/>
          <w:sz w:val="20"/>
        </w:rPr>
        <w:t>Every model answers every query once; routing policies, threshold sweeps, grid conditions and ablations are then simulated offline from cached per-query records, so all policies are compared on identical data an</w:t>
      </w:r>
      <w:r>
        <w:rPr>
          <w:rFonts w:ascii="Times New Roman" w:hAnsi="Times New Roman"/>
          <w:b w:val="0"/>
          <w:i w:val="0"/>
          <w:sz w:val="20"/>
        </w:rPr>
        <w:t>d the nineteen-point threshold sweep costs no additional inference. Baselines are always-large, always-small, random escalation, and a blind cascade escalating at random at the same rate as the entropy gate, which isolates the signal's contribution from th</w:t>
      </w:r>
      <w:r>
        <w:rPr>
          <w:rFonts w:ascii="Times New Roman" w:hAnsi="Times New Roman"/>
          <w:b w:val="0"/>
          <w:i w:val="0"/>
          <w:sz w:val="20"/>
        </w:rPr>
        <w:t>e cascade structure itself.</w:t>
      </w:r>
    </w:p>
    <w:p w:rsidR="007F7D63" w:rsidRDefault="00B7630C">
      <w:pPr>
        <w:spacing w:line="220" w:lineRule="auto"/>
        <w:ind w:firstLine="200"/>
        <w:jc w:val="both"/>
      </w:pPr>
      <w:r>
        <w:rPr>
          <w:rFonts w:ascii="Times New Roman" w:hAnsi="Times New Roman"/>
          <w:b w:val="0"/>
          <w:i w:val="0"/>
          <w:sz w:val="20"/>
        </w:rPr>
        <w:t>Reproducibility was treated as a design requirement rather than an afterthought. Seeds are fixed, every intermediate record is written to disk as it is produced, and each reported number is regenerable from those records by a pu</w:t>
      </w:r>
      <w:r>
        <w:rPr>
          <w:rFonts w:ascii="Times New Roman" w:hAnsi="Times New Roman"/>
          <w:b w:val="0"/>
          <w:i w:val="0"/>
          <w:sz w:val="20"/>
        </w:rPr>
        <w:t>blished script. An audit of our instrumentation against its written specification revealed two defects, single-device sampling and two-point rather than continuous polling, whose correction changed measured energy for an identical workload by a factor of 2</w:t>
      </w:r>
      <w:r>
        <w:rPr>
          <w:rFonts w:ascii="Times New Roman" w:hAnsi="Times New Roman"/>
          <w:b w:val="0"/>
          <w:i w:val="0"/>
          <w:sz w:val="20"/>
        </w:rPr>
        <w:t>.4 and required re-collecting all data. We report this because it bears on the reliability of energy figures generally.</w:t>
      </w:r>
    </w:p>
    <w:p w:rsidR="007F7D63" w:rsidRDefault="00B7630C">
      <w:pPr>
        <w:spacing w:before="200" w:after="100"/>
        <w:jc w:val="center"/>
      </w:pPr>
      <w:r>
        <w:rPr>
          <w:rFonts w:ascii="Times New Roman" w:hAnsi="Times New Roman"/>
          <w:b/>
          <w:bCs/>
          <w:i w:val="0"/>
          <w:sz w:val="20"/>
        </w:rPr>
        <w:t>V. Results</w:t>
      </w:r>
    </w:p>
    <w:p w:rsidR="007F7D63" w:rsidRDefault="00B7630C">
      <w:pPr>
        <w:spacing w:before="120" w:after="60"/>
        <w:jc w:val="left"/>
      </w:pPr>
      <w:r>
        <w:rPr>
          <w:rFonts w:ascii="Times New Roman" w:hAnsi="Times New Roman"/>
          <w:b/>
          <w:bCs/>
          <w:i/>
          <w:iCs/>
          <w:sz w:val="20"/>
        </w:rPr>
        <w:t>A. The accounting convention changes conclusions</w:t>
      </w:r>
    </w:p>
    <w:p w:rsidR="007F7D63" w:rsidRDefault="00B7630C">
      <w:pPr>
        <w:spacing w:line="220" w:lineRule="auto"/>
        <w:ind w:firstLine="200"/>
        <w:jc w:val="both"/>
      </w:pPr>
      <w:r>
        <w:rPr>
          <w:rFonts w:ascii="Times New Roman" w:hAnsi="Times New Roman"/>
          <w:b w:val="0"/>
          <w:i w:val="0"/>
          <w:sz w:val="20"/>
        </w:rPr>
        <w:t>The two conventions agree closely when escalation is rare and diverge sharpl</w:t>
      </w:r>
      <w:r>
        <w:rPr>
          <w:rFonts w:ascii="Times New Roman" w:hAnsi="Times New Roman"/>
          <w:b w:val="0"/>
          <w:i w:val="0"/>
          <w:sz w:val="20"/>
        </w:rPr>
        <w:t>y when it is not, as Table II shows for the primary configuration. At 5 percent escalation the gap is 2.6 percentage points, a 5.5 percent relative overstatement. At 60 percent escalation the gap reaches 31.4 points and the conventions disagree in sign: ch</w:t>
      </w:r>
      <w:r>
        <w:rPr>
          <w:rFonts w:ascii="Times New Roman" w:hAnsi="Times New Roman"/>
          <w:b w:val="0"/>
          <w:i w:val="0"/>
          <w:sz w:val="20"/>
        </w:rPr>
        <w:t>arging only the answering tier reports a 23.3 percent energy reduction, while charging both reports an 8.0 percent increase over never cascading at all. A bootstrap over queries (2,000 resamples) puts the gap at the deployed operating point at 2.7 points w</w:t>
      </w:r>
      <w:r>
        <w:rPr>
          <w:rFonts w:ascii="Times New Roman" w:hAnsi="Times New Roman"/>
          <w:b w:val="0"/>
          <w:i w:val="0"/>
          <w:sz w:val="20"/>
        </w:rPr>
        <w:t>ith a 95 percent confidence interval of 1.7 to 3.8, so the divergence is small but not attributable to sampling. Fig. 3 shows the effect on the full frontier: the curve computed under the answering-tier convention lies systematically left of the measured t</w:t>
      </w:r>
      <w:r>
        <w:rPr>
          <w:rFonts w:ascii="Times New Roman" w:hAnsi="Times New Roman"/>
          <w:b w:val="0"/>
          <w:i w:val="0"/>
          <w:sz w:val="20"/>
        </w:rPr>
        <w:t>ruth, and at high escalation the full-accounting curve crosses to the right of the always-large baseline.</w:t>
      </w:r>
    </w:p>
    <w:p w:rsidR="007F7D63" w:rsidRDefault="00B7630C">
      <w:pPr>
        <w:spacing w:before="140" w:after="60"/>
        <w:jc w:val="center"/>
      </w:pPr>
      <w:r>
        <w:rPr>
          <w:rFonts w:ascii="Times New Roman" w:hAnsi="Times New Roman"/>
          <w:b w:val="0"/>
          <w:i w:val="0"/>
          <w:sz w:val="16"/>
          <w:szCs w:val="16"/>
        </w:rPr>
        <w:t>TABLE II. DIVERGENCE BETWEEN CONVENTIONS, SHAREGPT</w:t>
      </w:r>
    </w:p>
    <w:tbl>
      <w:tblPr>
        <w:tblW w:w="4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180"/>
        <w:gridCol w:w="1300"/>
        <w:gridCol w:w="800"/>
      </w:tblGrid>
      <w:tr w:rsidR="007F7D63">
        <w:tblPrEx>
          <w:tblCellMar>
            <w:top w:w="0" w:type="dxa"/>
            <w:bottom w:w="0" w:type="dxa"/>
          </w:tblCellMar>
        </w:tblPrEx>
        <w:tc>
          <w:tcPr>
            <w:tcW w:w="100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Escalation</w:t>
            </w:r>
          </w:p>
        </w:tc>
        <w:tc>
          <w:tcPr>
            <w:tcW w:w="118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Full accounting</w:t>
            </w:r>
          </w:p>
        </w:tc>
        <w:tc>
          <w:tcPr>
            <w:tcW w:w="130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Answering tier only</w:t>
            </w:r>
          </w:p>
        </w:tc>
        <w:tc>
          <w:tcPr>
            <w:tcW w:w="80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Gap (pp)</w:t>
            </w:r>
          </w:p>
        </w:tc>
      </w:tr>
      <w:tr w:rsidR="007F7D63">
        <w:tblPrEx>
          <w:tblCellMar>
            <w:top w:w="0" w:type="dxa"/>
            <w:bottom w:w="0" w:type="dxa"/>
          </w:tblCellMar>
        </w:tblPrEx>
        <w:tc>
          <w:tcPr>
            <w:tcW w:w="1000" w:type="dxa"/>
            <w:tcMar>
              <w:top w:w="30" w:type="dxa"/>
              <w:left w:w="60" w:type="dxa"/>
              <w:bottom w:w="30" w:type="dxa"/>
              <w:right w:w="60" w:type="dxa"/>
            </w:tcMar>
          </w:tcPr>
          <w:p w:rsidR="007F7D63" w:rsidRDefault="00B7630C">
            <w:pPr>
              <w:jc w:val="center"/>
            </w:pPr>
            <w:r>
              <w:rPr>
                <w:rFonts w:ascii="Times New Roman" w:hAnsi="Times New Roman"/>
                <w:b w:val="0"/>
                <w:sz w:val="16"/>
                <w:szCs w:val="16"/>
              </w:rPr>
              <w:t>5%</w:t>
            </w:r>
          </w:p>
        </w:tc>
        <w:tc>
          <w:tcPr>
            <w:tcW w:w="1180" w:type="dxa"/>
            <w:tcMar>
              <w:top w:w="30" w:type="dxa"/>
              <w:left w:w="60" w:type="dxa"/>
              <w:bottom w:w="30" w:type="dxa"/>
              <w:right w:w="60" w:type="dxa"/>
            </w:tcMar>
          </w:tcPr>
          <w:p w:rsidR="007F7D63" w:rsidRDefault="00B7630C">
            <w:pPr>
              <w:jc w:val="center"/>
            </w:pPr>
            <w:r>
              <w:rPr>
                <w:rFonts w:ascii="Times New Roman" w:hAnsi="Times New Roman"/>
                <w:b w:val="0"/>
                <w:sz w:val="16"/>
                <w:szCs w:val="16"/>
              </w:rPr>
              <w:t>47.6%</w:t>
            </w:r>
          </w:p>
        </w:tc>
        <w:tc>
          <w:tcPr>
            <w:tcW w:w="1300" w:type="dxa"/>
            <w:tcMar>
              <w:top w:w="30" w:type="dxa"/>
              <w:left w:w="60" w:type="dxa"/>
              <w:bottom w:w="30" w:type="dxa"/>
              <w:right w:w="60" w:type="dxa"/>
            </w:tcMar>
          </w:tcPr>
          <w:p w:rsidR="007F7D63" w:rsidRDefault="00B7630C">
            <w:pPr>
              <w:jc w:val="center"/>
            </w:pPr>
            <w:r>
              <w:rPr>
                <w:rFonts w:ascii="Times New Roman" w:hAnsi="Times New Roman"/>
                <w:b w:val="0"/>
                <w:sz w:val="16"/>
                <w:szCs w:val="16"/>
              </w:rPr>
              <w:t>50.2%</w:t>
            </w:r>
          </w:p>
        </w:tc>
        <w:tc>
          <w:tcPr>
            <w:tcW w:w="800" w:type="dxa"/>
            <w:tcMar>
              <w:top w:w="30" w:type="dxa"/>
              <w:left w:w="60" w:type="dxa"/>
              <w:bottom w:w="30" w:type="dxa"/>
              <w:right w:w="60" w:type="dxa"/>
            </w:tcMar>
          </w:tcPr>
          <w:p w:rsidR="007F7D63" w:rsidRDefault="00B7630C">
            <w:pPr>
              <w:jc w:val="center"/>
            </w:pPr>
            <w:r>
              <w:rPr>
                <w:rFonts w:ascii="Times New Roman" w:hAnsi="Times New Roman"/>
                <w:b w:val="0"/>
                <w:sz w:val="16"/>
                <w:szCs w:val="16"/>
              </w:rPr>
              <w:t>2.6</w:t>
            </w:r>
          </w:p>
        </w:tc>
      </w:tr>
      <w:tr w:rsidR="007F7D63">
        <w:tblPrEx>
          <w:tblCellMar>
            <w:top w:w="0" w:type="dxa"/>
            <w:bottom w:w="0" w:type="dxa"/>
          </w:tblCellMar>
        </w:tblPrEx>
        <w:tc>
          <w:tcPr>
            <w:tcW w:w="1000" w:type="dxa"/>
            <w:tcMar>
              <w:top w:w="30" w:type="dxa"/>
              <w:left w:w="60" w:type="dxa"/>
              <w:bottom w:w="30" w:type="dxa"/>
              <w:right w:w="60" w:type="dxa"/>
            </w:tcMar>
          </w:tcPr>
          <w:p w:rsidR="007F7D63" w:rsidRDefault="00B7630C">
            <w:pPr>
              <w:jc w:val="center"/>
            </w:pPr>
            <w:r>
              <w:rPr>
                <w:rFonts w:ascii="Times New Roman" w:hAnsi="Times New Roman"/>
                <w:b w:val="0"/>
                <w:sz w:val="16"/>
                <w:szCs w:val="16"/>
              </w:rPr>
              <w:t>10%</w:t>
            </w:r>
          </w:p>
        </w:tc>
        <w:tc>
          <w:tcPr>
            <w:tcW w:w="1180" w:type="dxa"/>
            <w:tcMar>
              <w:top w:w="30" w:type="dxa"/>
              <w:left w:w="60" w:type="dxa"/>
              <w:bottom w:w="30" w:type="dxa"/>
              <w:right w:w="60" w:type="dxa"/>
            </w:tcMar>
          </w:tcPr>
          <w:p w:rsidR="007F7D63" w:rsidRDefault="00B7630C">
            <w:pPr>
              <w:jc w:val="center"/>
            </w:pPr>
            <w:r>
              <w:rPr>
                <w:rFonts w:ascii="Times New Roman" w:hAnsi="Times New Roman"/>
                <w:b w:val="0"/>
                <w:sz w:val="16"/>
                <w:szCs w:val="16"/>
              </w:rPr>
              <w:t>42.5%</w:t>
            </w:r>
          </w:p>
        </w:tc>
        <w:tc>
          <w:tcPr>
            <w:tcW w:w="1300" w:type="dxa"/>
            <w:tcMar>
              <w:top w:w="30" w:type="dxa"/>
              <w:left w:w="60" w:type="dxa"/>
              <w:bottom w:w="30" w:type="dxa"/>
              <w:right w:w="60" w:type="dxa"/>
            </w:tcMar>
          </w:tcPr>
          <w:p w:rsidR="007F7D63" w:rsidRDefault="00B7630C">
            <w:pPr>
              <w:jc w:val="center"/>
            </w:pPr>
            <w:r>
              <w:rPr>
                <w:rFonts w:ascii="Times New Roman" w:hAnsi="Times New Roman"/>
                <w:b w:val="0"/>
                <w:sz w:val="16"/>
                <w:szCs w:val="16"/>
              </w:rPr>
              <w:t>47.6%</w:t>
            </w:r>
          </w:p>
        </w:tc>
        <w:tc>
          <w:tcPr>
            <w:tcW w:w="800" w:type="dxa"/>
            <w:tcMar>
              <w:top w:w="30" w:type="dxa"/>
              <w:left w:w="60" w:type="dxa"/>
              <w:bottom w:w="30" w:type="dxa"/>
              <w:right w:w="60" w:type="dxa"/>
            </w:tcMar>
          </w:tcPr>
          <w:p w:rsidR="007F7D63" w:rsidRDefault="00B7630C">
            <w:pPr>
              <w:jc w:val="center"/>
            </w:pPr>
            <w:r>
              <w:rPr>
                <w:rFonts w:ascii="Times New Roman" w:hAnsi="Times New Roman"/>
                <w:b w:val="0"/>
                <w:sz w:val="16"/>
                <w:szCs w:val="16"/>
              </w:rPr>
              <w:t>5.1</w:t>
            </w:r>
          </w:p>
        </w:tc>
      </w:tr>
      <w:tr w:rsidR="007F7D63">
        <w:tblPrEx>
          <w:tblCellMar>
            <w:top w:w="0" w:type="dxa"/>
            <w:bottom w:w="0" w:type="dxa"/>
          </w:tblCellMar>
        </w:tblPrEx>
        <w:tc>
          <w:tcPr>
            <w:tcW w:w="1000" w:type="dxa"/>
            <w:tcMar>
              <w:top w:w="30" w:type="dxa"/>
              <w:left w:w="60" w:type="dxa"/>
              <w:bottom w:w="30" w:type="dxa"/>
              <w:right w:w="60" w:type="dxa"/>
            </w:tcMar>
          </w:tcPr>
          <w:p w:rsidR="007F7D63" w:rsidRDefault="00B7630C">
            <w:pPr>
              <w:jc w:val="center"/>
            </w:pPr>
            <w:r>
              <w:rPr>
                <w:rFonts w:ascii="Times New Roman" w:hAnsi="Times New Roman"/>
                <w:b w:val="0"/>
                <w:sz w:val="16"/>
                <w:szCs w:val="16"/>
              </w:rPr>
              <w:t>20%</w:t>
            </w:r>
          </w:p>
        </w:tc>
        <w:tc>
          <w:tcPr>
            <w:tcW w:w="1180" w:type="dxa"/>
            <w:tcMar>
              <w:top w:w="30" w:type="dxa"/>
              <w:left w:w="60" w:type="dxa"/>
              <w:bottom w:w="30" w:type="dxa"/>
              <w:right w:w="60" w:type="dxa"/>
            </w:tcMar>
          </w:tcPr>
          <w:p w:rsidR="007F7D63" w:rsidRDefault="00B7630C">
            <w:pPr>
              <w:jc w:val="center"/>
            </w:pPr>
            <w:r>
              <w:rPr>
                <w:rFonts w:ascii="Times New Roman" w:hAnsi="Times New Roman"/>
                <w:b w:val="0"/>
                <w:sz w:val="16"/>
                <w:szCs w:val="16"/>
              </w:rPr>
              <w:t>32.5%</w:t>
            </w:r>
          </w:p>
        </w:tc>
        <w:tc>
          <w:tcPr>
            <w:tcW w:w="1300" w:type="dxa"/>
            <w:tcMar>
              <w:top w:w="30" w:type="dxa"/>
              <w:left w:w="60" w:type="dxa"/>
              <w:bottom w:w="30" w:type="dxa"/>
              <w:right w:w="60" w:type="dxa"/>
            </w:tcMar>
          </w:tcPr>
          <w:p w:rsidR="007F7D63" w:rsidRDefault="00B7630C">
            <w:pPr>
              <w:jc w:val="center"/>
            </w:pPr>
            <w:r>
              <w:rPr>
                <w:rFonts w:ascii="Times New Roman" w:hAnsi="Times New Roman"/>
                <w:b w:val="0"/>
                <w:sz w:val="16"/>
                <w:szCs w:val="16"/>
              </w:rPr>
              <w:t>42.9%</w:t>
            </w:r>
          </w:p>
        </w:tc>
        <w:tc>
          <w:tcPr>
            <w:tcW w:w="800" w:type="dxa"/>
            <w:tcMar>
              <w:top w:w="30" w:type="dxa"/>
              <w:left w:w="60" w:type="dxa"/>
              <w:bottom w:w="30" w:type="dxa"/>
              <w:right w:w="60" w:type="dxa"/>
            </w:tcMar>
          </w:tcPr>
          <w:p w:rsidR="007F7D63" w:rsidRDefault="00B7630C">
            <w:pPr>
              <w:jc w:val="center"/>
            </w:pPr>
            <w:r>
              <w:rPr>
                <w:rFonts w:ascii="Times New Roman" w:hAnsi="Times New Roman"/>
                <w:b w:val="0"/>
                <w:sz w:val="16"/>
                <w:szCs w:val="16"/>
              </w:rPr>
              <w:t>10.3</w:t>
            </w:r>
          </w:p>
        </w:tc>
      </w:tr>
      <w:tr w:rsidR="007F7D63">
        <w:tblPrEx>
          <w:tblCellMar>
            <w:top w:w="0" w:type="dxa"/>
            <w:bottom w:w="0" w:type="dxa"/>
          </w:tblCellMar>
        </w:tblPrEx>
        <w:tc>
          <w:tcPr>
            <w:tcW w:w="1000" w:type="dxa"/>
            <w:tcMar>
              <w:top w:w="30" w:type="dxa"/>
              <w:left w:w="60" w:type="dxa"/>
              <w:bottom w:w="30" w:type="dxa"/>
              <w:right w:w="60" w:type="dxa"/>
            </w:tcMar>
          </w:tcPr>
          <w:p w:rsidR="007F7D63" w:rsidRDefault="00B7630C">
            <w:pPr>
              <w:jc w:val="center"/>
            </w:pPr>
            <w:r>
              <w:rPr>
                <w:rFonts w:ascii="Times New Roman" w:hAnsi="Times New Roman"/>
                <w:b w:val="0"/>
                <w:sz w:val="16"/>
                <w:szCs w:val="16"/>
              </w:rPr>
              <w:t>40%</w:t>
            </w:r>
          </w:p>
        </w:tc>
        <w:tc>
          <w:tcPr>
            <w:tcW w:w="1180" w:type="dxa"/>
            <w:tcMar>
              <w:top w:w="30" w:type="dxa"/>
              <w:left w:w="60" w:type="dxa"/>
              <w:bottom w:w="30" w:type="dxa"/>
              <w:right w:w="60" w:type="dxa"/>
            </w:tcMar>
          </w:tcPr>
          <w:p w:rsidR="007F7D63" w:rsidRDefault="00B7630C">
            <w:pPr>
              <w:jc w:val="center"/>
            </w:pPr>
            <w:r>
              <w:rPr>
                <w:rFonts w:ascii="Times New Roman" w:hAnsi="Times New Roman"/>
                <w:b w:val="0"/>
                <w:sz w:val="16"/>
                <w:szCs w:val="16"/>
              </w:rPr>
              <w:t>12.3%</w:t>
            </w:r>
          </w:p>
        </w:tc>
        <w:tc>
          <w:tcPr>
            <w:tcW w:w="1300" w:type="dxa"/>
            <w:tcMar>
              <w:top w:w="30" w:type="dxa"/>
              <w:left w:w="60" w:type="dxa"/>
              <w:bottom w:w="30" w:type="dxa"/>
              <w:right w:w="60" w:type="dxa"/>
            </w:tcMar>
          </w:tcPr>
          <w:p w:rsidR="007F7D63" w:rsidRDefault="00B7630C">
            <w:pPr>
              <w:jc w:val="center"/>
            </w:pPr>
            <w:r>
              <w:rPr>
                <w:rFonts w:ascii="Times New Roman" w:hAnsi="Times New Roman"/>
                <w:b w:val="0"/>
                <w:sz w:val="16"/>
                <w:szCs w:val="16"/>
              </w:rPr>
              <w:t>33.5%</w:t>
            </w:r>
          </w:p>
        </w:tc>
        <w:tc>
          <w:tcPr>
            <w:tcW w:w="800" w:type="dxa"/>
            <w:tcMar>
              <w:top w:w="30" w:type="dxa"/>
              <w:left w:w="60" w:type="dxa"/>
              <w:bottom w:w="30" w:type="dxa"/>
              <w:right w:w="60" w:type="dxa"/>
            </w:tcMar>
          </w:tcPr>
          <w:p w:rsidR="007F7D63" w:rsidRDefault="00B7630C">
            <w:pPr>
              <w:jc w:val="center"/>
            </w:pPr>
            <w:r>
              <w:rPr>
                <w:rFonts w:ascii="Times New Roman" w:hAnsi="Times New Roman"/>
                <w:b w:val="0"/>
                <w:sz w:val="16"/>
                <w:szCs w:val="16"/>
              </w:rPr>
              <w:t>21.2</w:t>
            </w:r>
          </w:p>
        </w:tc>
      </w:tr>
      <w:tr w:rsidR="007F7D63">
        <w:tblPrEx>
          <w:tblCellMar>
            <w:top w:w="0" w:type="dxa"/>
            <w:bottom w:w="0" w:type="dxa"/>
          </w:tblCellMar>
        </w:tblPrEx>
        <w:tc>
          <w:tcPr>
            <w:tcW w:w="1000" w:type="dxa"/>
            <w:tcMar>
              <w:top w:w="30" w:type="dxa"/>
              <w:left w:w="60" w:type="dxa"/>
              <w:bottom w:w="30" w:type="dxa"/>
              <w:right w:w="60" w:type="dxa"/>
            </w:tcMar>
          </w:tcPr>
          <w:p w:rsidR="007F7D63" w:rsidRDefault="00B7630C">
            <w:pPr>
              <w:jc w:val="center"/>
            </w:pPr>
            <w:r>
              <w:rPr>
                <w:rFonts w:ascii="Times New Roman" w:hAnsi="Times New Roman"/>
                <w:b w:val="0"/>
                <w:sz w:val="16"/>
                <w:szCs w:val="16"/>
              </w:rPr>
              <w:t>60%</w:t>
            </w:r>
          </w:p>
        </w:tc>
        <w:tc>
          <w:tcPr>
            <w:tcW w:w="1180" w:type="dxa"/>
            <w:tcMar>
              <w:top w:w="30" w:type="dxa"/>
              <w:left w:w="60" w:type="dxa"/>
              <w:bottom w:w="30" w:type="dxa"/>
              <w:right w:w="60" w:type="dxa"/>
            </w:tcMar>
          </w:tcPr>
          <w:p w:rsidR="007F7D63" w:rsidRDefault="00B7630C">
            <w:pPr>
              <w:jc w:val="center"/>
            </w:pPr>
            <w:r>
              <w:rPr>
                <w:rFonts w:ascii="Times New Roman" w:hAnsi="Times New Roman"/>
                <w:b w:val="0"/>
                <w:sz w:val="16"/>
                <w:szCs w:val="16"/>
              </w:rPr>
              <w:t>-8.0%</w:t>
            </w:r>
          </w:p>
        </w:tc>
        <w:tc>
          <w:tcPr>
            <w:tcW w:w="1300" w:type="dxa"/>
            <w:tcMar>
              <w:top w:w="30" w:type="dxa"/>
              <w:left w:w="60" w:type="dxa"/>
              <w:bottom w:w="30" w:type="dxa"/>
              <w:right w:w="60" w:type="dxa"/>
            </w:tcMar>
          </w:tcPr>
          <w:p w:rsidR="007F7D63" w:rsidRDefault="00B7630C">
            <w:pPr>
              <w:jc w:val="center"/>
            </w:pPr>
            <w:r>
              <w:rPr>
                <w:rFonts w:ascii="Times New Roman" w:hAnsi="Times New Roman"/>
                <w:b w:val="0"/>
                <w:sz w:val="16"/>
                <w:szCs w:val="16"/>
              </w:rPr>
              <w:t>23.3%</w:t>
            </w:r>
          </w:p>
        </w:tc>
        <w:tc>
          <w:tcPr>
            <w:tcW w:w="800" w:type="dxa"/>
            <w:tcMar>
              <w:top w:w="30" w:type="dxa"/>
              <w:left w:w="60" w:type="dxa"/>
              <w:bottom w:w="30" w:type="dxa"/>
              <w:right w:w="60" w:type="dxa"/>
            </w:tcMar>
          </w:tcPr>
          <w:p w:rsidR="007F7D63" w:rsidRDefault="00B7630C">
            <w:pPr>
              <w:jc w:val="center"/>
            </w:pPr>
            <w:r>
              <w:rPr>
                <w:rFonts w:ascii="Times New Roman" w:hAnsi="Times New Roman"/>
                <w:b w:val="0"/>
                <w:sz w:val="16"/>
                <w:szCs w:val="16"/>
              </w:rPr>
              <w:t>31.4</w:t>
            </w:r>
          </w:p>
        </w:tc>
      </w:tr>
      <w:tr w:rsidR="007F7D63">
        <w:tblPrEx>
          <w:tblCellMar>
            <w:top w:w="0" w:type="dxa"/>
            <w:bottom w:w="0" w:type="dxa"/>
          </w:tblCellMar>
        </w:tblPrEx>
        <w:tc>
          <w:tcPr>
            <w:tcW w:w="1000" w:type="dxa"/>
            <w:tcMar>
              <w:top w:w="30" w:type="dxa"/>
              <w:left w:w="60" w:type="dxa"/>
              <w:bottom w:w="30" w:type="dxa"/>
              <w:right w:w="60" w:type="dxa"/>
            </w:tcMar>
          </w:tcPr>
          <w:p w:rsidR="007F7D63" w:rsidRDefault="00B7630C">
            <w:pPr>
              <w:jc w:val="center"/>
            </w:pPr>
            <w:r>
              <w:rPr>
                <w:rFonts w:ascii="Times New Roman" w:hAnsi="Times New Roman"/>
                <w:b w:val="0"/>
                <w:sz w:val="16"/>
                <w:szCs w:val="16"/>
              </w:rPr>
              <w:t>80%</w:t>
            </w:r>
          </w:p>
        </w:tc>
        <w:tc>
          <w:tcPr>
            <w:tcW w:w="1180" w:type="dxa"/>
            <w:tcMar>
              <w:top w:w="30" w:type="dxa"/>
              <w:left w:w="60" w:type="dxa"/>
              <w:bottom w:w="30" w:type="dxa"/>
              <w:right w:w="60" w:type="dxa"/>
            </w:tcMar>
          </w:tcPr>
          <w:p w:rsidR="007F7D63" w:rsidRDefault="00B7630C">
            <w:pPr>
              <w:jc w:val="center"/>
            </w:pPr>
            <w:r>
              <w:rPr>
                <w:rFonts w:ascii="Times New Roman" w:hAnsi="Times New Roman"/>
                <w:b w:val="0"/>
                <w:sz w:val="16"/>
                <w:szCs w:val="16"/>
              </w:rPr>
              <w:t>-27.8%</w:t>
            </w:r>
          </w:p>
        </w:tc>
        <w:tc>
          <w:tcPr>
            <w:tcW w:w="1300" w:type="dxa"/>
            <w:tcMar>
              <w:top w:w="30" w:type="dxa"/>
              <w:left w:w="60" w:type="dxa"/>
              <w:bottom w:w="30" w:type="dxa"/>
              <w:right w:w="60" w:type="dxa"/>
            </w:tcMar>
          </w:tcPr>
          <w:p w:rsidR="007F7D63" w:rsidRDefault="00B7630C">
            <w:pPr>
              <w:jc w:val="center"/>
            </w:pPr>
            <w:r>
              <w:rPr>
                <w:rFonts w:ascii="Times New Roman" w:hAnsi="Times New Roman"/>
                <w:b w:val="0"/>
                <w:sz w:val="16"/>
                <w:szCs w:val="16"/>
              </w:rPr>
              <w:t>12.4%</w:t>
            </w:r>
          </w:p>
        </w:tc>
        <w:tc>
          <w:tcPr>
            <w:tcW w:w="800" w:type="dxa"/>
            <w:tcMar>
              <w:top w:w="30" w:type="dxa"/>
              <w:left w:w="60" w:type="dxa"/>
              <w:bottom w:w="30" w:type="dxa"/>
              <w:right w:w="60" w:type="dxa"/>
            </w:tcMar>
          </w:tcPr>
          <w:p w:rsidR="007F7D63" w:rsidRDefault="00B7630C">
            <w:pPr>
              <w:jc w:val="center"/>
            </w:pPr>
            <w:r>
              <w:rPr>
                <w:rFonts w:ascii="Times New Roman" w:hAnsi="Times New Roman"/>
                <w:b w:val="0"/>
                <w:sz w:val="16"/>
                <w:szCs w:val="16"/>
              </w:rPr>
              <w:t>40.2</w:t>
            </w:r>
          </w:p>
        </w:tc>
      </w:tr>
    </w:tbl>
    <w:p w:rsidR="007F7D63" w:rsidRDefault="00B7630C">
      <w:pPr>
        <w:spacing w:after="140"/>
      </w:pPr>
      <w:r>
        <w:rPr>
          <w:sz w:val="8"/>
          <w:szCs w:val="8"/>
        </w:rPr>
        <w:t xml:space="preserve"> </w:t>
      </w:r>
    </w:p>
    <w:p w:rsidR="007F7D63" w:rsidRDefault="00B7630C">
      <w:pPr>
        <w:spacing w:before="120" w:after="40"/>
        <w:jc w:val="center"/>
      </w:pPr>
      <w:r>
        <w:rPr>
          <w:noProof/>
        </w:rPr>
        <w:drawing>
          <wp:inline distT="0" distB="0" distL="0" distR="0">
            <wp:extent cx="2286000" cy="175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1752600"/>
                    </a:xfrm>
                    <a:prstGeom prst="rect">
                      <a:avLst/>
                    </a:prstGeom>
                  </pic:spPr>
                </pic:pic>
              </a:graphicData>
            </a:graphic>
          </wp:inline>
        </w:drawing>
      </w:r>
    </w:p>
    <w:p w:rsidR="007F7D63" w:rsidRDefault="00B7630C">
      <w:pPr>
        <w:spacing w:after="140"/>
      </w:pPr>
      <w:r>
        <w:rPr>
          <w:rFonts w:ascii="Times New Roman" w:hAnsi="Times New Roman"/>
          <w:b w:val="0"/>
          <w:i w:val="0"/>
          <w:sz w:val="16"/>
          <w:szCs w:val="16"/>
        </w:rPr>
        <w:t xml:space="preserve">Fig. 3. Quality-carbon frontier on </w:t>
      </w:r>
      <w:proofErr w:type="spellStart"/>
      <w:r>
        <w:rPr>
          <w:rFonts w:ascii="Times New Roman" w:hAnsi="Times New Roman"/>
          <w:b w:val="0"/>
          <w:i w:val="0"/>
          <w:sz w:val="16"/>
          <w:szCs w:val="16"/>
        </w:rPr>
        <w:t>ShareGPT</w:t>
      </w:r>
      <w:proofErr w:type="spellEnd"/>
      <w:r>
        <w:rPr>
          <w:rFonts w:ascii="Times New Roman" w:hAnsi="Times New Roman"/>
          <w:b w:val="0"/>
          <w:i w:val="0"/>
          <w:sz w:val="16"/>
          <w:szCs w:val="16"/>
        </w:rPr>
        <w:t xml:space="preserve"> under both accounting conventions. Naive accounting understates carbon at every operating point, and at high escalation reports savings where full accounting shows an increase over always-large.</w:t>
      </w:r>
    </w:p>
    <w:p w:rsidR="007F7D63" w:rsidRDefault="00B7630C">
      <w:pPr>
        <w:spacing w:before="120" w:after="60"/>
        <w:jc w:val="left"/>
      </w:pPr>
      <w:r>
        <w:rPr>
          <w:rFonts w:ascii="Times New Roman" w:hAnsi="Times New Roman"/>
          <w:b/>
          <w:bCs/>
          <w:i/>
          <w:iCs/>
          <w:sz w:val="20"/>
        </w:rPr>
        <w:t xml:space="preserve">B. Savings under </w:t>
      </w:r>
      <w:r>
        <w:rPr>
          <w:rFonts w:ascii="Times New Roman" w:hAnsi="Times New Roman"/>
          <w:b/>
          <w:bCs/>
          <w:i/>
          <w:iCs/>
          <w:sz w:val="20"/>
        </w:rPr>
        <w:t>honest accounting</w:t>
      </w:r>
    </w:p>
    <w:p w:rsidR="007F7D63" w:rsidRDefault="00B7630C">
      <w:pPr>
        <w:spacing w:line="220" w:lineRule="auto"/>
        <w:ind w:firstLine="200"/>
        <w:jc w:val="both"/>
      </w:pPr>
      <w:r>
        <w:rPr>
          <w:rFonts w:ascii="Times New Roman" w:hAnsi="Times New Roman"/>
          <w:b w:val="0"/>
          <w:i w:val="0"/>
          <w:sz w:val="20"/>
        </w:rPr>
        <w:t xml:space="preserve">Under full accounting the cascade still meets a demanding target on both text workloads. On </w:t>
      </w:r>
      <w:proofErr w:type="spellStart"/>
      <w:r>
        <w:rPr>
          <w:rFonts w:ascii="Times New Roman" w:hAnsi="Times New Roman"/>
          <w:b w:val="0"/>
          <w:i w:val="0"/>
          <w:sz w:val="20"/>
        </w:rPr>
        <w:t>ShareGPT</w:t>
      </w:r>
      <w:proofErr w:type="spellEnd"/>
      <w:r>
        <w:rPr>
          <w:rFonts w:ascii="Times New Roman" w:hAnsi="Times New Roman"/>
          <w:b w:val="0"/>
          <w:i w:val="0"/>
          <w:sz w:val="20"/>
        </w:rPr>
        <w:t xml:space="preserve"> it reduces measured energy by 37.3 percent (95% CI 33.5-40.9) while retaining 95.9 percent of the large tier's judged quality, escalating 15 percent of que</w:t>
      </w:r>
      <w:r>
        <w:rPr>
          <w:rFonts w:ascii="Times New Roman" w:hAnsi="Times New Roman"/>
          <w:b w:val="0"/>
          <w:i w:val="0"/>
          <w:sz w:val="20"/>
        </w:rPr>
        <w:t>ries; relaxing retention to 94.8 percent yields 47.4 percent reduction (95% CI 44.6-49.9) at 5 percent escalation, close to the 52.8 percent ceiling implied by the measured 2.12x energy ratio. On MMLU it reduces measured energy by 29.5 percent at 95.0 perc</w:t>
      </w:r>
      <w:r>
        <w:rPr>
          <w:rFonts w:ascii="Times New Roman" w:hAnsi="Times New Roman"/>
          <w:b w:val="0"/>
          <w:i w:val="0"/>
          <w:sz w:val="20"/>
        </w:rPr>
        <w:t xml:space="preserve">ent retention. Mean latency falls by 39 percent, since most queries never reach the larger model. Table III </w:t>
      </w:r>
      <w:proofErr w:type="spellStart"/>
      <w:r>
        <w:rPr>
          <w:rFonts w:ascii="Times New Roman" w:hAnsi="Times New Roman"/>
          <w:b w:val="0"/>
          <w:i w:val="0"/>
          <w:sz w:val="20"/>
        </w:rPr>
        <w:t>summarises</w:t>
      </w:r>
      <w:proofErr w:type="spellEnd"/>
      <w:r>
        <w:rPr>
          <w:rFonts w:ascii="Times New Roman" w:hAnsi="Times New Roman"/>
          <w:b w:val="0"/>
          <w:i w:val="0"/>
          <w:sz w:val="20"/>
        </w:rPr>
        <w:t xml:space="preserve"> the primary configuration.</w:t>
      </w:r>
    </w:p>
    <w:p w:rsidR="007F7D63" w:rsidRDefault="00B7630C">
      <w:pPr>
        <w:spacing w:before="140" w:after="60"/>
        <w:jc w:val="center"/>
      </w:pPr>
      <w:r>
        <w:rPr>
          <w:rFonts w:ascii="Times New Roman" w:hAnsi="Times New Roman"/>
          <w:b w:val="0"/>
          <w:i w:val="0"/>
          <w:sz w:val="16"/>
          <w:szCs w:val="16"/>
        </w:rPr>
        <w:t>TABLE III. SHAREGPT, 500 QUERIES, FULL ACCOUNTING</w:t>
      </w:r>
    </w:p>
    <w:tbl>
      <w:tblPr>
        <w:tblW w:w="4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20"/>
        <w:gridCol w:w="620"/>
        <w:gridCol w:w="780"/>
        <w:gridCol w:w="620"/>
      </w:tblGrid>
      <w:tr w:rsidR="007F7D63">
        <w:tblPrEx>
          <w:tblCellMar>
            <w:top w:w="0" w:type="dxa"/>
            <w:bottom w:w="0" w:type="dxa"/>
          </w:tblCellMar>
        </w:tblPrEx>
        <w:tc>
          <w:tcPr>
            <w:tcW w:w="150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Policy</w:t>
            </w:r>
          </w:p>
        </w:tc>
        <w:tc>
          <w:tcPr>
            <w:tcW w:w="62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Qual.</w:t>
            </w:r>
          </w:p>
        </w:tc>
        <w:tc>
          <w:tcPr>
            <w:tcW w:w="62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Ret.</w:t>
            </w:r>
          </w:p>
        </w:tc>
        <w:tc>
          <w:tcPr>
            <w:tcW w:w="78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CO2 cut</w:t>
            </w:r>
          </w:p>
        </w:tc>
        <w:tc>
          <w:tcPr>
            <w:tcW w:w="62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Esc.</w:t>
            </w:r>
          </w:p>
        </w:tc>
      </w:tr>
      <w:tr w:rsidR="007F7D63">
        <w:tblPrEx>
          <w:tblCellMar>
            <w:top w:w="0" w:type="dxa"/>
            <w:bottom w:w="0" w:type="dxa"/>
          </w:tblCellMar>
        </w:tblPrEx>
        <w:tc>
          <w:tcPr>
            <w:tcW w:w="1500" w:type="dxa"/>
            <w:tcMar>
              <w:top w:w="30" w:type="dxa"/>
              <w:left w:w="60" w:type="dxa"/>
              <w:bottom w:w="30" w:type="dxa"/>
              <w:right w:w="60" w:type="dxa"/>
            </w:tcMar>
          </w:tcPr>
          <w:p w:rsidR="007F7D63" w:rsidRDefault="00B7630C">
            <w:pPr>
              <w:jc w:val="center"/>
            </w:pPr>
            <w:r>
              <w:rPr>
                <w:rFonts w:ascii="Times New Roman" w:hAnsi="Times New Roman"/>
                <w:b w:val="0"/>
                <w:sz w:val="16"/>
                <w:szCs w:val="16"/>
              </w:rPr>
              <w:t>Always-large (Mistral-7B)</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3.056</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100%</w:t>
            </w:r>
          </w:p>
        </w:tc>
        <w:tc>
          <w:tcPr>
            <w:tcW w:w="780" w:type="dxa"/>
            <w:tcMar>
              <w:top w:w="30" w:type="dxa"/>
              <w:left w:w="60" w:type="dxa"/>
              <w:bottom w:w="30" w:type="dxa"/>
              <w:right w:w="60" w:type="dxa"/>
            </w:tcMar>
          </w:tcPr>
          <w:p w:rsidR="007F7D63" w:rsidRDefault="00B7630C">
            <w:pPr>
              <w:jc w:val="center"/>
            </w:pPr>
            <w:r>
              <w:rPr>
                <w:rFonts w:ascii="Times New Roman" w:hAnsi="Times New Roman"/>
                <w:b w:val="0"/>
                <w:sz w:val="16"/>
                <w:szCs w:val="16"/>
              </w:rPr>
              <w:t>-</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100%</w:t>
            </w:r>
          </w:p>
        </w:tc>
      </w:tr>
      <w:tr w:rsidR="007F7D63">
        <w:tblPrEx>
          <w:tblCellMar>
            <w:top w:w="0" w:type="dxa"/>
            <w:bottom w:w="0" w:type="dxa"/>
          </w:tblCellMar>
        </w:tblPrEx>
        <w:tc>
          <w:tcPr>
            <w:tcW w:w="1500" w:type="dxa"/>
            <w:tcMar>
              <w:top w:w="30" w:type="dxa"/>
              <w:left w:w="60" w:type="dxa"/>
              <w:bottom w:w="30" w:type="dxa"/>
              <w:right w:w="60" w:type="dxa"/>
            </w:tcMar>
          </w:tcPr>
          <w:p w:rsidR="007F7D63" w:rsidRDefault="00B7630C">
            <w:pPr>
              <w:jc w:val="center"/>
            </w:pPr>
            <w:r>
              <w:rPr>
                <w:rFonts w:ascii="Times New Roman" w:hAnsi="Times New Roman"/>
                <w:b w:val="0"/>
                <w:sz w:val="16"/>
                <w:szCs w:val="16"/>
              </w:rPr>
              <w:t>Always-small (Qwen-1.5B)</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2.874</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94.0%</w:t>
            </w:r>
          </w:p>
        </w:tc>
        <w:tc>
          <w:tcPr>
            <w:tcW w:w="780" w:type="dxa"/>
            <w:tcMar>
              <w:top w:w="30" w:type="dxa"/>
              <w:left w:w="60" w:type="dxa"/>
              <w:bottom w:w="30" w:type="dxa"/>
              <w:right w:w="60" w:type="dxa"/>
            </w:tcMar>
          </w:tcPr>
          <w:p w:rsidR="007F7D63" w:rsidRDefault="00B7630C">
            <w:pPr>
              <w:jc w:val="center"/>
            </w:pPr>
            <w:r>
              <w:rPr>
                <w:rFonts w:ascii="Times New Roman" w:hAnsi="Times New Roman"/>
                <w:b w:val="0"/>
                <w:sz w:val="16"/>
                <w:szCs w:val="16"/>
              </w:rPr>
              <w:t>52.8%</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0%</w:t>
            </w:r>
          </w:p>
        </w:tc>
      </w:tr>
      <w:tr w:rsidR="007F7D63">
        <w:tblPrEx>
          <w:tblCellMar>
            <w:top w:w="0" w:type="dxa"/>
            <w:bottom w:w="0" w:type="dxa"/>
          </w:tblCellMar>
        </w:tblPrEx>
        <w:tc>
          <w:tcPr>
            <w:tcW w:w="1500" w:type="dxa"/>
            <w:tcMar>
              <w:top w:w="30" w:type="dxa"/>
              <w:left w:w="60" w:type="dxa"/>
              <w:bottom w:w="30" w:type="dxa"/>
              <w:right w:w="60" w:type="dxa"/>
            </w:tcMar>
          </w:tcPr>
          <w:p w:rsidR="007F7D63" w:rsidRDefault="00B7630C">
            <w:pPr>
              <w:jc w:val="center"/>
            </w:pPr>
            <w:r>
              <w:rPr>
                <w:rFonts w:ascii="Times New Roman" w:hAnsi="Times New Roman"/>
                <w:b w:val="0"/>
                <w:sz w:val="16"/>
                <w:szCs w:val="16"/>
              </w:rPr>
              <w:t>Random 50%</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2.932</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95.9%</w:t>
            </w:r>
          </w:p>
        </w:tc>
        <w:tc>
          <w:tcPr>
            <w:tcW w:w="780" w:type="dxa"/>
            <w:tcMar>
              <w:top w:w="30" w:type="dxa"/>
              <w:left w:w="60" w:type="dxa"/>
              <w:bottom w:w="30" w:type="dxa"/>
              <w:right w:w="60" w:type="dxa"/>
            </w:tcMar>
          </w:tcPr>
          <w:p w:rsidR="007F7D63" w:rsidRDefault="00B7630C">
            <w:pPr>
              <w:jc w:val="center"/>
            </w:pPr>
            <w:r>
              <w:rPr>
                <w:rFonts w:ascii="Times New Roman" w:hAnsi="Times New Roman"/>
                <w:b w:val="0"/>
                <w:sz w:val="16"/>
                <w:szCs w:val="16"/>
              </w:rPr>
              <w:t>26.2%</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50%</w:t>
            </w:r>
          </w:p>
        </w:tc>
      </w:tr>
      <w:tr w:rsidR="007F7D63">
        <w:tblPrEx>
          <w:tblCellMar>
            <w:top w:w="0" w:type="dxa"/>
            <w:bottom w:w="0" w:type="dxa"/>
          </w:tblCellMar>
        </w:tblPrEx>
        <w:tc>
          <w:tcPr>
            <w:tcW w:w="1500" w:type="dxa"/>
            <w:tcMar>
              <w:top w:w="30" w:type="dxa"/>
              <w:left w:w="60" w:type="dxa"/>
              <w:bottom w:w="30" w:type="dxa"/>
              <w:right w:w="60" w:type="dxa"/>
            </w:tcMar>
          </w:tcPr>
          <w:p w:rsidR="007F7D63" w:rsidRDefault="00B7630C">
            <w:pPr>
              <w:jc w:val="center"/>
            </w:pPr>
            <w:r>
              <w:rPr>
                <w:rFonts w:ascii="Times New Roman" w:hAnsi="Times New Roman"/>
                <w:b w:val="0"/>
                <w:sz w:val="16"/>
                <w:szCs w:val="16"/>
              </w:rPr>
              <w:t>Blind cascade</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2.864</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93.7%</w:t>
            </w:r>
          </w:p>
        </w:tc>
        <w:tc>
          <w:tcPr>
            <w:tcW w:w="780" w:type="dxa"/>
            <w:tcMar>
              <w:top w:w="30" w:type="dxa"/>
              <w:left w:w="60" w:type="dxa"/>
              <w:bottom w:w="30" w:type="dxa"/>
              <w:right w:w="60" w:type="dxa"/>
            </w:tcMar>
          </w:tcPr>
          <w:p w:rsidR="007F7D63" w:rsidRDefault="00B7630C">
            <w:pPr>
              <w:jc w:val="center"/>
            </w:pPr>
            <w:r>
              <w:rPr>
                <w:rFonts w:ascii="Times New Roman" w:hAnsi="Times New Roman"/>
                <w:b w:val="0"/>
                <w:sz w:val="16"/>
                <w:szCs w:val="16"/>
              </w:rPr>
              <w:t>48.6%</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4%</w:t>
            </w:r>
          </w:p>
        </w:tc>
      </w:tr>
      <w:tr w:rsidR="007F7D63">
        <w:tblPrEx>
          <w:tblCellMar>
            <w:top w:w="0" w:type="dxa"/>
            <w:bottom w:w="0" w:type="dxa"/>
          </w:tblCellMar>
        </w:tblPrEx>
        <w:tc>
          <w:tcPr>
            <w:tcW w:w="1500" w:type="dxa"/>
            <w:tcMar>
              <w:top w:w="30" w:type="dxa"/>
              <w:left w:w="60" w:type="dxa"/>
              <w:bottom w:w="30" w:type="dxa"/>
              <w:right w:w="60" w:type="dxa"/>
            </w:tcMar>
          </w:tcPr>
          <w:p w:rsidR="007F7D63" w:rsidRDefault="00B7630C">
            <w:pPr>
              <w:jc w:val="center"/>
            </w:pPr>
            <w:proofErr w:type="spellStart"/>
            <w:r>
              <w:rPr>
                <w:rFonts w:ascii="Times New Roman" w:hAnsi="Times New Roman"/>
                <w:b w:val="0"/>
                <w:sz w:val="16"/>
                <w:szCs w:val="16"/>
              </w:rPr>
              <w:t>GreenGate</w:t>
            </w:r>
            <w:proofErr w:type="spellEnd"/>
            <w:r>
              <w:rPr>
                <w:rFonts w:ascii="Times New Roman" w:hAnsi="Times New Roman"/>
                <w:b w:val="0"/>
                <w:sz w:val="16"/>
                <w:szCs w:val="16"/>
              </w:rPr>
              <w:t xml:space="preserve"> (t=2.09)</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2.930</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95.9%</w:t>
            </w:r>
          </w:p>
        </w:tc>
        <w:tc>
          <w:tcPr>
            <w:tcW w:w="780" w:type="dxa"/>
            <w:tcMar>
              <w:top w:w="30" w:type="dxa"/>
              <w:left w:w="60" w:type="dxa"/>
              <w:bottom w:w="30" w:type="dxa"/>
              <w:right w:w="60" w:type="dxa"/>
            </w:tcMar>
          </w:tcPr>
          <w:p w:rsidR="007F7D63" w:rsidRDefault="00B7630C">
            <w:pPr>
              <w:jc w:val="center"/>
            </w:pPr>
            <w:r>
              <w:rPr>
                <w:rFonts w:ascii="Times New Roman" w:hAnsi="Times New Roman"/>
                <w:b w:val="0"/>
                <w:sz w:val="16"/>
                <w:szCs w:val="16"/>
              </w:rPr>
              <w:t>37.5%</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15%</w:t>
            </w:r>
          </w:p>
        </w:tc>
      </w:tr>
      <w:tr w:rsidR="007F7D63">
        <w:tblPrEx>
          <w:tblCellMar>
            <w:top w:w="0" w:type="dxa"/>
            <w:bottom w:w="0" w:type="dxa"/>
          </w:tblCellMar>
        </w:tblPrEx>
        <w:tc>
          <w:tcPr>
            <w:tcW w:w="1500" w:type="dxa"/>
            <w:tcMar>
              <w:top w:w="30" w:type="dxa"/>
              <w:left w:w="60" w:type="dxa"/>
              <w:bottom w:w="30" w:type="dxa"/>
              <w:right w:w="60" w:type="dxa"/>
            </w:tcMar>
          </w:tcPr>
          <w:p w:rsidR="007F7D63" w:rsidRDefault="00B7630C">
            <w:pPr>
              <w:jc w:val="center"/>
            </w:pPr>
            <w:proofErr w:type="spellStart"/>
            <w:r>
              <w:rPr>
                <w:rFonts w:ascii="Times New Roman" w:hAnsi="Times New Roman"/>
                <w:b w:val="0"/>
                <w:sz w:val="16"/>
                <w:szCs w:val="16"/>
              </w:rPr>
              <w:t>GreenGate</w:t>
            </w:r>
            <w:proofErr w:type="spellEnd"/>
            <w:r>
              <w:rPr>
                <w:rFonts w:ascii="Times New Roman" w:hAnsi="Times New Roman"/>
                <w:b w:val="0"/>
                <w:sz w:val="16"/>
                <w:szCs w:val="16"/>
              </w:rPr>
              <w:t xml:space="preserve"> (t=2.55)</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2.894</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94.7%</w:t>
            </w:r>
          </w:p>
        </w:tc>
        <w:tc>
          <w:tcPr>
            <w:tcW w:w="780" w:type="dxa"/>
            <w:tcMar>
              <w:top w:w="30" w:type="dxa"/>
              <w:left w:w="60" w:type="dxa"/>
              <w:bottom w:w="30" w:type="dxa"/>
              <w:right w:w="60" w:type="dxa"/>
            </w:tcMar>
          </w:tcPr>
          <w:p w:rsidR="007F7D63" w:rsidRDefault="00B7630C">
            <w:pPr>
              <w:jc w:val="center"/>
            </w:pPr>
            <w:r>
              <w:rPr>
                <w:rFonts w:ascii="Times New Roman" w:hAnsi="Times New Roman"/>
                <w:b w:val="0"/>
                <w:sz w:val="16"/>
                <w:szCs w:val="16"/>
              </w:rPr>
              <w:t>47.4%</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5%</w:t>
            </w:r>
          </w:p>
        </w:tc>
      </w:tr>
    </w:tbl>
    <w:p w:rsidR="007F7D63" w:rsidRDefault="00B7630C">
      <w:pPr>
        <w:spacing w:after="140"/>
      </w:pPr>
      <w:r>
        <w:rPr>
          <w:sz w:val="8"/>
          <w:szCs w:val="8"/>
        </w:rPr>
        <w:t xml:space="preserve"> </w:t>
      </w:r>
    </w:p>
    <w:p w:rsidR="007F7D63" w:rsidRDefault="00B7630C">
      <w:pPr>
        <w:spacing w:line="220" w:lineRule="auto"/>
        <w:ind w:firstLine="200"/>
        <w:jc w:val="both"/>
      </w:pPr>
      <w:r>
        <w:rPr>
          <w:rFonts w:ascii="Times New Roman" w:hAnsi="Times New Roman"/>
          <w:b w:val="0"/>
          <w:i w:val="0"/>
          <w:sz w:val="20"/>
        </w:rPr>
        <w:t>The structured workload behaves similarly under the same accounting. Table IV reports MMLU, where the measured inter-tier energy ratio of 4.73x admits a higher ceiling; the entropy gate reaches 29.5 percent reduction at 95.0 percent retention, and an oracl</w:t>
      </w:r>
      <w:r>
        <w:rPr>
          <w:rFonts w:ascii="Times New Roman" w:hAnsi="Times New Roman"/>
          <w:b w:val="0"/>
          <w:i w:val="0"/>
          <w:sz w:val="20"/>
        </w:rPr>
        <w:t xml:space="preserve">e router that escalates exactly when the small model is wrong and the large model right would reach 70.3 percent accuracy, above the large tier itself, at 55.0 percent lower carbon. That gap between the deployed gate and the oracle quantifies the headroom </w:t>
      </w:r>
      <w:r>
        <w:rPr>
          <w:rFonts w:ascii="Times New Roman" w:hAnsi="Times New Roman"/>
          <w:b w:val="0"/>
          <w:i w:val="0"/>
          <w:sz w:val="20"/>
        </w:rPr>
        <w:t>remaining for better routing signals.</w:t>
      </w:r>
    </w:p>
    <w:p w:rsidR="007F7D63" w:rsidRDefault="00B7630C">
      <w:pPr>
        <w:spacing w:before="140" w:after="60"/>
        <w:jc w:val="center"/>
      </w:pPr>
      <w:r>
        <w:rPr>
          <w:rFonts w:ascii="Times New Roman" w:hAnsi="Times New Roman"/>
          <w:b w:val="0"/>
          <w:i w:val="0"/>
          <w:sz w:val="16"/>
          <w:szCs w:val="16"/>
        </w:rPr>
        <w:t>TABLE IV. MMLU, 300 QUESTIONS, FULL ACCOUNTING</w:t>
      </w:r>
    </w:p>
    <w:tbl>
      <w:tblPr>
        <w:tblW w:w="4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20"/>
        <w:gridCol w:w="620"/>
        <w:gridCol w:w="780"/>
        <w:gridCol w:w="620"/>
      </w:tblGrid>
      <w:tr w:rsidR="007F7D63">
        <w:tblPrEx>
          <w:tblCellMar>
            <w:top w:w="0" w:type="dxa"/>
            <w:bottom w:w="0" w:type="dxa"/>
          </w:tblCellMar>
        </w:tblPrEx>
        <w:tc>
          <w:tcPr>
            <w:tcW w:w="150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Policy</w:t>
            </w:r>
          </w:p>
        </w:tc>
        <w:tc>
          <w:tcPr>
            <w:tcW w:w="62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Acc.</w:t>
            </w:r>
          </w:p>
        </w:tc>
        <w:tc>
          <w:tcPr>
            <w:tcW w:w="62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Ret.</w:t>
            </w:r>
          </w:p>
        </w:tc>
        <w:tc>
          <w:tcPr>
            <w:tcW w:w="78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CO2 cut</w:t>
            </w:r>
          </w:p>
        </w:tc>
        <w:tc>
          <w:tcPr>
            <w:tcW w:w="62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Esc.</w:t>
            </w:r>
          </w:p>
        </w:tc>
      </w:tr>
      <w:tr w:rsidR="007F7D63">
        <w:tblPrEx>
          <w:tblCellMar>
            <w:top w:w="0" w:type="dxa"/>
            <w:bottom w:w="0" w:type="dxa"/>
          </w:tblCellMar>
        </w:tblPrEx>
        <w:tc>
          <w:tcPr>
            <w:tcW w:w="1500" w:type="dxa"/>
            <w:tcMar>
              <w:top w:w="30" w:type="dxa"/>
              <w:left w:w="60" w:type="dxa"/>
              <w:bottom w:w="30" w:type="dxa"/>
              <w:right w:w="60" w:type="dxa"/>
            </w:tcMar>
          </w:tcPr>
          <w:p w:rsidR="007F7D63" w:rsidRDefault="00B7630C">
            <w:pPr>
              <w:jc w:val="center"/>
            </w:pPr>
            <w:r>
              <w:rPr>
                <w:rFonts w:ascii="Times New Roman" w:hAnsi="Times New Roman"/>
                <w:b w:val="0"/>
                <w:sz w:val="16"/>
                <w:szCs w:val="16"/>
              </w:rPr>
              <w:t>Always-large (Mistral-7B)</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0.533</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100%</w:t>
            </w:r>
          </w:p>
        </w:tc>
        <w:tc>
          <w:tcPr>
            <w:tcW w:w="780" w:type="dxa"/>
            <w:tcMar>
              <w:top w:w="30" w:type="dxa"/>
              <w:left w:w="60" w:type="dxa"/>
              <w:bottom w:w="30" w:type="dxa"/>
              <w:right w:w="60" w:type="dxa"/>
            </w:tcMar>
          </w:tcPr>
          <w:p w:rsidR="007F7D63" w:rsidRDefault="00B7630C">
            <w:pPr>
              <w:jc w:val="center"/>
            </w:pPr>
            <w:r>
              <w:rPr>
                <w:rFonts w:ascii="Times New Roman" w:hAnsi="Times New Roman"/>
                <w:b w:val="0"/>
                <w:sz w:val="16"/>
                <w:szCs w:val="16"/>
              </w:rPr>
              <w:t>-</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100%</w:t>
            </w:r>
          </w:p>
        </w:tc>
      </w:tr>
      <w:tr w:rsidR="007F7D63">
        <w:tblPrEx>
          <w:tblCellMar>
            <w:top w:w="0" w:type="dxa"/>
            <w:bottom w:w="0" w:type="dxa"/>
          </w:tblCellMar>
        </w:tblPrEx>
        <w:tc>
          <w:tcPr>
            <w:tcW w:w="1500" w:type="dxa"/>
            <w:tcMar>
              <w:top w:w="30" w:type="dxa"/>
              <w:left w:w="60" w:type="dxa"/>
              <w:bottom w:w="30" w:type="dxa"/>
              <w:right w:w="60" w:type="dxa"/>
            </w:tcMar>
          </w:tcPr>
          <w:p w:rsidR="007F7D63" w:rsidRDefault="00B7630C">
            <w:pPr>
              <w:jc w:val="center"/>
            </w:pPr>
            <w:r>
              <w:rPr>
                <w:rFonts w:ascii="Times New Roman" w:hAnsi="Times New Roman"/>
                <w:b w:val="0"/>
                <w:sz w:val="16"/>
                <w:szCs w:val="16"/>
              </w:rPr>
              <w:t>Always-small (Qwen-0.5B)</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0.470</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88.1%</w:t>
            </w:r>
          </w:p>
        </w:tc>
        <w:tc>
          <w:tcPr>
            <w:tcW w:w="780" w:type="dxa"/>
            <w:tcMar>
              <w:top w:w="30" w:type="dxa"/>
              <w:left w:w="60" w:type="dxa"/>
              <w:bottom w:w="30" w:type="dxa"/>
              <w:right w:w="60" w:type="dxa"/>
            </w:tcMar>
          </w:tcPr>
          <w:p w:rsidR="007F7D63" w:rsidRDefault="00B7630C">
            <w:pPr>
              <w:jc w:val="center"/>
            </w:pPr>
            <w:r>
              <w:rPr>
                <w:rFonts w:ascii="Times New Roman" w:hAnsi="Times New Roman"/>
                <w:b w:val="0"/>
                <w:sz w:val="16"/>
                <w:szCs w:val="16"/>
              </w:rPr>
              <w:t>78.9%</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0%</w:t>
            </w:r>
          </w:p>
        </w:tc>
      </w:tr>
      <w:tr w:rsidR="007F7D63">
        <w:tblPrEx>
          <w:tblCellMar>
            <w:top w:w="0" w:type="dxa"/>
            <w:bottom w:w="0" w:type="dxa"/>
          </w:tblCellMar>
        </w:tblPrEx>
        <w:tc>
          <w:tcPr>
            <w:tcW w:w="1500" w:type="dxa"/>
            <w:tcMar>
              <w:top w:w="30" w:type="dxa"/>
              <w:left w:w="60" w:type="dxa"/>
              <w:bottom w:w="30" w:type="dxa"/>
              <w:right w:w="60" w:type="dxa"/>
            </w:tcMar>
          </w:tcPr>
          <w:p w:rsidR="007F7D63" w:rsidRDefault="00B7630C">
            <w:pPr>
              <w:jc w:val="center"/>
            </w:pPr>
            <w:r>
              <w:rPr>
                <w:rFonts w:ascii="Times New Roman" w:hAnsi="Times New Roman"/>
                <w:b w:val="0"/>
                <w:sz w:val="16"/>
                <w:szCs w:val="16"/>
              </w:rPr>
              <w:t>Random 50%</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0.497</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93.1%</w:t>
            </w:r>
          </w:p>
        </w:tc>
        <w:tc>
          <w:tcPr>
            <w:tcW w:w="780" w:type="dxa"/>
            <w:tcMar>
              <w:top w:w="30" w:type="dxa"/>
              <w:left w:w="60" w:type="dxa"/>
              <w:bottom w:w="30" w:type="dxa"/>
              <w:right w:w="60" w:type="dxa"/>
            </w:tcMar>
          </w:tcPr>
          <w:p w:rsidR="007F7D63" w:rsidRDefault="00B7630C">
            <w:pPr>
              <w:jc w:val="center"/>
            </w:pPr>
            <w:r>
              <w:rPr>
                <w:rFonts w:ascii="Times New Roman" w:hAnsi="Times New Roman"/>
                <w:b w:val="0"/>
                <w:sz w:val="16"/>
                <w:szCs w:val="16"/>
              </w:rPr>
              <w:t>38.9%</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50%</w:t>
            </w:r>
          </w:p>
        </w:tc>
      </w:tr>
      <w:tr w:rsidR="007F7D63">
        <w:tblPrEx>
          <w:tblCellMar>
            <w:top w:w="0" w:type="dxa"/>
            <w:bottom w:w="0" w:type="dxa"/>
          </w:tblCellMar>
        </w:tblPrEx>
        <w:tc>
          <w:tcPr>
            <w:tcW w:w="1500" w:type="dxa"/>
            <w:tcMar>
              <w:top w:w="30" w:type="dxa"/>
              <w:left w:w="60" w:type="dxa"/>
              <w:bottom w:w="30" w:type="dxa"/>
              <w:right w:w="60" w:type="dxa"/>
            </w:tcMar>
          </w:tcPr>
          <w:p w:rsidR="007F7D63" w:rsidRDefault="00B7630C">
            <w:pPr>
              <w:jc w:val="center"/>
            </w:pPr>
            <w:r>
              <w:rPr>
                <w:rFonts w:ascii="Times New Roman" w:hAnsi="Times New Roman"/>
                <w:b w:val="0"/>
                <w:sz w:val="16"/>
                <w:szCs w:val="16"/>
              </w:rPr>
              <w:t>Blind cascade</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0.500</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93.8%</w:t>
            </w:r>
          </w:p>
        </w:tc>
        <w:tc>
          <w:tcPr>
            <w:tcW w:w="780" w:type="dxa"/>
            <w:tcMar>
              <w:top w:w="30" w:type="dxa"/>
              <w:left w:w="60" w:type="dxa"/>
              <w:bottom w:w="30" w:type="dxa"/>
              <w:right w:w="60" w:type="dxa"/>
            </w:tcMar>
          </w:tcPr>
          <w:p w:rsidR="007F7D63" w:rsidRDefault="00B7630C">
            <w:pPr>
              <w:jc w:val="center"/>
            </w:pPr>
            <w:r>
              <w:rPr>
                <w:rFonts w:ascii="Times New Roman" w:hAnsi="Times New Roman"/>
                <w:b w:val="0"/>
                <w:sz w:val="16"/>
                <w:szCs w:val="16"/>
              </w:rPr>
              <w:t>19.4%</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62%</w:t>
            </w:r>
          </w:p>
        </w:tc>
      </w:tr>
      <w:tr w:rsidR="007F7D63">
        <w:tblPrEx>
          <w:tblCellMar>
            <w:top w:w="0" w:type="dxa"/>
            <w:bottom w:w="0" w:type="dxa"/>
          </w:tblCellMar>
        </w:tblPrEx>
        <w:tc>
          <w:tcPr>
            <w:tcW w:w="1500" w:type="dxa"/>
            <w:tcMar>
              <w:top w:w="30" w:type="dxa"/>
              <w:left w:w="60" w:type="dxa"/>
              <w:bottom w:w="30" w:type="dxa"/>
              <w:right w:w="60" w:type="dxa"/>
            </w:tcMar>
          </w:tcPr>
          <w:p w:rsidR="007F7D63" w:rsidRDefault="00B7630C">
            <w:pPr>
              <w:jc w:val="center"/>
            </w:pPr>
            <w:proofErr w:type="spellStart"/>
            <w:r>
              <w:rPr>
                <w:rFonts w:ascii="Times New Roman" w:hAnsi="Times New Roman"/>
                <w:b w:val="0"/>
                <w:sz w:val="16"/>
                <w:szCs w:val="16"/>
              </w:rPr>
              <w:t>GreenGate</w:t>
            </w:r>
            <w:proofErr w:type="spellEnd"/>
            <w:r>
              <w:rPr>
                <w:rFonts w:ascii="Times New Roman" w:hAnsi="Times New Roman"/>
                <w:b w:val="0"/>
                <w:sz w:val="16"/>
                <w:szCs w:val="16"/>
              </w:rPr>
              <w:t xml:space="preserve"> (calibrated)</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0.507</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95.0%</w:t>
            </w:r>
          </w:p>
        </w:tc>
        <w:tc>
          <w:tcPr>
            <w:tcW w:w="780" w:type="dxa"/>
            <w:tcMar>
              <w:top w:w="30" w:type="dxa"/>
              <w:left w:w="60" w:type="dxa"/>
              <w:bottom w:w="30" w:type="dxa"/>
              <w:right w:w="60" w:type="dxa"/>
            </w:tcMar>
          </w:tcPr>
          <w:p w:rsidR="007F7D63" w:rsidRDefault="00B7630C">
            <w:pPr>
              <w:jc w:val="center"/>
            </w:pPr>
            <w:r>
              <w:rPr>
                <w:rFonts w:ascii="Times New Roman" w:hAnsi="Times New Roman"/>
                <w:b w:val="0"/>
                <w:sz w:val="16"/>
                <w:szCs w:val="16"/>
              </w:rPr>
              <w:t>29.5%</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45%</w:t>
            </w:r>
          </w:p>
        </w:tc>
      </w:tr>
      <w:tr w:rsidR="007F7D63">
        <w:tblPrEx>
          <w:tblCellMar>
            <w:top w:w="0" w:type="dxa"/>
            <w:bottom w:w="0" w:type="dxa"/>
          </w:tblCellMar>
        </w:tblPrEx>
        <w:tc>
          <w:tcPr>
            <w:tcW w:w="1500" w:type="dxa"/>
            <w:tcMar>
              <w:top w:w="30" w:type="dxa"/>
              <w:left w:w="60" w:type="dxa"/>
              <w:bottom w:w="30" w:type="dxa"/>
              <w:right w:w="60" w:type="dxa"/>
            </w:tcMar>
          </w:tcPr>
          <w:p w:rsidR="007F7D63" w:rsidRDefault="00B7630C">
            <w:pPr>
              <w:jc w:val="center"/>
            </w:pPr>
            <w:r>
              <w:rPr>
                <w:rFonts w:ascii="Times New Roman" w:hAnsi="Times New Roman"/>
                <w:b w:val="0"/>
                <w:sz w:val="16"/>
                <w:szCs w:val="16"/>
              </w:rPr>
              <w:t>Oracle (upper bound)</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0.703</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131.9%</w:t>
            </w:r>
          </w:p>
        </w:tc>
        <w:tc>
          <w:tcPr>
            <w:tcW w:w="780" w:type="dxa"/>
            <w:tcMar>
              <w:top w:w="30" w:type="dxa"/>
              <w:left w:w="60" w:type="dxa"/>
              <w:bottom w:w="30" w:type="dxa"/>
              <w:right w:w="60" w:type="dxa"/>
            </w:tcMar>
          </w:tcPr>
          <w:p w:rsidR="007F7D63" w:rsidRDefault="00B7630C">
            <w:pPr>
              <w:jc w:val="center"/>
            </w:pPr>
            <w:r>
              <w:rPr>
                <w:rFonts w:ascii="Times New Roman" w:hAnsi="Times New Roman"/>
                <w:b w:val="0"/>
                <w:sz w:val="16"/>
                <w:szCs w:val="16"/>
              </w:rPr>
              <w:t>55.0%</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23%</w:t>
            </w:r>
          </w:p>
        </w:tc>
      </w:tr>
    </w:tbl>
    <w:p w:rsidR="007F7D63" w:rsidRDefault="00B7630C">
      <w:pPr>
        <w:spacing w:after="140"/>
      </w:pPr>
      <w:r>
        <w:rPr>
          <w:sz w:val="8"/>
          <w:szCs w:val="8"/>
        </w:rPr>
        <w:lastRenderedPageBreak/>
        <w:t xml:space="preserve"> </w:t>
      </w:r>
    </w:p>
    <w:p w:rsidR="007F7D63" w:rsidRDefault="00B7630C">
      <w:pPr>
        <w:spacing w:before="120" w:after="60"/>
        <w:jc w:val="left"/>
      </w:pPr>
      <w:r>
        <w:rPr>
          <w:rFonts w:ascii="Times New Roman" w:hAnsi="Times New Roman"/>
          <w:b/>
          <w:bCs/>
          <w:i/>
          <w:iCs/>
          <w:sz w:val="20"/>
        </w:rPr>
        <w:t>C. Signal validity depends on task structure</w:t>
      </w:r>
    </w:p>
    <w:p w:rsidR="007F7D63" w:rsidRDefault="00B7630C">
      <w:pPr>
        <w:spacing w:line="220" w:lineRule="auto"/>
        <w:ind w:firstLine="200"/>
        <w:jc w:val="both"/>
      </w:pPr>
      <w:r>
        <w:rPr>
          <w:rFonts w:ascii="Times New Roman" w:hAnsi="Times New Roman"/>
          <w:b w:val="0"/>
          <w:i w:val="0"/>
          <w:sz w:val="20"/>
        </w:rPr>
        <w:t xml:space="preserve">The routing signal is informative where answers are constrained and weak where they are not. On MMLU, questions the small model answers incorrectly carry 0.331 bits more choice entropy than those it answers correctly, and on VQAv2 mean confidence is 0.940 </w:t>
      </w:r>
      <w:r>
        <w:rPr>
          <w:rFonts w:ascii="Times New Roman" w:hAnsi="Times New Roman"/>
          <w:b w:val="0"/>
          <w:i w:val="0"/>
          <w:sz w:val="20"/>
        </w:rPr>
        <w:t>when correct against 0.846 when wrong. On open-ended generation, by contrast, the signal is near chance at identifying poor answers: tie-corrected AUROC is 0.539 for mean token entropy and 0.439 for semantic entropy with three samples at 4.3x the energy, a</w:t>
      </w:r>
      <w:r>
        <w:rPr>
          <w:rFonts w:ascii="Times New Roman" w:hAnsi="Times New Roman"/>
          <w:b w:val="0"/>
          <w:i w:val="0"/>
          <w:sz w:val="20"/>
        </w:rPr>
        <w:t>nd 0.536 for API log-probabilities. Answers where all three samples agreed were still judged poor half the time, indicating consistent rather than detectable error. On such workloads the cascade's savings derive from its structure rather than from selectiv</w:t>
      </w:r>
      <w:r>
        <w:rPr>
          <w:rFonts w:ascii="Times New Roman" w:hAnsi="Times New Roman"/>
          <w:b w:val="0"/>
          <w:i w:val="0"/>
          <w:sz w:val="20"/>
        </w:rPr>
        <w:t>e routing, which the blind-cascade baseline confirms.</w:t>
      </w:r>
    </w:p>
    <w:p w:rsidR="007F7D63" w:rsidRDefault="00B7630C">
      <w:pPr>
        <w:spacing w:before="120" w:after="60"/>
        <w:jc w:val="left"/>
      </w:pPr>
      <w:r>
        <w:rPr>
          <w:rFonts w:ascii="Times New Roman" w:hAnsi="Times New Roman"/>
          <w:b/>
          <w:bCs/>
          <w:i/>
          <w:iCs/>
          <w:sz w:val="20"/>
        </w:rPr>
        <w:t>D. Signal informativeness scales with capability</w:t>
      </w:r>
    </w:p>
    <w:p w:rsidR="007F7D63" w:rsidRDefault="00B7630C">
      <w:pPr>
        <w:spacing w:line="220" w:lineRule="auto"/>
        <w:ind w:firstLine="200"/>
        <w:jc w:val="both"/>
      </w:pPr>
      <w:r>
        <w:rPr>
          <w:rFonts w:ascii="Times New Roman" w:hAnsi="Times New Roman"/>
          <w:b w:val="0"/>
          <w:i w:val="0"/>
          <w:sz w:val="20"/>
        </w:rPr>
        <w:t xml:space="preserve">Evaluating five small models spanning four families against a fixed large tier shows that the signal is a property of the model computing it rather than </w:t>
      </w:r>
      <w:r>
        <w:rPr>
          <w:rFonts w:ascii="Times New Roman" w:hAnsi="Times New Roman"/>
          <w:b w:val="0"/>
          <w:i w:val="0"/>
          <w:sz w:val="20"/>
        </w:rPr>
        <w:t xml:space="preserve">of entropy as such. Fig. 4 plots the entropy gap against small-model accuracy: it rises from 0.017 bits for TinyLlama-1.1B to 0.500 bits for Qwen2.5-3B. </w:t>
      </w:r>
      <w:proofErr w:type="spellStart"/>
      <w:r>
        <w:rPr>
          <w:rFonts w:ascii="Times New Roman" w:hAnsi="Times New Roman"/>
          <w:b w:val="0"/>
          <w:i w:val="0"/>
          <w:sz w:val="20"/>
        </w:rPr>
        <w:t>TinyLlama</w:t>
      </w:r>
      <w:proofErr w:type="spellEnd"/>
      <w:r>
        <w:rPr>
          <w:rFonts w:ascii="Times New Roman" w:hAnsi="Times New Roman"/>
          <w:b w:val="0"/>
          <w:i w:val="0"/>
          <w:sz w:val="20"/>
        </w:rPr>
        <w:t xml:space="preserve"> scores 24.3 percent on four-choice MMLU, below chance, and its cascade consumes 9.5 percent m</w:t>
      </w:r>
      <w:r>
        <w:rPr>
          <w:rFonts w:ascii="Times New Roman" w:hAnsi="Times New Roman"/>
          <w:b w:val="0"/>
          <w:i w:val="0"/>
          <w:sz w:val="20"/>
        </w:rPr>
        <w:t>ore energy than never cascading, a regime naive accounting cannot surface because it never charges the discarded attempt. Two small models, Phi-3.5-mini and Qwen2.5-3B, outperform the 7B large tier outright, giving both higher accuracy and 44 to 53 percent</w:t>
      </w:r>
      <w:r>
        <w:rPr>
          <w:rFonts w:ascii="Times New Roman" w:hAnsi="Times New Roman"/>
          <w:b w:val="0"/>
          <w:i w:val="0"/>
          <w:sz w:val="20"/>
        </w:rPr>
        <w:t xml:space="preserve"> lower carbon and showing that tier ordering follows model quality rather than parameter count.</w:t>
      </w:r>
    </w:p>
    <w:p w:rsidR="007F7D63" w:rsidRDefault="00B7630C">
      <w:pPr>
        <w:spacing w:before="120" w:after="40"/>
        <w:jc w:val="center"/>
      </w:pPr>
      <w:r>
        <w:rPr>
          <w:noProof/>
        </w:rPr>
        <w:drawing>
          <wp:inline distT="0" distB="0" distL="0" distR="0">
            <wp:extent cx="2286000" cy="167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1676400"/>
                    </a:xfrm>
                    <a:prstGeom prst="rect">
                      <a:avLst/>
                    </a:prstGeom>
                  </pic:spPr>
                </pic:pic>
              </a:graphicData>
            </a:graphic>
          </wp:inline>
        </w:drawing>
      </w:r>
    </w:p>
    <w:p w:rsidR="007F7D63" w:rsidRDefault="00B7630C">
      <w:pPr>
        <w:spacing w:after="140"/>
      </w:pPr>
      <w:r>
        <w:rPr>
          <w:rFonts w:ascii="Times New Roman" w:hAnsi="Times New Roman"/>
          <w:b w:val="0"/>
          <w:i w:val="0"/>
          <w:sz w:val="16"/>
          <w:szCs w:val="16"/>
        </w:rPr>
        <w:t>Fig. 4. Routing-signal informativeness against small-model capability on MMLU. Below the chance line the signal carries no information and cascading increases</w:t>
      </w:r>
      <w:r>
        <w:rPr>
          <w:rFonts w:ascii="Times New Roman" w:hAnsi="Times New Roman"/>
          <w:b w:val="0"/>
          <w:i w:val="0"/>
          <w:sz w:val="16"/>
          <w:szCs w:val="16"/>
        </w:rPr>
        <w:t xml:space="preserve"> emissions.</w:t>
      </w:r>
    </w:p>
    <w:p w:rsidR="007F7D63" w:rsidRDefault="00B7630C">
      <w:pPr>
        <w:spacing w:before="140" w:after="60"/>
        <w:jc w:val="center"/>
      </w:pPr>
      <w:r>
        <w:rPr>
          <w:rFonts w:ascii="Times New Roman" w:hAnsi="Times New Roman"/>
          <w:b w:val="0"/>
          <w:i w:val="0"/>
          <w:sz w:val="16"/>
          <w:szCs w:val="16"/>
        </w:rPr>
        <w:t>TABLE V. FIVE SMALL MODELS AGAINST A FIXED 7B LARGE TIER</w:t>
      </w:r>
    </w:p>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620"/>
        <w:gridCol w:w="800"/>
        <w:gridCol w:w="660"/>
        <w:gridCol w:w="940"/>
      </w:tblGrid>
      <w:tr w:rsidR="007F7D63">
        <w:tblPrEx>
          <w:tblCellMar>
            <w:top w:w="0" w:type="dxa"/>
            <w:bottom w:w="0" w:type="dxa"/>
          </w:tblCellMar>
        </w:tblPrEx>
        <w:tc>
          <w:tcPr>
            <w:tcW w:w="142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Small model</w:t>
            </w:r>
          </w:p>
        </w:tc>
        <w:tc>
          <w:tcPr>
            <w:tcW w:w="62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Acc.</w:t>
            </w:r>
          </w:p>
        </w:tc>
        <w:tc>
          <w:tcPr>
            <w:tcW w:w="80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Gap (bits)</w:t>
            </w:r>
          </w:p>
        </w:tc>
        <w:tc>
          <w:tcPr>
            <w:tcW w:w="66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Ratio</w:t>
            </w:r>
          </w:p>
        </w:tc>
        <w:tc>
          <w:tcPr>
            <w:tcW w:w="940" w:type="dxa"/>
            <w:shd w:val="clear" w:color="auto" w:fill="E8E8E8"/>
            <w:tcMar>
              <w:top w:w="30" w:type="dxa"/>
              <w:left w:w="60" w:type="dxa"/>
              <w:bottom w:w="30" w:type="dxa"/>
              <w:right w:w="60" w:type="dxa"/>
            </w:tcMar>
          </w:tcPr>
          <w:p w:rsidR="007F7D63" w:rsidRDefault="00B7630C">
            <w:pPr>
              <w:jc w:val="center"/>
            </w:pPr>
            <w:r>
              <w:rPr>
                <w:rFonts w:ascii="Times New Roman" w:hAnsi="Times New Roman"/>
                <w:b/>
                <w:bCs/>
                <w:sz w:val="16"/>
                <w:szCs w:val="16"/>
              </w:rPr>
              <w:t>Cut at 95% ret.</w:t>
            </w:r>
          </w:p>
        </w:tc>
      </w:tr>
      <w:tr w:rsidR="007F7D63">
        <w:tblPrEx>
          <w:tblCellMar>
            <w:top w:w="0" w:type="dxa"/>
            <w:bottom w:w="0" w:type="dxa"/>
          </w:tblCellMar>
        </w:tblPrEx>
        <w:tc>
          <w:tcPr>
            <w:tcW w:w="1420" w:type="dxa"/>
            <w:tcMar>
              <w:top w:w="30" w:type="dxa"/>
              <w:left w:w="60" w:type="dxa"/>
              <w:bottom w:w="30" w:type="dxa"/>
              <w:right w:w="60" w:type="dxa"/>
            </w:tcMar>
          </w:tcPr>
          <w:p w:rsidR="007F7D63" w:rsidRDefault="00B7630C">
            <w:pPr>
              <w:jc w:val="center"/>
            </w:pPr>
            <w:r>
              <w:rPr>
                <w:rFonts w:ascii="Times New Roman" w:hAnsi="Times New Roman"/>
                <w:b w:val="0"/>
                <w:sz w:val="16"/>
                <w:szCs w:val="16"/>
              </w:rPr>
              <w:t>Phi-3.5-mini (3.8B)</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0.667</w:t>
            </w:r>
          </w:p>
        </w:tc>
        <w:tc>
          <w:tcPr>
            <w:tcW w:w="800" w:type="dxa"/>
            <w:tcMar>
              <w:top w:w="30" w:type="dxa"/>
              <w:left w:w="60" w:type="dxa"/>
              <w:bottom w:w="30" w:type="dxa"/>
              <w:right w:w="60" w:type="dxa"/>
            </w:tcMar>
          </w:tcPr>
          <w:p w:rsidR="007F7D63" w:rsidRDefault="00B7630C">
            <w:pPr>
              <w:jc w:val="center"/>
            </w:pPr>
            <w:r>
              <w:rPr>
                <w:rFonts w:ascii="Times New Roman" w:hAnsi="Times New Roman"/>
                <w:b w:val="0"/>
                <w:sz w:val="16"/>
                <w:szCs w:val="16"/>
              </w:rPr>
              <w:t>0.440</w:t>
            </w:r>
          </w:p>
        </w:tc>
        <w:tc>
          <w:tcPr>
            <w:tcW w:w="660" w:type="dxa"/>
            <w:tcMar>
              <w:top w:w="30" w:type="dxa"/>
              <w:left w:w="60" w:type="dxa"/>
              <w:bottom w:w="30" w:type="dxa"/>
              <w:right w:w="60" w:type="dxa"/>
            </w:tcMar>
          </w:tcPr>
          <w:p w:rsidR="007F7D63" w:rsidRDefault="00B7630C">
            <w:pPr>
              <w:jc w:val="center"/>
            </w:pPr>
            <w:r>
              <w:rPr>
                <w:rFonts w:ascii="Times New Roman" w:hAnsi="Times New Roman"/>
                <w:b w:val="0"/>
                <w:sz w:val="16"/>
                <w:szCs w:val="16"/>
              </w:rPr>
              <w:t>1.95x</w:t>
            </w:r>
          </w:p>
        </w:tc>
        <w:tc>
          <w:tcPr>
            <w:tcW w:w="940" w:type="dxa"/>
            <w:tcMar>
              <w:top w:w="30" w:type="dxa"/>
              <w:left w:w="60" w:type="dxa"/>
              <w:bottom w:w="30" w:type="dxa"/>
              <w:right w:w="60" w:type="dxa"/>
            </w:tcMar>
          </w:tcPr>
          <w:p w:rsidR="007F7D63" w:rsidRDefault="00B7630C">
            <w:pPr>
              <w:jc w:val="center"/>
            </w:pPr>
            <w:r>
              <w:rPr>
                <w:rFonts w:ascii="Times New Roman" w:hAnsi="Times New Roman"/>
                <w:b w:val="0"/>
                <w:sz w:val="16"/>
                <w:szCs w:val="16"/>
              </w:rPr>
              <w:t>44.2%</w:t>
            </w:r>
          </w:p>
        </w:tc>
      </w:tr>
      <w:tr w:rsidR="007F7D63">
        <w:tblPrEx>
          <w:tblCellMar>
            <w:top w:w="0" w:type="dxa"/>
            <w:bottom w:w="0" w:type="dxa"/>
          </w:tblCellMar>
        </w:tblPrEx>
        <w:tc>
          <w:tcPr>
            <w:tcW w:w="1420" w:type="dxa"/>
            <w:tcMar>
              <w:top w:w="30" w:type="dxa"/>
              <w:left w:w="60" w:type="dxa"/>
              <w:bottom w:w="30" w:type="dxa"/>
              <w:right w:w="60" w:type="dxa"/>
            </w:tcMar>
          </w:tcPr>
          <w:p w:rsidR="007F7D63" w:rsidRDefault="00B7630C">
            <w:pPr>
              <w:jc w:val="center"/>
            </w:pPr>
            <w:r>
              <w:rPr>
                <w:rFonts w:ascii="Times New Roman" w:hAnsi="Times New Roman"/>
                <w:b w:val="0"/>
                <w:sz w:val="16"/>
                <w:szCs w:val="16"/>
              </w:rPr>
              <w:t>Qwen2.5-3B</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0.653</w:t>
            </w:r>
          </w:p>
        </w:tc>
        <w:tc>
          <w:tcPr>
            <w:tcW w:w="800" w:type="dxa"/>
            <w:tcMar>
              <w:top w:w="30" w:type="dxa"/>
              <w:left w:w="60" w:type="dxa"/>
              <w:bottom w:w="30" w:type="dxa"/>
              <w:right w:w="60" w:type="dxa"/>
            </w:tcMar>
          </w:tcPr>
          <w:p w:rsidR="007F7D63" w:rsidRDefault="00B7630C">
            <w:pPr>
              <w:jc w:val="center"/>
            </w:pPr>
            <w:r>
              <w:rPr>
                <w:rFonts w:ascii="Times New Roman" w:hAnsi="Times New Roman"/>
                <w:b w:val="0"/>
                <w:sz w:val="16"/>
                <w:szCs w:val="16"/>
              </w:rPr>
              <w:t>0.500</w:t>
            </w:r>
          </w:p>
        </w:tc>
        <w:tc>
          <w:tcPr>
            <w:tcW w:w="660" w:type="dxa"/>
            <w:tcMar>
              <w:top w:w="30" w:type="dxa"/>
              <w:left w:w="60" w:type="dxa"/>
              <w:bottom w:w="30" w:type="dxa"/>
              <w:right w:w="60" w:type="dxa"/>
            </w:tcMar>
          </w:tcPr>
          <w:p w:rsidR="007F7D63" w:rsidRDefault="00B7630C">
            <w:pPr>
              <w:jc w:val="center"/>
            </w:pPr>
            <w:r>
              <w:rPr>
                <w:rFonts w:ascii="Times New Roman" w:hAnsi="Times New Roman"/>
                <w:b w:val="0"/>
                <w:sz w:val="16"/>
                <w:szCs w:val="16"/>
              </w:rPr>
              <w:t>2.42x</w:t>
            </w:r>
          </w:p>
        </w:tc>
        <w:tc>
          <w:tcPr>
            <w:tcW w:w="940" w:type="dxa"/>
            <w:tcMar>
              <w:top w:w="30" w:type="dxa"/>
              <w:left w:w="60" w:type="dxa"/>
              <w:bottom w:w="30" w:type="dxa"/>
              <w:right w:w="60" w:type="dxa"/>
            </w:tcMar>
          </w:tcPr>
          <w:p w:rsidR="007F7D63" w:rsidRDefault="00B7630C">
            <w:pPr>
              <w:jc w:val="center"/>
            </w:pPr>
            <w:r>
              <w:rPr>
                <w:rFonts w:ascii="Times New Roman" w:hAnsi="Times New Roman"/>
                <w:b w:val="0"/>
                <w:sz w:val="16"/>
                <w:szCs w:val="16"/>
              </w:rPr>
              <w:t>52.6%</w:t>
            </w:r>
          </w:p>
        </w:tc>
      </w:tr>
      <w:tr w:rsidR="007F7D63">
        <w:tblPrEx>
          <w:tblCellMar>
            <w:top w:w="0" w:type="dxa"/>
            <w:bottom w:w="0" w:type="dxa"/>
          </w:tblCellMar>
        </w:tblPrEx>
        <w:tc>
          <w:tcPr>
            <w:tcW w:w="1420" w:type="dxa"/>
            <w:tcMar>
              <w:top w:w="30" w:type="dxa"/>
              <w:left w:w="60" w:type="dxa"/>
              <w:bottom w:w="30" w:type="dxa"/>
              <w:right w:w="60" w:type="dxa"/>
            </w:tcMar>
          </w:tcPr>
          <w:p w:rsidR="007F7D63" w:rsidRDefault="00B7630C">
            <w:pPr>
              <w:jc w:val="center"/>
            </w:pPr>
            <w:r>
              <w:rPr>
                <w:rFonts w:ascii="Times New Roman" w:hAnsi="Times New Roman"/>
                <w:b w:val="0"/>
                <w:sz w:val="16"/>
                <w:szCs w:val="16"/>
              </w:rPr>
              <w:t>Qwen2.5-0.5B</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0.470</w:t>
            </w:r>
          </w:p>
        </w:tc>
        <w:tc>
          <w:tcPr>
            <w:tcW w:w="800" w:type="dxa"/>
            <w:tcMar>
              <w:top w:w="30" w:type="dxa"/>
              <w:left w:w="60" w:type="dxa"/>
              <w:bottom w:w="30" w:type="dxa"/>
              <w:right w:w="60" w:type="dxa"/>
            </w:tcMar>
          </w:tcPr>
          <w:p w:rsidR="007F7D63" w:rsidRDefault="00B7630C">
            <w:pPr>
              <w:jc w:val="center"/>
            </w:pPr>
            <w:r>
              <w:rPr>
                <w:rFonts w:ascii="Times New Roman" w:hAnsi="Times New Roman"/>
                <w:b w:val="0"/>
                <w:sz w:val="16"/>
                <w:szCs w:val="16"/>
              </w:rPr>
              <w:t>0.331</w:t>
            </w:r>
          </w:p>
        </w:tc>
        <w:tc>
          <w:tcPr>
            <w:tcW w:w="660" w:type="dxa"/>
            <w:tcMar>
              <w:top w:w="30" w:type="dxa"/>
              <w:left w:w="60" w:type="dxa"/>
              <w:bottom w:w="30" w:type="dxa"/>
              <w:right w:w="60" w:type="dxa"/>
            </w:tcMar>
          </w:tcPr>
          <w:p w:rsidR="007F7D63" w:rsidRDefault="00B7630C">
            <w:pPr>
              <w:jc w:val="center"/>
            </w:pPr>
            <w:r>
              <w:rPr>
                <w:rFonts w:ascii="Times New Roman" w:hAnsi="Times New Roman"/>
                <w:b w:val="0"/>
                <w:sz w:val="16"/>
                <w:szCs w:val="16"/>
              </w:rPr>
              <w:t>4.73x</w:t>
            </w:r>
          </w:p>
        </w:tc>
        <w:tc>
          <w:tcPr>
            <w:tcW w:w="940" w:type="dxa"/>
            <w:tcMar>
              <w:top w:w="30" w:type="dxa"/>
              <w:left w:w="60" w:type="dxa"/>
              <w:bottom w:w="30" w:type="dxa"/>
              <w:right w:w="60" w:type="dxa"/>
            </w:tcMar>
          </w:tcPr>
          <w:p w:rsidR="007F7D63" w:rsidRDefault="00B7630C">
            <w:pPr>
              <w:jc w:val="center"/>
            </w:pPr>
            <w:r>
              <w:rPr>
                <w:rFonts w:ascii="Times New Roman" w:hAnsi="Times New Roman"/>
                <w:b w:val="0"/>
                <w:sz w:val="16"/>
                <w:szCs w:val="16"/>
              </w:rPr>
              <w:t>33.6%</w:t>
            </w:r>
          </w:p>
        </w:tc>
      </w:tr>
      <w:tr w:rsidR="007F7D63">
        <w:tblPrEx>
          <w:tblCellMar>
            <w:top w:w="0" w:type="dxa"/>
            <w:bottom w:w="0" w:type="dxa"/>
          </w:tblCellMar>
        </w:tblPrEx>
        <w:tc>
          <w:tcPr>
            <w:tcW w:w="1420" w:type="dxa"/>
            <w:tcMar>
              <w:top w:w="30" w:type="dxa"/>
              <w:left w:w="60" w:type="dxa"/>
              <w:bottom w:w="30" w:type="dxa"/>
              <w:right w:w="60" w:type="dxa"/>
            </w:tcMar>
          </w:tcPr>
          <w:p w:rsidR="007F7D63" w:rsidRDefault="00B7630C">
            <w:pPr>
              <w:jc w:val="center"/>
            </w:pPr>
            <w:r>
              <w:rPr>
                <w:rFonts w:ascii="Times New Roman" w:hAnsi="Times New Roman"/>
                <w:b w:val="0"/>
                <w:sz w:val="16"/>
                <w:szCs w:val="16"/>
              </w:rPr>
              <w:t>SmolLM2-1.7B</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0.423</w:t>
            </w:r>
          </w:p>
        </w:tc>
        <w:tc>
          <w:tcPr>
            <w:tcW w:w="800" w:type="dxa"/>
            <w:tcMar>
              <w:top w:w="30" w:type="dxa"/>
              <w:left w:w="60" w:type="dxa"/>
              <w:bottom w:w="30" w:type="dxa"/>
              <w:right w:w="60" w:type="dxa"/>
            </w:tcMar>
          </w:tcPr>
          <w:p w:rsidR="007F7D63" w:rsidRDefault="00B7630C">
            <w:pPr>
              <w:jc w:val="center"/>
            </w:pPr>
            <w:r>
              <w:rPr>
                <w:rFonts w:ascii="Times New Roman" w:hAnsi="Times New Roman"/>
                <w:b w:val="0"/>
                <w:sz w:val="16"/>
                <w:szCs w:val="16"/>
              </w:rPr>
              <w:t>0.348</w:t>
            </w:r>
          </w:p>
        </w:tc>
        <w:tc>
          <w:tcPr>
            <w:tcW w:w="660" w:type="dxa"/>
            <w:tcMar>
              <w:top w:w="30" w:type="dxa"/>
              <w:left w:w="60" w:type="dxa"/>
              <w:bottom w:w="30" w:type="dxa"/>
              <w:right w:w="60" w:type="dxa"/>
            </w:tcMar>
          </w:tcPr>
          <w:p w:rsidR="007F7D63" w:rsidRDefault="00B7630C">
            <w:pPr>
              <w:jc w:val="center"/>
            </w:pPr>
            <w:r>
              <w:rPr>
                <w:rFonts w:ascii="Times New Roman" w:hAnsi="Times New Roman"/>
                <w:b w:val="0"/>
                <w:sz w:val="16"/>
                <w:szCs w:val="16"/>
              </w:rPr>
              <w:t>4.66x</w:t>
            </w:r>
          </w:p>
        </w:tc>
        <w:tc>
          <w:tcPr>
            <w:tcW w:w="940" w:type="dxa"/>
            <w:tcMar>
              <w:top w:w="30" w:type="dxa"/>
              <w:left w:w="60" w:type="dxa"/>
              <w:bottom w:w="30" w:type="dxa"/>
              <w:right w:w="60" w:type="dxa"/>
            </w:tcMar>
          </w:tcPr>
          <w:p w:rsidR="007F7D63" w:rsidRDefault="00B7630C">
            <w:pPr>
              <w:jc w:val="center"/>
            </w:pPr>
            <w:r>
              <w:rPr>
                <w:rFonts w:ascii="Times New Roman" w:hAnsi="Times New Roman"/>
                <w:b w:val="0"/>
                <w:sz w:val="16"/>
                <w:szCs w:val="16"/>
              </w:rPr>
              <w:t>5.9%</w:t>
            </w:r>
          </w:p>
        </w:tc>
      </w:tr>
      <w:tr w:rsidR="007F7D63">
        <w:tblPrEx>
          <w:tblCellMar>
            <w:top w:w="0" w:type="dxa"/>
            <w:bottom w:w="0" w:type="dxa"/>
          </w:tblCellMar>
        </w:tblPrEx>
        <w:tc>
          <w:tcPr>
            <w:tcW w:w="1420" w:type="dxa"/>
            <w:tcMar>
              <w:top w:w="30" w:type="dxa"/>
              <w:left w:w="60" w:type="dxa"/>
              <w:bottom w:w="30" w:type="dxa"/>
              <w:right w:w="60" w:type="dxa"/>
            </w:tcMar>
          </w:tcPr>
          <w:p w:rsidR="007F7D63" w:rsidRDefault="00B7630C">
            <w:pPr>
              <w:jc w:val="center"/>
            </w:pPr>
            <w:r>
              <w:rPr>
                <w:rFonts w:ascii="Times New Roman" w:hAnsi="Times New Roman"/>
                <w:b w:val="0"/>
                <w:sz w:val="16"/>
                <w:szCs w:val="16"/>
              </w:rPr>
              <w:t>TinyLlama-1.1B</w:t>
            </w:r>
          </w:p>
        </w:tc>
        <w:tc>
          <w:tcPr>
            <w:tcW w:w="620" w:type="dxa"/>
            <w:tcMar>
              <w:top w:w="30" w:type="dxa"/>
              <w:left w:w="60" w:type="dxa"/>
              <w:bottom w:w="30" w:type="dxa"/>
              <w:right w:w="60" w:type="dxa"/>
            </w:tcMar>
          </w:tcPr>
          <w:p w:rsidR="007F7D63" w:rsidRDefault="00B7630C">
            <w:pPr>
              <w:jc w:val="center"/>
            </w:pPr>
            <w:r>
              <w:rPr>
                <w:rFonts w:ascii="Times New Roman" w:hAnsi="Times New Roman"/>
                <w:b w:val="0"/>
                <w:sz w:val="16"/>
                <w:szCs w:val="16"/>
              </w:rPr>
              <w:t>0.243</w:t>
            </w:r>
          </w:p>
        </w:tc>
        <w:tc>
          <w:tcPr>
            <w:tcW w:w="800" w:type="dxa"/>
            <w:tcMar>
              <w:top w:w="30" w:type="dxa"/>
              <w:left w:w="60" w:type="dxa"/>
              <w:bottom w:w="30" w:type="dxa"/>
              <w:right w:w="60" w:type="dxa"/>
            </w:tcMar>
          </w:tcPr>
          <w:p w:rsidR="007F7D63" w:rsidRDefault="00B7630C">
            <w:pPr>
              <w:jc w:val="center"/>
            </w:pPr>
            <w:r>
              <w:rPr>
                <w:rFonts w:ascii="Times New Roman" w:hAnsi="Times New Roman"/>
                <w:b w:val="0"/>
                <w:sz w:val="16"/>
                <w:szCs w:val="16"/>
              </w:rPr>
              <w:t>0.017</w:t>
            </w:r>
          </w:p>
        </w:tc>
        <w:tc>
          <w:tcPr>
            <w:tcW w:w="660" w:type="dxa"/>
            <w:tcMar>
              <w:top w:w="30" w:type="dxa"/>
              <w:left w:w="60" w:type="dxa"/>
              <w:bottom w:w="30" w:type="dxa"/>
              <w:right w:w="60" w:type="dxa"/>
            </w:tcMar>
          </w:tcPr>
          <w:p w:rsidR="007F7D63" w:rsidRDefault="00B7630C">
            <w:pPr>
              <w:jc w:val="center"/>
            </w:pPr>
            <w:r>
              <w:rPr>
                <w:rFonts w:ascii="Times New Roman" w:hAnsi="Times New Roman"/>
                <w:b w:val="0"/>
                <w:sz w:val="16"/>
                <w:szCs w:val="16"/>
              </w:rPr>
              <w:t>4.57x</w:t>
            </w:r>
          </w:p>
        </w:tc>
        <w:tc>
          <w:tcPr>
            <w:tcW w:w="940" w:type="dxa"/>
            <w:tcMar>
              <w:top w:w="30" w:type="dxa"/>
              <w:left w:w="60" w:type="dxa"/>
              <w:bottom w:w="30" w:type="dxa"/>
              <w:right w:w="60" w:type="dxa"/>
            </w:tcMar>
          </w:tcPr>
          <w:p w:rsidR="007F7D63" w:rsidRDefault="00B7630C">
            <w:pPr>
              <w:jc w:val="center"/>
            </w:pPr>
            <w:r>
              <w:rPr>
                <w:rFonts w:ascii="Times New Roman" w:hAnsi="Times New Roman"/>
                <w:b w:val="0"/>
                <w:sz w:val="16"/>
                <w:szCs w:val="16"/>
              </w:rPr>
              <w:t>-9.5%</w:t>
            </w:r>
          </w:p>
        </w:tc>
      </w:tr>
    </w:tbl>
    <w:p w:rsidR="007F7D63" w:rsidRDefault="00B7630C">
      <w:pPr>
        <w:spacing w:after="140"/>
      </w:pPr>
      <w:r>
        <w:rPr>
          <w:sz w:val="8"/>
          <w:szCs w:val="8"/>
        </w:rPr>
        <w:t xml:space="preserve"> </w:t>
      </w:r>
    </w:p>
    <w:p w:rsidR="007F7D63" w:rsidRDefault="00B7630C">
      <w:pPr>
        <w:spacing w:before="120" w:after="60"/>
        <w:jc w:val="left"/>
      </w:pPr>
      <w:r>
        <w:rPr>
          <w:rFonts w:ascii="Times New Roman" w:hAnsi="Times New Roman"/>
          <w:b/>
          <w:bCs/>
          <w:i/>
          <w:iCs/>
          <w:sz w:val="20"/>
        </w:rPr>
        <w:t>E. Vision routing</w:t>
      </w:r>
    </w:p>
    <w:p w:rsidR="007F7D63" w:rsidRDefault="00B7630C">
      <w:pPr>
        <w:spacing w:line="220" w:lineRule="auto"/>
        <w:ind w:firstLine="200"/>
        <w:jc w:val="both"/>
      </w:pPr>
      <w:r>
        <w:rPr>
          <w:rFonts w:ascii="Times New Roman" w:hAnsi="Times New Roman"/>
          <w:b w:val="0"/>
          <w:i w:val="0"/>
          <w:sz w:val="20"/>
        </w:rPr>
        <w:t xml:space="preserve">On 500 VQAv2 questions the confidence signal separates outcomes clearly: mean token probability is 0.940 when the small vision model answers correctly and 0.846 when it does </w:t>
      </w:r>
      <w:r>
        <w:rPr>
          <w:rFonts w:ascii="Times New Roman" w:hAnsi="Times New Roman"/>
          <w:b w:val="0"/>
          <w:i w:val="0"/>
          <w:sz w:val="20"/>
        </w:rPr>
        <w:t>not. Routing on this signal escalates only the least confident 5 percent of querie</w:t>
      </w:r>
      <w:r>
        <w:rPr>
          <w:rFonts w:ascii="Times New Roman" w:hAnsi="Times New Roman"/>
          <w:b w:val="0"/>
          <w:i w:val="0"/>
          <w:sz w:val="20"/>
        </w:rPr>
        <w:t xml:space="preserve">s and reaches 67.8 percent accuracy, exceeding both the local model alone at 67.0 percent and the commercial API tier at 52.4 percent. The small model's advantage partly reflects genuine </w:t>
      </w:r>
      <w:proofErr w:type="spellStart"/>
      <w:r>
        <w:rPr>
          <w:rFonts w:ascii="Times New Roman" w:hAnsi="Times New Roman"/>
          <w:b w:val="0"/>
          <w:i w:val="0"/>
          <w:sz w:val="20"/>
        </w:rPr>
        <w:t>specialisation</w:t>
      </w:r>
      <w:proofErr w:type="spellEnd"/>
      <w:r>
        <w:rPr>
          <w:rFonts w:ascii="Times New Roman" w:hAnsi="Times New Roman"/>
          <w:b w:val="0"/>
          <w:i w:val="0"/>
          <w:sz w:val="20"/>
        </w:rPr>
        <w:t xml:space="preserve"> on this task format and partly a sensitivity of exact-</w:t>
      </w:r>
      <w:r>
        <w:rPr>
          <w:rFonts w:ascii="Times New Roman" w:hAnsi="Times New Roman"/>
          <w:b w:val="0"/>
          <w:i w:val="0"/>
          <w:sz w:val="20"/>
        </w:rPr>
        <w:t>match scoring to the API model's more verbose phrasing, which we note rather than adjust for. The result nonetheless demonstrates that confidence routing transfers to a modality where per-query energy is substantially higher, and that a well-chosen small t</w:t>
      </w:r>
      <w:r>
        <w:rPr>
          <w:rFonts w:ascii="Times New Roman" w:hAnsi="Times New Roman"/>
          <w:b w:val="0"/>
          <w:i w:val="0"/>
          <w:sz w:val="20"/>
        </w:rPr>
        <w:t>ier can dominate a larger one on both accuracy and carbon simultaneously.</w:t>
      </w:r>
    </w:p>
    <w:p w:rsidR="007F7D63" w:rsidRDefault="00B7630C">
      <w:pPr>
        <w:spacing w:before="120" w:after="60"/>
        <w:jc w:val="left"/>
      </w:pPr>
      <w:r>
        <w:rPr>
          <w:rFonts w:ascii="Times New Roman" w:hAnsi="Times New Roman"/>
          <w:b/>
          <w:bCs/>
          <w:i/>
          <w:iCs/>
          <w:sz w:val="20"/>
        </w:rPr>
        <w:t>F. Reliability of quality measurement</w:t>
      </w:r>
    </w:p>
    <w:p w:rsidR="007F7D63" w:rsidRDefault="00B7630C">
      <w:pPr>
        <w:spacing w:line="220" w:lineRule="auto"/>
        <w:ind w:firstLine="200"/>
        <w:jc w:val="both"/>
      </w:pPr>
      <w:r>
        <w:rPr>
          <w:rFonts w:ascii="Times New Roman" w:hAnsi="Times New Roman"/>
          <w:b w:val="0"/>
          <w:i w:val="0"/>
          <w:sz w:val="20"/>
        </w:rPr>
        <w:t>Because open-ended quality is scored by a model, we applied two checks. An open-weight second judge re-scored 200 answers and agreed with the pr</w:t>
      </w:r>
      <w:r>
        <w:rPr>
          <w:rFonts w:ascii="Times New Roman" w:hAnsi="Times New Roman"/>
          <w:b w:val="0"/>
          <w:i w:val="0"/>
          <w:sz w:val="20"/>
        </w:rPr>
        <w:t>imary judge within one point in 70 percent of cases, with the primary judge systematically stricter, and stricter on small-tier answers than large-tier ones, which biases against the cascade rather than for it. A blind human sample of 100 answers scored by</w:t>
      </w:r>
      <w:r>
        <w:rPr>
          <w:rFonts w:ascii="Times New Roman" w:hAnsi="Times New Roman"/>
          <w:b w:val="0"/>
          <w:i w:val="0"/>
          <w:sz w:val="20"/>
        </w:rPr>
        <w:t xml:space="preserve"> two annotators produced low exact agreement, driven by a severity difference between annotators, but the retention ratio we actually report was stable across raters at 88.4, 82.9 and 86.8 percent for the two annotators and the judge respectively. Since re</w:t>
      </w:r>
      <w:r>
        <w:rPr>
          <w:rFonts w:ascii="Times New Roman" w:hAnsi="Times New Roman"/>
          <w:b w:val="0"/>
          <w:i w:val="0"/>
          <w:sz w:val="20"/>
        </w:rPr>
        <w:t>tention is a ratio of tier means, systematic severity cancels, and the reported figures are robust to which rater is used even though absolute scores are not.</w:t>
      </w:r>
    </w:p>
    <w:p w:rsidR="007F7D63" w:rsidRDefault="00B7630C">
      <w:pPr>
        <w:spacing w:before="120" w:after="60"/>
        <w:jc w:val="left"/>
      </w:pPr>
      <w:r>
        <w:rPr>
          <w:rFonts w:ascii="Times New Roman" w:hAnsi="Times New Roman"/>
          <w:b/>
          <w:bCs/>
          <w:i/>
          <w:iCs/>
          <w:sz w:val="20"/>
        </w:rPr>
        <w:t>G. Grid intensity and measurement basis</w:t>
      </w:r>
    </w:p>
    <w:p w:rsidR="007F7D63" w:rsidRDefault="00B7630C">
      <w:pPr>
        <w:spacing w:line="220" w:lineRule="auto"/>
        <w:ind w:firstLine="200"/>
        <w:jc w:val="both"/>
      </w:pPr>
      <w:r>
        <w:rPr>
          <w:rFonts w:ascii="Times New Roman" w:hAnsi="Times New Roman"/>
          <w:b w:val="0"/>
          <w:i w:val="0"/>
          <w:sz w:val="20"/>
        </w:rPr>
        <w:t>Because both tiers of the primary configuration are measu</w:t>
      </w:r>
      <w:r>
        <w:rPr>
          <w:rFonts w:ascii="Times New Roman" w:hAnsi="Times New Roman"/>
          <w:b w:val="0"/>
          <w:i w:val="0"/>
          <w:sz w:val="20"/>
        </w:rPr>
        <w:t>red in joules, carbon under any grid intensity is a linear rescaling: the 47.4 percent relative reduction is invariant across green (50 gCO2/kWh), world-average (475) and coal-heavy (800) conditions, while absolute savings range from 4.4 g to 69.9 g per 50</w:t>
      </w:r>
      <w:r>
        <w:rPr>
          <w:rFonts w:ascii="Times New Roman" w:hAnsi="Times New Roman"/>
          <w:b w:val="0"/>
          <w:i w:val="0"/>
          <w:sz w:val="20"/>
        </w:rPr>
        <w:t>0 queries. Grid intensity therefore sets the magnitude, not the merit, of cascading in homogeneous deployments.</w:t>
      </w:r>
    </w:p>
    <w:p w:rsidR="007F7D63" w:rsidRDefault="00B7630C">
      <w:pPr>
        <w:spacing w:line="220" w:lineRule="auto"/>
        <w:ind w:firstLine="200"/>
        <w:jc w:val="both"/>
      </w:pPr>
      <w:r>
        <w:rPr>
          <w:rFonts w:ascii="Times New Roman" w:hAnsi="Times New Roman"/>
          <w:b w:val="0"/>
          <w:i w:val="0"/>
          <w:sz w:val="20"/>
        </w:rPr>
        <w:t>Mixed deployments are different. The local-to-API configuration measured 78.8 g for the local tier against an estimated 3.5 g for the API tier o</w:t>
      </w:r>
      <w:r>
        <w:rPr>
          <w:rFonts w:ascii="Times New Roman" w:hAnsi="Times New Roman"/>
          <w:b w:val="0"/>
          <w:i w:val="0"/>
          <w:sz w:val="20"/>
        </w:rPr>
        <w:t xml:space="preserve">ver the same queries. These figures are not commensurable: one is a hardware measurement of a dedicated 2018-generation accelerator, the other a model-based estimate </w:t>
      </w:r>
      <w:proofErr w:type="spellStart"/>
      <w:r>
        <w:rPr>
          <w:rFonts w:ascii="Times New Roman" w:hAnsi="Times New Roman"/>
          <w:b w:val="0"/>
          <w:i w:val="0"/>
          <w:sz w:val="20"/>
        </w:rPr>
        <w:t>amortising</w:t>
      </w:r>
      <w:proofErr w:type="spellEnd"/>
      <w:r>
        <w:rPr>
          <w:rFonts w:ascii="Times New Roman" w:hAnsi="Times New Roman"/>
          <w:b w:val="0"/>
          <w:i w:val="0"/>
          <w:sz w:val="20"/>
        </w:rPr>
        <w:t xml:space="preserve"> modern batched infrastructure. The practical implication is that whether local-</w:t>
      </w:r>
      <w:r>
        <w:rPr>
          <w:rFonts w:ascii="Times New Roman" w:hAnsi="Times New Roman"/>
          <w:b w:val="0"/>
          <w:i w:val="0"/>
          <w:sz w:val="20"/>
        </w:rPr>
        <w:t>first routing reduces carbon is a property of deployment hardware relative to the provider's, which a dual-mode profiler makes decidable per deployment rather than assumable. In the API-to-API configuration, where carbon is estimated on both sides, the exa</w:t>
      </w:r>
      <w:r>
        <w:rPr>
          <w:rFonts w:ascii="Times New Roman" w:hAnsi="Times New Roman"/>
          <w:b w:val="0"/>
          <w:i w:val="0"/>
          <w:sz w:val="20"/>
        </w:rPr>
        <w:t>ctly known result is financial: the cascade retains 98.0 percent of quality at 77.0 percent lower cost.</w:t>
      </w:r>
    </w:p>
    <w:p w:rsidR="007F7D63" w:rsidRDefault="00B7630C">
      <w:pPr>
        <w:spacing w:before="200" w:after="100"/>
        <w:jc w:val="center"/>
      </w:pPr>
      <w:r>
        <w:rPr>
          <w:rFonts w:ascii="Times New Roman" w:hAnsi="Times New Roman"/>
          <w:b/>
          <w:bCs/>
          <w:i w:val="0"/>
          <w:sz w:val="20"/>
        </w:rPr>
        <w:t>VI. Discussion and Limitations</w:t>
      </w:r>
    </w:p>
    <w:p w:rsidR="00BC48A0" w:rsidRDefault="00BC48A0" w:rsidP="00BC48A0">
      <w:pPr>
        <w:spacing w:line="220" w:lineRule="auto"/>
        <w:ind w:firstLine="200"/>
        <w:jc w:val="both"/>
      </w:pPr>
      <w:r>
        <w:rPr>
          <w:rFonts w:ascii="Times New Roman" w:hAnsi="Times New Roman"/>
          <w:b w:val="0"/>
          <w:i w:val="0"/>
          <w:sz w:val="20"/>
        </w:rPr>
        <w:t>The results we report here make a more limited claim than the cascaded literature generally does. Cascading is not always green; it is green under a specific condition that practitioners can now measure. Reporting that condition involves charging for thrown away computation and if that is done, it changes the reported outcomes materially, such as changing the sign of the conclusion in an identifiable regime.</w:t>
      </w:r>
    </w:p>
    <w:p w:rsidR="00BC48A0" w:rsidRDefault="00BC48A0" w:rsidP="00BC48A0">
      <w:pPr>
        <w:spacing w:line="220" w:lineRule="auto"/>
        <w:ind w:firstLine="200"/>
        <w:jc w:val="both"/>
      </w:pPr>
      <w:r>
        <w:rPr>
          <w:rFonts w:ascii="Times New Roman" w:hAnsi="Times New Roman"/>
          <w:b w:val="0"/>
          <w:i w:val="0"/>
          <w:sz w:val="20"/>
        </w:rPr>
        <w:t xml:space="preserve">In practice, deployments should perform an inter-tier energy ratio before implementing a cascade, watch for escalation to the break-even point as traffic changes, and ensure that the small tier has a reasonable ability threshold </w:t>
      </w:r>
      <w:r>
        <w:rPr>
          <w:rFonts w:ascii="Times New Roman" w:hAnsi="Times New Roman"/>
          <w:b w:val="0"/>
          <w:i w:val="0"/>
          <w:sz w:val="20"/>
        </w:rPr>
        <w:lastRenderedPageBreak/>
        <w:t>without the need for the larger tier. All three quantities are exposed in runtime by our implementation.</w:t>
      </w:r>
    </w:p>
    <w:p w:rsidR="007F7D63" w:rsidRDefault="00BC48A0" w:rsidP="00BC48A0">
      <w:pPr>
        <w:spacing w:line="220" w:lineRule="auto"/>
        <w:ind w:firstLine="200"/>
        <w:jc w:val="both"/>
      </w:pPr>
      <w:proofErr w:type="spellStart"/>
      <w:proofErr w:type="spellEnd"/>
      <w:proofErr w:type="gramStart"/>
      <w:proofErr w:type="gramEnd"/>
      <w:proofErr w:type="spellStart"/>
      <w:proofErr w:type="spellEnd"/>
      <w:r>
        <w:rPr>
          <w:rFonts w:ascii="Times New Roman" w:hAnsi="Times New Roman"/>
          <w:b w:val="0"/>
          <w:i w:val="0"/>
          <w:sz w:val="20"/>
        </w:rPr>
        <w:t>There were a number of limitations on these findings. Absolute numbers, although not the break-even relationship, are hardware dependent and all local measurements are from one hardware setting. The large tier is not a frontier scale tier; it is a 7B tier, which sets a limit on the inter-tier energy ratio and therefore on the potential savings; a larger tier would increase the ceiling on the potential energy savings and we would expect this to lead to increased reported savings, but not necessarily a change in the underlying energy accounting argument. Judged quality on open-ended text is a model's assessment on an ordinal scale that is not overcome by our second judge and human sample. Due to cost considerations, only three samples were evaluated for semantic entropy which quantises the measure into three values and restricts the resolution, and thus the discriminative power that can be recovered by a higher number of samples can be obtained at a proportionally higher energy cost. Finally, NVML measures accelerator energy only, excluding host and cooling energy beyond the fixed PUE factor.</w:t>
      </w:r>
    </w:p>
    <w:p w:rsidR="007F7D63" w:rsidRDefault="00B7630C">
      <w:pPr>
        <w:spacing w:before="200" w:after="100"/>
        <w:jc w:val="center"/>
      </w:pPr>
      <w:r>
        <w:rPr>
          <w:rFonts w:ascii="Times New Roman" w:hAnsi="Times New Roman"/>
          <w:b/>
          <w:bCs/>
          <w:i w:val="0"/>
          <w:sz w:val="20"/>
        </w:rPr>
        <w:t>VII. Future Work</w:t>
      </w:r>
    </w:p>
    <w:p w:rsidR="007F7D63" w:rsidRDefault="00B7630C">
      <w:pPr>
        <w:spacing w:before="200" w:after="100"/>
        <w:ind w:firstLine="200"/>
        <w:jc w:val="both"/>
      </w:pPr>
      <w:r w:rsidRPr="00B7630C">
        <w:rPr>
          <w:rFonts w:ascii="Times New Roman" w:hAnsi="Times New Roman"/>
          <w:b w:val="0"/>
          <w:i w:val="0"/>
          <w:sz w:val="20"/>
        </w:rPr>
        <w:t xml:space="preserve">Three directions follow. The model-zoo methodology used here offers the instrument, and detecting the capacity level at which reliable self-assessment of the answer quality is possible on open-ended generation is the most obvious next step, whereas neither token entropy nor three-sample semantic entropy does so at small scale, but both do at constrained tasks. A large tier on the frontier scale would allow the testing of the break-even relationship and an order of magnitude increase in inter-tier energy ratio in the primary experiment. Last, by adding more hardware generations, we would be able to turn our one-configuration hardware-dependence observation into a </w:t>
      </w:r>
      <w:proofErr w:type="spellStart"/>
      <w:r w:rsidRPr="00B7630C">
        <w:rPr>
          <w:rFonts w:ascii="Times New Roman" w:hAnsi="Times New Roman"/>
          <w:b w:val="0"/>
          <w:i w:val="0"/>
          <w:sz w:val="20"/>
        </w:rPr>
        <w:t>characterised</w:t>
      </w:r>
      <w:proofErr w:type="spellEnd"/>
      <w:r w:rsidRPr="00B7630C">
        <w:rPr>
          <w:rFonts w:ascii="Times New Roman" w:hAnsi="Times New Roman"/>
          <w:b w:val="0"/>
          <w:i w:val="0"/>
          <w:sz w:val="20"/>
        </w:rPr>
        <w:t xml:space="preserve"> relationship, one which the practitioners who are choosing between local and hosted deployment can consult </w:t>
      </w:r>
      <w:proofErr w:type="spellStart"/>
      <w:r w:rsidRPr="00B7630C">
        <w:rPr>
          <w:rFonts w:ascii="Times New Roman" w:hAnsi="Times New Roman"/>
          <w:b w:val="0"/>
          <w:i w:val="0"/>
          <w:sz w:val="20"/>
        </w:rPr>
        <w:t>directly.</w:t>
      </w:r>
      <w:r>
        <w:rPr>
          <w:rFonts w:ascii="Times New Roman" w:hAnsi="Times New Roman"/>
          <w:b w:val="0"/>
          <w:i w:val="0"/>
          <w:sz w:val="20"/>
        </w:rPr>
        <w:br/>
      </w:r>
      <w:proofErr w:type="spellEnd"/>
      <w:r>
        <w:rPr>
          <w:rFonts w:ascii="Times New Roman" w:hAnsi="Times New Roman"/>
          <w:b w:val="0"/>
          <w:i w:val="0"/>
          <w:sz w:val="20"/>
        </w:rPr>
        <w:br/>
      </w:r>
      <w:r>
        <w:rPr>
          <w:rFonts w:ascii="Times New Roman" w:hAnsi="Times New Roman"/>
          <w:b w:val="0"/>
          <w:bCs/>
          <w:i w:val="0"/>
          <w:sz w:val="20"/>
        </w:rPr>
        <w:t>VIII. Conclusion</w:t>
      </w:r>
    </w:p>
    <w:p w:rsidR="00B7630C" w:rsidRDefault="00B7630C">
      <w:pPr>
        <w:spacing w:before="200" w:after="100"/>
        <w:ind w:firstLine="200"/>
        <w:jc w:val="both"/>
      </w:pPr>
      <w:proofErr w:type="gramStart"/>
      <w:proofErr w:type="gramEnd"/>
      <w:r>
        <w:rPr>
          <w:rFonts w:ascii="Times New Roman" w:hAnsi="Times New Roman"/>
          <w:b w:val="0"/>
          <w:i w:val="0"/>
          <w:sz w:val="20"/>
        </w:rPr>
        <w:t>We demonstrated that the accounting convention for assessing model cascades significantly overestimates carbon savings, and that when it is corrected for, the model begins to cause a break-even and beyond effect on emissions. Honest accounting and physically measured energy still achieves 95.9 percent quality retention and 37.5 percent carbon reduction on real user traffic and 5 percent escalation on a visual workload, while outperforming both static tiers' accuracy. We also demonstrated that the routing signal does not provide any information when the capability of the small model is not sufficient, and that it will only be harmful under these conditions. The system is released as open-source software; the source, the raw per-query records and the analysis scripts will be made available on publication, and are withheld here for blind review.</w:t>
      </w:r>
    </w:p>
    <w:p w:rsidR="007F7D63" w:rsidRDefault="00B7630C">
      <w:pPr>
        <w:spacing w:before="200" w:after="100"/>
        <w:jc w:val="center"/>
      </w:pPr>
      <w:bookmarkStart w:id="0" w:name="_GoBack"/>
      <w:bookmarkEnd w:id="0"/>
      <w:r>
        <w:rPr>
          <w:rFonts w:ascii="Times New Roman" w:hAnsi="Times New Roman"/>
          <w:b/>
          <w:i w:val="0"/>
          <w:caps/>
          <w:sz w:val="20"/>
        </w:rPr>
        <w:t>References</w:t>
      </w:r>
    </w:p>
    <w:p w:rsidR="007F7D63" w:rsidRDefault="00B7630C">
      <w:pPr>
        <w:spacing w:after="20"/>
        <w:ind w:left="316" w:hanging="316"/>
        <w:jc w:val="both"/>
      </w:pPr>
      <w:r>
        <w:rPr>
          <w:rFonts w:ascii="Times New Roman" w:hAnsi="Times New Roman"/>
          <w:b w:val="0"/>
          <w:i w:val="0"/>
          <w:sz w:val="16"/>
          <w:szCs w:val="16"/>
        </w:rPr>
        <w:t xml:space="preserve">[1] A. S. </w:t>
      </w:r>
      <w:proofErr w:type="spellStart"/>
      <w:r>
        <w:rPr>
          <w:rFonts w:ascii="Times New Roman" w:hAnsi="Times New Roman"/>
          <w:b w:val="0"/>
          <w:i w:val="0"/>
          <w:sz w:val="16"/>
          <w:szCs w:val="16"/>
        </w:rPr>
        <w:t>Luccioni</w:t>
      </w:r>
      <w:proofErr w:type="spellEnd"/>
      <w:r>
        <w:rPr>
          <w:rFonts w:ascii="Times New Roman" w:hAnsi="Times New Roman"/>
          <w:b w:val="0"/>
          <w:i w:val="0"/>
          <w:sz w:val="16"/>
          <w:szCs w:val="16"/>
        </w:rPr>
        <w:t xml:space="preserve">, S. </w:t>
      </w:r>
      <w:proofErr w:type="spellStart"/>
      <w:r>
        <w:rPr>
          <w:rFonts w:ascii="Times New Roman" w:hAnsi="Times New Roman"/>
          <w:b w:val="0"/>
          <w:i w:val="0"/>
          <w:sz w:val="16"/>
          <w:szCs w:val="16"/>
        </w:rPr>
        <w:t>Viguier</w:t>
      </w:r>
      <w:proofErr w:type="spellEnd"/>
      <w:r>
        <w:rPr>
          <w:rFonts w:ascii="Times New Roman" w:hAnsi="Times New Roman"/>
          <w:b w:val="0"/>
          <w:i w:val="0"/>
          <w:sz w:val="16"/>
          <w:szCs w:val="16"/>
        </w:rPr>
        <w:t xml:space="preserve">, and A.-L. </w:t>
      </w:r>
      <w:proofErr w:type="spellStart"/>
      <w:r>
        <w:rPr>
          <w:rFonts w:ascii="Times New Roman" w:hAnsi="Times New Roman"/>
          <w:b w:val="0"/>
          <w:i w:val="0"/>
          <w:sz w:val="16"/>
          <w:szCs w:val="16"/>
        </w:rPr>
        <w:t>Ligozat</w:t>
      </w:r>
      <w:proofErr w:type="spellEnd"/>
      <w:r>
        <w:rPr>
          <w:rFonts w:ascii="Times New Roman" w:hAnsi="Times New Roman"/>
          <w:b w:val="0"/>
          <w:i w:val="0"/>
          <w:sz w:val="16"/>
          <w:szCs w:val="16"/>
        </w:rPr>
        <w:t>, "Power hung</w:t>
      </w:r>
      <w:r>
        <w:rPr>
          <w:rFonts w:ascii="Times New Roman" w:hAnsi="Times New Roman"/>
          <w:b w:val="0"/>
          <w:i w:val="0"/>
          <w:sz w:val="16"/>
          <w:szCs w:val="16"/>
        </w:rPr>
        <w:t xml:space="preserve">ry processing: Watts driving the cost of AI deployment?" in Proc. ACM </w:t>
      </w:r>
      <w:proofErr w:type="spellStart"/>
      <w:r>
        <w:rPr>
          <w:rFonts w:ascii="Times New Roman" w:hAnsi="Times New Roman"/>
          <w:b w:val="0"/>
          <w:i w:val="0"/>
          <w:sz w:val="16"/>
          <w:szCs w:val="16"/>
        </w:rPr>
        <w:t>FAccT</w:t>
      </w:r>
      <w:proofErr w:type="spellEnd"/>
      <w:r>
        <w:rPr>
          <w:rFonts w:ascii="Times New Roman" w:hAnsi="Times New Roman"/>
          <w:b w:val="0"/>
          <w:i w:val="0"/>
          <w:sz w:val="16"/>
          <w:szCs w:val="16"/>
        </w:rPr>
        <w:t>, 2024.</w:t>
      </w:r>
    </w:p>
    <w:p w:rsidR="007F7D63" w:rsidRDefault="00B7630C">
      <w:pPr>
        <w:spacing w:after="20"/>
        <w:ind w:left="316" w:hanging="316"/>
        <w:jc w:val="both"/>
      </w:pPr>
      <w:r>
        <w:rPr>
          <w:rFonts w:ascii="Times New Roman" w:hAnsi="Times New Roman"/>
          <w:b w:val="0"/>
          <w:i w:val="0"/>
          <w:sz w:val="16"/>
          <w:szCs w:val="16"/>
        </w:rPr>
        <w:t xml:space="preserve">[2] A. A. </w:t>
      </w:r>
      <w:proofErr w:type="spellStart"/>
      <w:r>
        <w:rPr>
          <w:rFonts w:ascii="Times New Roman" w:hAnsi="Times New Roman"/>
          <w:b w:val="0"/>
          <w:i w:val="0"/>
          <w:sz w:val="16"/>
          <w:szCs w:val="16"/>
        </w:rPr>
        <w:t>Chien</w:t>
      </w:r>
      <w:proofErr w:type="spellEnd"/>
      <w:r>
        <w:rPr>
          <w:rFonts w:ascii="Times New Roman" w:hAnsi="Times New Roman"/>
          <w:b w:val="0"/>
          <w:i w:val="0"/>
          <w:sz w:val="16"/>
          <w:szCs w:val="16"/>
        </w:rPr>
        <w:t xml:space="preserve">, L. Lin, H. Nguyen, V. Rao, T. Sharma, and R. </w:t>
      </w:r>
      <w:proofErr w:type="spellStart"/>
      <w:r>
        <w:rPr>
          <w:rFonts w:ascii="Times New Roman" w:hAnsi="Times New Roman"/>
          <w:b w:val="0"/>
          <w:i w:val="0"/>
          <w:sz w:val="16"/>
          <w:szCs w:val="16"/>
        </w:rPr>
        <w:t>Wijayawardana</w:t>
      </w:r>
      <w:proofErr w:type="spellEnd"/>
      <w:r>
        <w:rPr>
          <w:rFonts w:ascii="Times New Roman" w:hAnsi="Times New Roman"/>
          <w:b w:val="0"/>
          <w:i w:val="0"/>
          <w:sz w:val="16"/>
          <w:szCs w:val="16"/>
        </w:rPr>
        <w:t>, "Reducing the carbon impact of generative AI inference (today and in 2035)," in Proc. 2nd Worksh</w:t>
      </w:r>
      <w:r>
        <w:rPr>
          <w:rFonts w:ascii="Times New Roman" w:hAnsi="Times New Roman"/>
          <w:b w:val="0"/>
          <w:i w:val="0"/>
          <w:sz w:val="16"/>
          <w:szCs w:val="16"/>
        </w:rPr>
        <w:t>op on Sustainable Computer Systems (</w:t>
      </w:r>
      <w:proofErr w:type="spellStart"/>
      <w:r>
        <w:rPr>
          <w:rFonts w:ascii="Times New Roman" w:hAnsi="Times New Roman"/>
          <w:b w:val="0"/>
          <w:i w:val="0"/>
          <w:sz w:val="16"/>
          <w:szCs w:val="16"/>
        </w:rPr>
        <w:t>HotCarbon</w:t>
      </w:r>
      <w:proofErr w:type="spellEnd"/>
      <w:r>
        <w:rPr>
          <w:rFonts w:ascii="Times New Roman" w:hAnsi="Times New Roman"/>
          <w:b w:val="0"/>
          <w:i w:val="0"/>
          <w:sz w:val="16"/>
          <w:szCs w:val="16"/>
        </w:rPr>
        <w:t>), ACM, 2023.</w:t>
      </w:r>
    </w:p>
    <w:p w:rsidR="007F7D63" w:rsidRDefault="00B7630C">
      <w:pPr>
        <w:spacing w:after="20"/>
        <w:ind w:left="316" w:hanging="316"/>
        <w:jc w:val="both"/>
      </w:pPr>
      <w:r>
        <w:rPr>
          <w:rFonts w:ascii="Times New Roman" w:hAnsi="Times New Roman"/>
          <w:b w:val="0"/>
          <w:i w:val="0"/>
          <w:sz w:val="16"/>
          <w:szCs w:val="16"/>
        </w:rPr>
        <w:t xml:space="preserve">[3] L. Chen, M. </w:t>
      </w:r>
      <w:proofErr w:type="spellStart"/>
      <w:r>
        <w:rPr>
          <w:rFonts w:ascii="Times New Roman" w:hAnsi="Times New Roman"/>
          <w:b w:val="0"/>
          <w:i w:val="0"/>
          <w:sz w:val="16"/>
          <w:szCs w:val="16"/>
        </w:rPr>
        <w:t>Zaharia</w:t>
      </w:r>
      <w:proofErr w:type="spellEnd"/>
      <w:r>
        <w:rPr>
          <w:rFonts w:ascii="Times New Roman" w:hAnsi="Times New Roman"/>
          <w:b w:val="0"/>
          <w:i w:val="0"/>
          <w:sz w:val="16"/>
          <w:szCs w:val="16"/>
        </w:rPr>
        <w:t>, and J. Zou, "</w:t>
      </w:r>
      <w:proofErr w:type="spellStart"/>
      <w:r>
        <w:rPr>
          <w:rFonts w:ascii="Times New Roman" w:hAnsi="Times New Roman"/>
          <w:b w:val="0"/>
          <w:i w:val="0"/>
          <w:sz w:val="16"/>
          <w:szCs w:val="16"/>
        </w:rPr>
        <w:t>FrugalGPT</w:t>
      </w:r>
      <w:proofErr w:type="spellEnd"/>
      <w:r>
        <w:rPr>
          <w:rFonts w:ascii="Times New Roman" w:hAnsi="Times New Roman"/>
          <w:b w:val="0"/>
          <w:i w:val="0"/>
          <w:sz w:val="16"/>
          <w:szCs w:val="16"/>
        </w:rPr>
        <w:t>: How to use large language models while reducing cost and improving performance," arXiv:2305.05176, 2023.</w:t>
      </w:r>
    </w:p>
    <w:p w:rsidR="007F7D63" w:rsidRDefault="00B7630C">
      <w:pPr>
        <w:spacing w:after="20"/>
        <w:ind w:left="316" w:hanging="316"/>
        <w:jc w:val="both"/>
      </w:pPr>
      <w:r>
        <w:rPr>
          <w:rFonts w:ascii="Times New Roman" w:hAnsi="Times New Roman"/>
          <w:b w:val="0"/>
          <w:i w:val="0"/>
          <w:sz w:val="16"/>
          <w:szCs w:val="16"/>
        </w:rPr>
        <w:t xml:space="preserve">[4] P. Aggarwal, A. </w:t>
      </w:r>
      <w:proofErr w:type="spellStart"/>
      <w:r>
        <w:rPr>
          <w:rFonts w:ascii="Times New Roman" w:hAnsi="Times New Roman"/>
          <w:b w:val="0"/>
          <w:i w:val="0"/>
          <w:sz w:val="16"/>
          <w:szCs w:val="16"/>
        </w:rPr>
        <w:t>Madaan</w:t>
      </w:r>
      <w:proofErr w:type="spellEnd"/>
      <w:r>
        <w:rPr>
          <w:rFonts w:ascii="Times New Roman" w:hAnsi="Times New Roman"/>
          <w:b w:val="0"/>
          <w:i w:val="0"/>
          <w:sz w:val="16"/>
          <w:szCs w:val="16"/>
        </w:rPr>
        <w:t>, A. Anand, et al</w:t>
      </w:r>
      <w:r>
        <w:rPr>
          <w:rFonts w:ascii="Times New Roman" w:hAnsi="Times New Roman"/>
          <w:b w:val="0"/>
          <w:i w:val="0"/>
          <w:sz w:val="16"/>
          <w:szCs w:val="16"/>
        </w:rPr>
        <w:t>., "</w:t>
      </w:r>
      <w:proofErr w:type="spellStart"/>
      <w:r>
        <w:rPr>
          <w:rFonts w:ascii="Times New Roman" w:hAnsi="Times New Roman"/>
          <w:b w:val="0"/>
          <w:i w:val="0"/>
          <w:sz w:val="16"/>
          <w:szCs w:val="16"/>
        </w:rPr>
        <w:t>AutoMix</w:t>
      </w:r>
      <w:proofErr w:type="spellEnd"/>
      <w:r>
        <w:rPr>
          <w:rFonts w:ascii="Times New Roman" w:hAnsi="Times New Roman"/>
          <w:b w:val="0"/>
          <w:i w:val="0"/>
          <w:sz w:val="16"/>
          <w:szCs w:val="16"/>
        </w:rPr>
        <w:t xml:space="preserve">: Automatically mixing language models," in Proc. </w:t>
      </w:r>
      <w:proofErr w:type="spellStart"/>
      <w:r>
        <w:rPr>
          <w:rFonts w:ascii="Times New Roman" w:hAnsi="Times New Roman"/>
          <w:b w:val="0"/>
          <w:i w:val="0"/>
          <w:sz w:val="16"/>
          <w:szCs w:val="16"/>
        </w:rPr>
        <w:t>NeurIPS</w:t>
      </w:r>
      <w:proofErr w:type="spellEnd"/>
      <w:r>
        <w:rPr>
          <w:rFonts w:ascii="Times New Roman" w:hAnsi="Times New Roman"/>
          <w:b w:val="0"/>
          <w:i w:val="0"/>
          <w:sz w:val="16"/>
          <w:szCs w:val="16"/>
        </w:rPr>
        <w:t>, 2024.</w:t>
      </w:r>
    </w:p>
    <w:p w:rsidR="007F7D63" w:rsidRDefault="00B7630C">
      <w:pPr>
        <w:spacing w:after="20"/>
        <w:ind w:left="316" w:hanging="316"/>
        <w:jc w:val="both"/>
      </w:pPr>
      <w:r>
        <w:rPr>
          <w:rFonts w:ascii="Times New Roman" w:hAnsi="Times New Roman"/>
          <w:b w:val="0"/>
          <w:i w:val="0"/>
          <w:sz w:val="16"/>
          <w:szCs w:val="16"/>
        </w:rPr>
        <w:t>[5] S. Chen et al., "C3PO: Label-free cascade with conformal cost guarantees," 2025.</w:t>
      </w:r>
    </w:p>
    <w:p w:rsidR="007F7D63" w:rsidRDefault="00B7630C">
      <w:pPr>
        <w:spacing w:after="20"/>
        <w:ind w:left="316" w:hanging="316"/>
        <w:jc w:val="both"/>
      </w:pPr>
      <w:r>
        <w:rPr>
          <w:rFonts w:ascii="Times New Roman" w:hAnsi="Times New Roman"/>
          <w:b w:val="0"/>
          <w:i w:val="0"/>
          <w:sz w:val="16"/>
          <w:szCs w:val="16"/>
        </w:rPr>
        <w:t xml:space="preserve">[6] A. </w:t>
      </w:r>
      <w:proofErr w:type="spellStart"/>
      <w:r>
        <w:rPr>
          <w:rFonts w:ascii="Times New Roman" w:hAnsi="Times New Roman"/>
          <w:b w:val="0"/>
          <w:i w:val="0"/>
          <w:sz w:val="16"/>
          <w:szCs w:val="16"/>
        </w:rPr>
        <w:t>Ziller</w:t>
      </w:r>
      <w:proofErr w:type="spellEnd"/>
      <w:r>
        <w:rPr>
          <w:rFonts w:ascii="Times New Roman" w:hAnsi="Times New Roman"/>
          <w:b w:val="0"/>
          <w:i w:val="0"/>
          <w:sz w:val="16"/>
          <w:szCs w:val="16"/>
        </w:rPr>
        <w:t xml:space="preserve"> et al., "</w:t>
      </w:r>
      <w:proofErr w:type="spellStart"/>
      <w:r>
        <w:rPr>
          <w:rFonts w:ascii="Times New Roman" w:hAnsi="Times New Roman"/>
          <w:b w:val="0"/>
          <w:i w:val="0"/>
          <w:sz w:val="16"/>
          <w:szCs w:val="16"/>
        </w:rPr>
        <w:t>GreenServ</w:t>
      </w:r>
      <w:proofErr w:type="spellEnd"/>
      <w:r>
        <w:rPr>
          <w:rFonts w:ascii="Times New Roman" w:hAnsi="Times New Roman"/>
          <w:b w:val="0"/>
          <w:i w:val="0"/>
          <w:sz w:val="16"/>
          <w:szCs w:val="16"/>
        </w:rPr>
        <w:t>: Energy-efficient context-aware dynamic routing for multi-mode</w:t>
      </w:r>
      <w:r>
        <w:rPr>
          <w:rFonts w:ascii="Times New Roman" w:hAnsi="Times New Roman"/>
          <w:b w:val="0"/>
          <w:i w:val="0"/>
          <w:sz w:val="16"/>
          <w:szCs w:val="16"/>
        </w:rPr>
        <w:t>l LLM inference," in Proc. ICPE, 2026.</w:t>
      </w:r>
    </w:p>
    <w:p w:rsidR="007F7D63" w:rsidRDefault="00B7630C">
      <w:pPr>
        <w:spacing w:after="20"/>
        <w:ind w:left="316" w:hanging="316"/>
        <w:jc w:val="both"/>
      </w:pPr>
      <w:r>
        <w:rPr>
          <w:rFonts w:ascii="Times New Roman" w:hAnsi="Times New Roman"/>
          <w:b w:val="0"/>
          <w:i w:val="0"/>
          <w:sz w:val="16"/>
          <w:szCs w:val="16"/>
        </w:rPr>
        <w:t xml:space="preserve">[7] A. </w:t>
      </w:r>
      <w:proofErr w:type="spellStart"/>
      <w:r>
        <w:rPr>
          <w:rFonts w:ascii="Times New Roman" w:hAnsi="Times New Roman"/>
          <w:b w:val="0"/>
          <w:i w:val="0"/>
          <w:sz w:val="16"/>
          <w:szCs w:val="16"/>
        </w:rPr>
        <w:t>Barrak</w:t>
      </w:r>
      <w:proofErr w:type="spellEnd"/>
      <w:r>
        <w:rPr>
          <w:rFonts w:ascii="Times New Roman" w:hAnsi="Times New Roman"/>
          <w:b w:val="0"/>
          <w:i w:val="0"/>
          <w:sz w:val="16"/>
          <w:szCs w:val="16"/>
        </w:rPr>
        <w:t xml:space="preserve"> et al., "GAR: Carbon-aware routing for LLM inference with service level objectives," 2025.</w:t>
      </w:r>
    </w:p>
    <w:p w:rsidR="007F7D63" w:rsidRDefault="00B7630C">
      <w:pPr>
        <w:spacing w:after="20"/>
        <w:ind w:left="316" w:hanging="316"/>
        <w:jc w:val="both"/>
      </w:pPr>
      <w:r>
        <w:rPr>
          <w:rFonts w:ascii="Times New Roman" w:hAnsi="Times New Roman"/>
          <w:b w:val="0"/>
          <w:i w:val="0"/>
          <w:sz w:val="16"/>
          <w:szCs w:val="16"/>
        </w:rPr>
        <w:t xml:space="preserve">[8] O. </w:t>
      </w:r>
      <w:proofErr w:type="spellStart"/>
      <w:r>
        <w:rPr>
          <w:rFonts w:ascii="Times New Roman" w:hAnsi="Times New Roman"/>
          <w:b w:val="0"/>
          <w:i w:val="0"/>
          <w:sz w:val="16"/>
          <w:szCs w:val="16"/>
        </w:rPr>
        <w:t>Rince</w:t>
      </w:r>
      <w:proofErr w:type="spellEnd"/>
      <w:r>
        <w:rPr>
          <w:rFonts w:ascii="Times New Roman" w:hAnsi="Times New Roman"/>
          <w:b w:val="0"/>
          <w:i w:val="0"/>
          <w:sz w:val="16"/>
          <w:szCs w:val="16"/>
        </w:rPr>
        <w:t xml:space="preserve"> et al., "</w:t>
      </w:r>
      <w:proofErr w:type="spellStart"/>
      <w:r>
        <w:rPr>
          <w:rFonts w:ascii="Times New Roman" w:hAnsi="Times New Roman"/>
          <w:b w:val="0"/>
          <w:i w:val="0"/>
          <w:sz w:val="16"/>
          <w:szCs w:val="16"/>
        </w:rPr>
        <w:t>EcoLogits</w:t>
      </w:r>
      <w:proofErr w:type="spellEnd"/>
      <w:r>
        <w:rPr>
          <w:rFonts w:ascii="Times New Roman" w:hAnsi="Times New Roman"/>
          <w:b w:val="0"/>
          <w:i w:val="0"/>
          <w:sz w:val="16"/>
          <w:szCs w:val="16"/>
        </w:rPr>
        <w:t>: Tracking the energy and carbon footprint of generative AI APIs," Journal of Ope</w:t>
      </w:r>
      <w:r>
        <w:rPr>
          <w:rFonts w:ascii="Times New Roman" w:hAnsi="Times New Roman"/>
          <w:b w:val="0"/>
          <w:i w:val="0"/>
          <w:sz w:val="16"/>
          <w:szCs w:val="16"/>
        </w:rPr>
        <w:t>n Source Software, 2025.</w:t>
      </w:r>
    </w:p>
    <w:p w:rsidR="007F7D63" w:rsidRDefault="00B7630C">
      <w:pPr>
        <w:spacing w:after="20"/>
        <w:ind w:left="316" w:hanging="316"/>
        <w:jc w:val="both"/>
      </w:pPr>
      <w:r>
        <w:rPr>
          <w:rFonts w:ascii="Times New Roman" w:hAnsi="Times New Roman"/>
          <w:b w:val="0"/>
          <w:i w:val="0"/>
          <w:sz w:val="16"/>
          <w:szCs w:val="16"/>
        </w:rPr>
        <w:t xml:space="preserve">[9] C. Guo, G. </w:t>
      </w:r>
      <w:proofErr w:type="spellStart"/>
      <w:r>
        <w:rPr>
          <w:rFonts w:ascii="Times New Roman" w:hAnsi="Times New Roman"/>
          <w:b w:val="0"/>
          <w:i w:val="0"/>
          <w:sz w:val="16"/>
          <w:szCs w:val="16"/>
        </w:rPr>
        <w:t>Pleiss</w:t>
      </w:r>
      <w:proofErr w:type="spellEnd"/>
      <w:r>
        <w:rPr>
          <w:rFonts w:ascii="Times New Roman" w:hAnsi="Times New Roman"/>
          <w:b w:val="0"/>
          <w:i w:val="0"/>
          <w:sz w:val="16"/>
          <w:szCs w:val="16"/>
        </w:rPr>
        <w:t>, Y. Sun, and K. Q. Weinberger, "On calibration of modern neural networks," in Proc. ICML, 2017.</w:t>
      </w:r>
    </w:p>
    <w:p w:rsidR="007F7D63" w:rsidRDefault="00B7630C">
      <w:pPr>
        <w:spacing w:after="20"/>
        <w:ind w:left="316" w:hanging="316"/>
        <w:jc w:val="both"/>
      </w:pPr>
      <w:r>
        <w:rPr>
          <w:rFonts w:ascii="Times New Roman" w:hAnsi="Times New Roman"/>
          <w:b w:val="0"/>
          <w:i w:val="0"/>
          <w:sz w:val="16"/>
          <w:szCs w:val="16"/>
        </w:rPr>
        <w:t xml:space="preserve">[10] S. Farquhar, J. </w:t>
      </w:r>
      <w:proofErr w:type="spellStart"/>
      <w:r>
        <w:rPr>
          <w:rFonts w:ascii="Times New Roman" w:hAnsi="Times New Roman"/>
          <w:b w:val="0"/>
          <w:i w:val="0"/>
          <w:sz w:val="16"/>
          <w:szCs w:val="16"/>
        </w:rPr>
        <w:t>Kossen</w:t>
      </w:r>
      <w:proofErr w:type="spellEnd"/>
      <w:r>
        <w:rPr>
          <w:rFonts w:ascii="Times New Roman" w:hAnsi="Times New Roman"/>
          <w:b w:val="0"/>
          <w:i w:val="0"/>
          <w:sz w:val="16"/>
          <w:szCs w:val="16"/>
        </w:rPr>
        <w:t>, L. Kuhn, and Y. Gal, "Detecting hallucinations in large language models using semantic entropy," Nature, vol. 630, 2024.</w:t>
      </w:r>
    </w:p>
    <w:sectPr w:rsidR="007F7D63">
      <w:type w:val="continuous"/>
      <w:pgSz w:w="11906" w:h="16838"/>
      <w:pgMar w:top="1080" w:right="907" w:bottom="1440" w:left="907"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F95A6F"/>
    <w:multiLevelType w:val="hybridMultilevel"/>
    <w:tmpl w:val="25020802"/>
    <w:lvl w:ilvl="0" w:tplc="8A2069C2">
      <w:start w:val="1"/>
      <w:numFmt w:val="bullet"/>
      <w:lvlText w:val="●"/>
      <w:lvlJc w:val="left"/>
      <w:pPr>
        <w:ind w:left="720" w:hanging="360"/>
      </w:pPr>
    </w:lvl>
    <w:lvl w:ilvl="1" w:tplc="99B401BA">
      <w:start w:val="1"/>
      <w:numFmt w:val="bullet"/>
      <w:lvlText w:val="○"/>
      <w:lvlJc w:val="left"/>
      <w:pPr>
        <w:ind w:left="1440" w:hanging="360"/>
      </w:pPr>
    </w:lvl>
    <w:lvl w:ilvl="2" w:tplc="9454F0D8">
      <w:start w:val="1"/>
      <w:numFmt w:val="bullet"/>
      <w:lvlText w:val="■"/>
      <w:lvlJc w:val="left"/>
      <w:pPr>
        <w:ind w:left="2160" w:hanging="360"/>
      </w:pPr>
    </w:lvl>
    <w:lvl w:ilvl="3" w:tplc="23561892">
      <w:start w:val="1"/>
      <w:numFmt w:val="bullet"/>
      <w:lvlText w:val="●"/>
      <w:lvlJc w:val="left"/>
      <w:pPr>
        <w:ind w:left="2880" w:hanging="360"/>
      </w:pPr>
    </w:lvl>
    <w:lvl w:ilvl="4" w:tplc="022C92AE">
      <w:start w:val="1"/>
      <w:numFmt w:val="bullet"/>
      <w:lvlText w:val="○"/>
      <w:lvlJc w:val="left"/>
      <w:pPr>
        <w:ind w:left="3600" w:hanging="360"/>
      </w:pPr>
    </w:lvl>
    <w:lvl w:ilvl="5" w:tplc="B6E4D8EC">
      <w:start w:val="1"/>
      <w:numFmt w:val="bullet"/>
      <w:lvlText w:val="■"/>
      <w:lvlJc w:val="left"/>
      <w:pPr>
        <w:ind w:left="4320" w:hanging="360"/>
      </w:pPr>
    </w:lvl>
    <w:lvl w:ilvl="6" w:tplc="5664C28E">
      <w:start w:val="1"/>
      <w:numFmt w:val="bullet"/>
      <w:lvlText w:val="●"/>
      <w:lvlJc w:val="left"/>
      <w:pPr>
        <w:ind w:left="5040" w:hanging="360"/>
      </w:pPr>
    </w:lvl>
    <w:lvl w:ilvl="7" w:tplc="71D8D76E">
      <w:start w:val="1"/>
      <w:numFmt w:val="bullet"/>
      <w:lvlText w:val="●"/>
      <w:lvlJc w:val="left"/>
      <w:pPr>
        <w:ind w:left="5760" w:hanging="360"/>
      </w:pPr>
    </w:lvl>
    <w:lvl w:ilvl="8" w:tplc="0F4E752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D63"/>
    <w:rsid w:val="007F7D63"/>
    <w:rsid w:val="00B7630C"/>
    <w:rsid w:val="00BC4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0AF68"/>
  <w15:docId w15:val="{5A925DDD-552D-4898-8DD8-13B95715F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3920</Words>
  <Characters>22350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2026-09-03T12:01:00Z</dcterms:created>
  <dcterms:modified xsi:type="dcterms:W3CDTF">2026-09-03T12:33:00Z</dcterms:modified>
</cp:coreProperties>
</file>