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lastRenderedPageBreak/>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 xml:space="preserve">This requirement is set by Environmental Testing Requirements. This requirement was created to </w:t>
      </w:r>
      <w:r w:rsidRPr="00EB0EA7">
        <w:rPr>
          <w:rFonts w:cs="Times New Roman"/>
          <w:color w:val="000000"/>
          <w:sz w:val="22"/>
          <w:szCs w:val="22"/>
        </w:rPr>
        <w:lastRenderedPageBreak/>
        <w:t>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lastRenderedPageBreak/>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lastRenderedPageBreak/>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A94" w:rsidRDefault="00C87A94">
      <w:r>
        <w:separator/>
      </w:r>
    </w:p>
  </w:endnote>
  <w:endnote w:type="continuationSeparator" w:id="0">
    <w:p w:rsidR="00C87A94" w:rsidRDefault="00C87A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9A7999">
      <w:rPr>
        <w:b/>
        <w:noProof/>
      </w:rPr>
      <w:t>22</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9A7999">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A94" w:rsidRDefault="00C87A94">
      <w:r>
        <w:separator/>
      </w:r>
    </w:p>
  </w:footnote>
  <w:footnote w:type="continuationSeparator" w:id="0">
    <w:p w:rsidR="00C87A94" w:rsidRDefault="00C87A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87A94"/>
    <w:rsid w:val="00C90611"/>
    <w:rsid w:val="00C947EB"/>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331F5-0A78-4DB3-A12A-A686E094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22</Pages>
  <Words>5404</Words>
  <Characters>30806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46</cp:revision>
  <cp:lastPrinted>2013-07-09T02:34:00Z</cp:lastPrinted>
  <dcterms:created xsi:type="dcterms:W3CDTF">2013-11-09T23:15:00Z</dcterms:created>
  <dcterms:modified xsi:type="dcterms:W3CDTF">2013-11-12T01:38:00Z</dcterms:modified>
</cp:coreProperties>
</file>