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E95262"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E95262"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E95262"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E95262"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E95262"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E95262"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E95262">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sidR="004B0D55">
              <w:rPr>
                <w:noProof/>
                <w:webHidden/>
              </w:rPr>
              <w:fldChar w:fldCharType="begin"/>
            </w:r>
            <w:r w:rsidR="00C15AC7">
              <w:rPr>
                <w:noProof/>
                <w:webHidden/>
              </w:rPr>
              <w:instrText xml:space="preserve"> PAGEREF _Toc366229612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E95262">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sidR="004B0D55">
              <w:rPr>
                <w:noProof/>
                <w:webHidden/>
              </w:rPr>
              <w:fldChar w:fldCharType="begin"/>
            </w:r>
            <w:r w:rsidR="00C15AC7">
              <w:rPr>
                <w:noProof/>
                <w:webHidden/>
              </w:rPr>
              <w:instrText xml:space="preserve"> PAGEREF _Toc366229613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E95262">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sidR="004B0D55">
              <w:rPr>
                <w:noProof/>
                <w:webHidden/>
              </w:rPr>
              <w:fldChar w:fldCharType="begin"/>
            </w:r>
            <w:r w:rsidR="00C15AC7">
              <w:rPr>
                <w:noProof/>
                <w:webHidden/>
              </w:rPr>
              <w:instrText xml:space="preserve"> PAGEREF _Toc366229614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E95262">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sidR="004B0D55">
              <w:rPr>
                <w:noProof/>
                <w:webHidden/>
              </w:rPr>
              <w:fldChar w:fldCharType="begin"/>
            </w:r>
            <w:r w:rsidR="00C15AC7">
              <w:rPr>
                <w:noProof/>
                <w:webHidden/>
              </w:rPr>
              <w:instrText xml:space="preserve"> PAGEREF _Toc366229615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2" w:name="_Toc366229612"/>
      <w:r>
        <w:lastRenderedPageBreak/>
        <w:t>Mission Overview</w:t>
      </w:r>
      <w:bookmarkStart w:id="3" w:name="_Toc366229613"/>
      <w:bookmarkEnd w:id="2"/>
    </w:p>
    <w:p w:rsidR="001E16F0" w:rsidRPr="001E16F0" w:rsidRDefault="001E16F0" w:rsidP="001E16F0">
      <w:pPr>
        <w:pStyle w:val="ListParagraph"/>
        <w:numPr>
          <w:ilvl w:val="0"/>
          <w:numId w:val="41"/>
        </w:numPr>
        <w:rPr>
          <w:vanish/>
        </w:rPr>
      </w:pPr>
    </w:p>
    <w:p w:rsidR="001E16F0" w:rsidRPr="008F4C8D" w:rsidRDefault="00C57E29" w:rsidP="008F4C8D">
      <w:pPr>
        <w:pStyle w:val="Heading2"/>
      </w:pPr>
      <w:r w:rsidRPr="008F4C8D">
        <w:t>Concept of Operations</w:t>
      </w:r>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separation gap of 100 meters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Once this 100 m</w:t>
      </w:r>
      <w:r w:rsidR="005E42F6">
        <w:rPr>
          <w:sz w:val="22"/>
          <w:szCs w:val="22"/>
          <w:lang w:eastAsia="en-US" w:bidi="ar-SA"/>
        </w:rPr>
        <w:t>eter</w:t>
      </w:r>
      <w:r>
        <w:rPr>
          <w:sz w:val="22"/>
          <w:szCs w:val="22"/>
          <w:lang w:eastAsia="en-US" w:bidi="ar-SA"/>
        </w:rPr>
        <w:t xml:space="preserve"> gap has been reached, a command will be sent to the released satellite to begin the process </w:t>
      </w:r>
      <w:r w:rsidR="005E42F6">
        <w:rPr>
          <w:sz w:val="22"/>
          <w:szCs w:val="22"/>
          <w:lang w:eastAsia="en-US" w:bidi="ar-SA"/>
        </w:rPr>
        <w:t>of returning within 10 meters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will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8F4C8D" w:rsidRDefault="008F4C8D" w:rsidP="008F4C8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Heading2"/>
      </w:pPr>
      <w:r>
        <w:lastRenderedPageBreak/>
        <w:t>Spacecraft Components</w:t>
      </w:r>
    </w:p>
    <w:p w:rsidR="008F4C8D" w:rsidRDefault="008F4C8D" w:rsidP="007E09F9">
      <w:pPr>
        <w:pStyle w:val="BodyText"/>
        <w:jc w:val="both"/>
        <w:rPr>
          <w:sz w:val="22"/>
          <w:szCs w:val="22"/>
          <w:lang w:eastAsia="en-US" w:bidi="ar-SA"/>
        </w:rPr>
      </w:pPr>
      <w:r>
        <w:rPr>
          <w:sz w:val="22"/>
          <w:szCs w:val="22"/>
          <w:lang w:eastAsia="en-US" w:bidi="ar-SA"/>
        </w:rPr>
        <w:t xml:space="preserve">The total 6U spacecraft consists of two separate 3U spacecraft, each of which contain the </w:t>
      </w:r>
      <w:r w:rsidR="007E09F9">
        <w:rPr>
          <w:sz w:val="22"/>
          <w:szCs w:val="22"/>
          <w:lang w:eastAsia="en-US" w:bidi="ar-SA"/>
        </w:rPr>
        <w:t xml:space="preserve">exact same subsystems and payloads. All </w:t>
      </w:r>
      <w:r w:rsidR="00F47233">
        <w:rPr>
          <w:sz w:val="22"/>
          <w:szCs w:val="22"/>
          <w:lang w:eastAsia="en-US" w:bidi="ar-SA"/>
        </w:rPr>
        <w:t>of the core bus elements (such as the communications, command and data handling, and power subsystems) have flown or will have been flown on previous missions at Saint Louis University. This will allow for greater attention to the design and fabrication of the structures associated with each satellite (such as the skeletons and baseplate) and of the propulsion units themselves, each of which will be the main focus of the upcoming semesters. Table-2 below lists each of the components that will be incorporated into each satellite.</w:t>
      </w:r>
      <w:bookmarkStart w:id="4" w:name="_GoBack"/>
      <w:bookmarkEnd w:id="4"/>
    </w:p>
    <w:p w:rsidR="00F47233" w:rsidRDefault="00F47233" w:rsidP="00F47233">
      <w:pPr>
        <w:pStyle w:val="BodyText"/>
        <w:jc w:val="center"/>
        <w:rPr>
          <w:sz w:val="22"/>
          <w:szCs w:val="22"/>
          <w:lang w:eastAsia="en-US" w:bidi="ar-SA"/>
        </w:rPr>
      </w:pPr>
      <w:proofErr w:type="gramStart"/>
      <w:r>
        <w:rPr>
          <w:b/>
          <w:sz w:val="22"/>
          <w:szCs w:val="22"/>
          <w:lang w:eastAsia="en-US" w:bidi="ar-SA"/>
        </w:rPr>
        <w:t>Table-4.</w:t>
      </w:r>
      <w:proofErr w:type="gramEnd"/>
      <w:r>
        <w:rPr>
          <w:b/>
          <w:sz w:val="22"/>
          <w:szCs w:val="22"/>
          <w:lang w:eastAsia="en-US" w:bidi="ar-SA"/>
        </w:rPr>
        <w:t xml:space="preserve"> Spacecraft Components for Rascal 3U</w:t>
      </w:r>
    </w:p>
    <w:tbl>
      <w:tblPr>
        <w:tblStyle w:val="TableGrid"/>
        <w:tblW w:w="0" w:type="auto"/>
        <w:tblLook w:val="04A0" w:firstRow="1" w:lastRow="0" w:firstColumn="1" w:lastColumn="0" w:noHBand="0" w:noVBand="1"/>
      </w:tblPr>
      <w:tblGrid>
        <w:gridCol w:w="3528"/>
        <w:gridCol w:w="6048"/>
      </w:tblGrid>
      <w:tr w:rsidR="00F47233" w:rsidTr="0001284E">
        <w:tc>
          <w:tcPr>
            <w:tcW w:w="352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Subsystem</w:t>
            </w:r>
          </w:p>
        </w:tc>
        <w:tc>
          <w:tcPr>
            <w:tcW w:w="604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Components</w:t>
            </w:r>
          </w:p>
        </w:tc>
      </w:tr>
      <w:tr w:rsidR="00F47233" w:rsidTr="0001284E">
        <w:tc>
          <w:tcPr>
            <w:tcW w:w="3528" w:type="dxa"/>
            <w:tcBorders>
              <w:top w:val="threeDEmboss" w:sz="24" w:space="0" w:color="auto"/>
            </w:tcBorders>
            <w:vAlign w:val="center"/>
          </w:tcPr>
          <w:p w:rsidR="00F47233" w:rsidRDefault="00F47233" w:rsidP="0001284E">
            <w:pPr>
              <w:pStyle w:val="BodyText"/>
              <w:spacing w:after="0"/>
              <w:jc w:val="center"/>
              <w:rPr>
                <w:lang w:eastAsia="en-US" w:bidi="ar-SA"/>
              </w:rPr>
            </w:pPr>
            <w:r>
              <w:rPr>
                <w:lang w:eastAsia="en-US" w:bidi="ar-SA"/>
              </w:rPr>
              <w:t>Attitude Determination and Control (ADCS)/Navigation</w:t>
            </w:r>
          </w:p>
        </w:tc>
        <w:tc>
          <w:tcPr>
            <w:tcW w:w="6048" w:type="dxa"/>
            <w:tcBorders>
              <w:top w:val="threeDEmboss" w:sz="24" w:space="0" w:color="auto"/>
            </w:tcBorders>
            <w:vAlign w:val="center"/>
          </w:tcPr>
          <w:p w:rsidR="00F47233" w:rsidRDefault="00F47233" w:rsidP="0001284E">
            <w:pPr>
              <w:pStyle w:val="BodyText"/>
              <w:spacing w:after="20"/>
              <w:jc w:val="center"/>
              <w:rPr>
                <w:lang w:eastAsia="en-US" w:bidi="ar-SA"/>
              </w:rPr>
            </w:pPr>
            <w:r>
              <w:rPr>
                <w:lang w:eastAsia="en-US" w:bidi="ar-SA"/>
              </w:rPr>
              <w:t>Reaction Wheels</w:t>
            </w:r>
          </w:p>
          <w:p w:rsidR="00F47233" w:rsidRDefault="00F47233" w:rsidP="0001284E">
            <w:pPr>
              <w:pStyle w:val="BodyText"/>
              <w:spacing w:after="20"/>
              <w:jc w:val="center"/>
              <w:rPr>
                <w:lang w:eastAsia="en-US" w:bidi="ar-SA"/>
              </w:rPr>
            </w:pPr>
            <w:r>
              <w:rPr>
                <w:lang w:eastAsia="en-US" w:bidi="ar-SA"/>
              </w:rPr>
              <w:t>GPS Unit</w:t>
            </w:r>
          </w:p>
          <w:p w:rsidR="0001284E" w:rsidRDefault="0001284E" w:rsidP="0001284E">
            <w:pPr>
              <w:pStyle w:val="BodyText"/>
              <w:spacing w:after="20"/>
              <w:jc w:val="center"/>
              <w:rPr>
                <w:lang w:eastAsia="en-US" w:bidi="ar-SA"/>
              </w:rPr>
            </w:pPr>
            <w:r>
              <w:rPr>
                <w:lang w:eastAsia="en-US" w:bidi="ar-SA"/>
              </w:rPr>
              <w:t>Rate Gyroscopes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Command and Data Handling</w:t>
            </w:r>
          </w:p>
        </w:tc>
        <w:tc>
          <w:tcPr>
            <w:tcW w:w="6048" w:type="dxa"/>
            <w:vAlign w:val="center"/>
          </w:tcPr>
          <w:p w:rsidR="0001284E" w:rsidRDefault="0001284E" w:rsidP="0001284E">
            <w:pPr>
              <w:pStyle w:val="BodyText"/>
              <w:spacing w:after="20"/>
              <w:jc w:val="center"/>
              <w:rPr>
                <w:lang w:eastAsia="en-US" w:bidi="ar-SA"/>
              </w:rPr>
            </w:pPr>
            <w:r>
              <w:rPr>
                <w:lang w:eastAsia="en-US" w:bidi="ar-SA"/>
              </w:rPr>
              <w:t>CubeSat Kit PIC24-based system</w:t>
            </w:r>
          </w:p>
          <w:p w:rsidR="00F47233" w:rsidRDefault="0001284E" w:rsidP="0001284E">
            <w:pPr>
              <w:pStyle w:val="BodyText"/>
              <w:spacing w:after="20"/>
              <w:jc w:val="center"/>
              <w:rPr>
                <w:lang w:eastAsia="en-US" w:bidi="ar-SA"/>
              </w:rPr>
            </w:pPr>
            <w:r>
              <w:rPr>
                <w:lang w:eastAsia="en-US" w:bidi="ar-SA"/>
              </w:rPr>
              <w:t>Salvo Real Time Operating System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Power</w:t>
            </w:r>
          </w:p>
        </w:tc>
        <w:tc>
          <w:tcPr>
            <w:tcW w:w="6048" w:type="dxa"/>
            <w:vAlign w:val="center"/>
          </w:tcPr>
          <w:p w:rsidR="00F47233" w:rsidRDefault="0001284E" w:rsidP="0001284E">
            <w:pPr>
              <w:pStyle w:val="BodyText"/>
              <w:spacing w:after="20"/>
              <w:jc w:val="center"/>
              <w:rPr>
                <w:lang w:eastAsia="en-US" w:bidi="ar-SA"/>
              </w:rPr>
            </w:pPr>
            <w:r>
              <w:rPr>
                <w:lang w:eastAsia="en-US" w:bidi="ar-SA"/>
              </w:rPr>
              <w:t>Clyde Space 3U Electrical Power System</w:t>
            </w:r>
          </w:p>
          <w:p w:rsidR="0001284E" w:rsidRDefault="0001284E" w:rsidP="0001284E">
            <w:pPr>
              <w:pStyle w:val="BodyText"/>
              <w:spacing w:after="20"/>
              <w:jc w:val="center"/>
              <w:rPr>
                <w:lang w:eastAsia="en-US" w:bidi="ar-SA"/>
              </w:rPr>
            </w:pPr>
            <w:r>
              <w:rPr>
                <w:lang w:eastAsia="en-US" w:bidi="ar-SA"/>
              </w:rPr>
              <w:t>Clyde Space Lithium Battery</w:t>
            </w:r>
          </w:p>
          <w:p w:rsidR="0001284E" w:rsidRDefault="0001284E" w:rsidP="0001284E">
            <w:pPr>
              <w:pStyle w:val="BodyText"/>
              <w:spacing w:after="20"/>
              <w:jc w:val="center"/>
              <w:rPr>
                <w:lang w:eastAsia="en-US" w:bidi="ar-SA"/>
              </w:rPr>
            </w:pPr>
            <w:proofErr w:type="spellStart"/>
            <w:r>
              <w:rPr>
                <w:lang w:eastAsia="en-US" w:bidi="ar-SA"/>
              </w:rPr>
              <w:t>Spectrolab</w:t>
            </w:r>
            <w:proofErr w:type="spellEnd"/>
            <w:r>
              <w:rPr>
                <w:lang w:eastAsia="en-US" w:bidi="ar-SA"/>
              </w:rPr>
              <w:t xml:space="preserve"> UTJ Body-Mounted Solar Cells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Structure/Mechanisms</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Cubesat</w:t>
            </w:r>
            <w:proofErr w:type="spellEnd"/>
            <w:r>
              <w:rPr>
                <w:lang w:eastAsia="en-US" w:bidi="ar-SA"/>
              </w:rPr>
              <w:t xml:space="preserve"> Kit 3U Structure </w:t>
            </w:r>
            <w:r>
              <w:rPr>
                <w:b/>
                <w:lang w:eastAsia="en-US" w:bidi="ar-SA"/>
              </w:rPr>
              <w:t>OR</w:t>
            </w:r>
            <w:r>
              <w:rPr>
                <w:lang w:eastAsia="en-US" w:bidi="ar-SA"/>
              </w:rPr>
              <w:t xml:space="preserve"> Custom 3-D Printed Structure</w:t>
            </w:r>
          </w:p>
          <w:p w:rsidR="0001284E" w:rsidRPr="0001284E" w:rsidRDefault="0001284E" w:rsidP="0001284E">
            <w:pPr>
              <w:pStyle w:val="BodyText"/>
              <w:spacing w:after="20"/>
              <w:jc w:val="center"/>
              <w:rPr>
                <w:lang w:eastAsia="en-US" w:bidi="ar-SA"/>
              </w:rPr>
            </w:pPr>
            <w:proofErr w:type="spellStart"/>
            <w:r>
              <w:rPr>
                <w:lang w:eastAsia="en-US" w:bidi="ar-SA"/>
              </w:rPr>
              <w:t>TiNi</w:t>
            </w:r>
            <w:proofErr w:type="spellEnd"/>
            <w:r>
              <w:rPr>
                <w:lang w:eastAsia="en-US" w:bidi="ar-SA"/>
              </w:rPr>
              <w:t xml:space="preserve"> ERM-500 Release Mechanism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Propulsion</w:t>
            </w:r>
          </w:p>
        </w:tc>
        <w:tc>
          <w:tcPr>
            <w:tcW w:w="6048" w:type="dxa"/>
            <w:vAlign w:val="center"/>
          </w:tcPr>
          <w:p w:rsidR="00F47233" w:rsidRDefault="0001284E" w:rsidP="0001284E">
            <w:pPr>
              <w:pStyle w:val="BodyText"/>
              <w:spacing w:after="20"/>
              <w:jc w:val="center"/>
              <w:rPr>
                <w:lang w:eastAsia="en-US" w:bidi="ar-SA"/>
              </w:rPr>
            </w:pPr>
            <w:r>
              <w:rPr>
                <w:lang w:eastAsia="en-US" w:bidi="ar-SA"/>
              </w:rPr>
              <w:t>134a-based 6-8 Axis Propulsion System</w:t>
            </w:r>
          </w:p>
          <w:p w:rsidR="0001284E" w:rsidRDefault="0001284E" w:rsidP="0001284E">
            <w:pPr>
              <w:pStyle w:val="BodyText"/>
              <w:spacing w:after="20"/>
              <w:jc w:val="center"/>
              <w:rPr>
                <w:lang w:eastAsia="en-US" w:bidi="ar-SA"/>
              </w:rPr>
            </w:pPr>
            <w:r>
              <w:rPr>
                <w:lang w:eastAsia="en-US" w:bidi="ar-SA"/>
              </w:rPr>
              <w:t>Additive-Manufacturing Propellant Tank/Plumbing</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Imaging</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Flir</w:t>
            </w:r>
            <w:proofErr w:type="spellEnd"/>
            <w:r>
              <w:rPr>
                <w:lang w:eastAsia="en-US" w:bidi="ar-SA"/>
              </w:rPr>
              <w:t xml:space="preserve"> Tau 320 Long Wave Infrared Radiation Imager</w:t>
            </w:r>
          </w:p>
          <w:p w:rsidR="0001284E" w:rsidRDefault="0001284E" w:rsidP="0001284E">
            <w:pPr>
              <w:pStyle w:val="BodyText"/>
              <w:spacing w:after="20"/>
              <w:jc w:val="center"/>
              <w:rPr>
                <w:lang w:eastAsia="en-US" w:bidi="ar-SA"/>
              </w:rPr>
            </w:pPr>
            <w:r>
              <w:rPr>
                <w:lang w:eastAsia="en-US" w:bidi="ar-SA"/>
              </w:rPr>
              <w:t>Commercial Off the Shelf Visible Camera</w:t>
            </w:r>
          </w:p>
        </w:tc>
      </w:tr>
    </w:tbl>
    <w:p w:rsidR="00F47233" w:rsidRPr="00F47233" w:rsidRDefault="00F47233" w:rsidP="00F47233">
      <w:pPr>
        <w:pStyle w:val="BodyText"/>
        <w:spacing w:after="0"/>
        <w:jc w:val="center"/>
        <w:rPr>
          <w:sz w:val="22"/>
          <w:szCs w:val="22"/>
          <w:lang w:eastAsia="en-US" w:bidi="ar-SA"/>
        </w:rPr>
      </w:pPr>
    </w:p>
    <w:p w:rsidR="00C15AC7" w:rsidRDefault="00C15AC7" w:rsidP="00C57E29">
      <w:pPr>
        <w:pStyle w:val="Heading1"/>
        <w:numPr>
          <w:ilvl w:val="0"/>
          <w:numId w:val="40"/>
        </w:numPr>
        <w:ind w:left="360"/>
      </w:pPr>
      <w:bookmarkStart w:id="5" w:name="_Toc366229614"/>
      <w:bookmarkEnd w:id="3"/>
      <w:r>
        <w:t>Team Organization</w:t>
      </w:r>
      <w:bookmarkEnd w:id="5"/>
    </w:p>
    <w:p w:rsidR="00C57E29" w:rsidRDefault="00C57E29" w:rsidP="00C57E29">
      <w:r>
        <w:t>-Propulsion/ADC (2-3)</w:t>
      </w:r>
    </w:p>
    <w:p w:rsidR="00C57E29" w:rsidRDefault="00C57E29" w:rsidP="00C57E29">
      <w:r>
        <w:t>-Structure</w:t>
      </w:r>
      <w:r w:rsidR="008D3B8E">
        <w:t xml:space="preserve">s/Integration </w:t>
      </w:r>
      <w:r>
        <w:t>(1-2)</w:t>
      </w:r>
    </w:p>
    <w:p w:rsidR="00C57E29" w:rsidRDefault="00C57E29" w:rsidP="00C57E29">
      <w:r>
        <w:t>-Program Manager</w:t>
      </w:r>
    </w:p>
    <w:p w:rsidR="00C57E29" w:rsidRPr="00C57E29" w:rsidRDefault="00C57E29" w:rsidP="00C57E29"/>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62" w:rsidRDefault="00E95262">
      <w:r>
        <w:separator/>
      </w:r>
    </w:p>
  </w:endnote>
  <w:endnote w:type="continuationSeparator" w:id="0">
    <w:p w:rsidR="00E95262" w:rsidRDefault="00E9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E95262"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01284E">
      <w:rPr>
        <w:b/>
        <w:noProof/>
      </w:rPr>
      <w:t>6</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01284E">
      <w:rPr>
        <w:b/>
        <w:noProof/>
      </w:rPr>
      <w:t>6</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62" w:rsidRDefault="00E95262">
      <w:r>
        <w:separator/>
      </w:r>
    </w:p>
  </w:footnote>
  <w:footnote w:type="continuationSeparator" w:id="0">
    <w:p w:rsidR="00E95262" w:rsidRDefault="00E95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50BBE"/>
    <w:rsid w:val="000601B4"/>
    <w:rsid w:val="00061FAB"/>
    <w:rsid w:val="00070B25"/>
    <w:rsid w:val="000765B5"/>
    <w:rsid w:val="00076E94"/>
    <w:rsid w:val="00090045"/>
    <w:rsid w:val="0009607E"/>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5625"/>
    <w:rsid w:val="009B6230"/>
    <w:rsid w:val="009C364B"/>
    <w:rsid w:val="009C55D4"/>
    <w:rsid w:val="009C7A1A"/>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5262"/>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moline@sl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3062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7A014-AC5E-44F1-B5BF-0F09254B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6</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13</cp:revision>
  <cp:lastPrinted>2013-07-09T02:34:00Z</cp:lastPrinted>
  <dcterms:created xsi:type="dcterms:W3CDTF">2013-09-06T16:22:00Z</dcterms:created>
  <dcterms:modified xsi:type="dcterms:W3CDTF">2013-09-12T02:42:00Z</dcterms:modified>
</cp:coreProperties>
</file>