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0" w:line="480"/>
        <w:jc w:val="center"/>
      </w:pPr>
      <w:r>
        <w:rPr>
          <w:rFonts w:ascii="Times New Roman" w:cs="Times New Roman" w:eastAsia="Times New Roman" w:hAnsi="Times New Roman"/>
          <w:sz w:val="24"/>
          <w:szCs w:val="24"/>
        </w:rPr>
        <w:t xml:space="preserve">DRAFT — AUTHOR INPUT REQUIRED — NOT FOR SUBMISSION</w:t>
      </w:r>
    </w:p>
    <w:p>
      <w:pPr>
        <w:keepNext/>
        <w:spacing w:after="120" w:before="0" w:line="480"/>
        <w:jc w:val="center"/>
      </w:pPr>
      <w:r>
        <w:rPr>
          <w:rFonts w:ascii="Times New Roman" w:cs="Times New Roman" w:eastAsia="Times New Roman" w:hAnsi="Times New Roman"/>
          <w:sz w:val="24"/>
          <w:szCs w:val="24"/>
        </w:rPr>
        <w:t xml:space="preserve">Draft status: Scientific revision R1, 16 October 2026. This is the current content-review copy; the preceding evidence and BMC drafts remain unchanged. Author declarations, formal archiving, and upstream-license confirmation are deferred until scientific content is near final. Author-input placeholders remain; this is not a submission-ready manuscript.</w:t>
      </w:r>
    </w:p>
    <w:p>
      <w:pPr>
        <w:keepNext/>
        <w:spacing w:after="180" w:line="480"/>
      </w:pPr>
      <w:r>
        <w:rPr>
          <w:rFonts w:ascii="Times New Roman" w:cs="Times New Roman" w:eastAsia="Times New Roman" w:hAnsi="Times New Roman"/>
          <w:b/>
          <w:bCs/>
          <w:sz w:val="28"/>
          <w:szCs w:val="28"/>
        </w:rPr>
        <w:t xml:space="preserve">Title:</w:t>
      </w:r>
      <w:r>
        <w:rPr>
          <w:rFonts w:ascii="Times New Roman" w:cs="Times New Roman" w:eastAsia="Times New Roman" w:hAnsi="Times New Roman"/>
          <w:sz w:val="28"/>
          <w:szCs w:val="28"/>
        </w:rPr>
        <w:t xml:space="preserve"> Assessing the incremental value of relative expression ordering for continuous drug-response prediction: a repeated nested cross-validation and cross-screen study across eight anticancer compounds</w:t>
      </w:r>
    </w:p>
    <w:p>
      <w:pPr>
        <w:keepNext w:val="false"/>
        <w:spacing w:after="120" w:before="0" w:line="480"/>
      </w:pPr>
      <w:r>
        <w:rPr>
          <w:rFonts w:ascii="Times New Roman" w:cs="Times New Roman" w:eastAsia="Times New Roman" w:hAnsi="Times New Roman"/>
          <w:b/>
          <w:bCs/>
          <w:color w:val="A00000"/>
          <w:sz w:val="22"/>
          <w:szCs w:val="22"/>
        </w:rPr>
        <w:t xml:space="preserve">Authors: [AUTHOR INPUT REQUIRED: confirm complete author list and order]</w:t>
      </w:r>
    </w:p>
    <w:p>
      <w:pPr>
        <w:keepNext w:val="false"/>
        <w:spacing w:after="120" w:before="0" w:line="480"/>
      </w:pPr>
      <w:r>
        <w:rPr>
          <w:rFonts w:ascii="Times New Roman" w:cs="Times New Roman" w:eastAsia="Times New Roman" w:hAnsi="Times New Roman"/>
          <w:b/>
          <w:bCs/>
          <w:color w:val="A00000"/>
          <w:sz w:val="22"/>
          <w:szCs w:val="22"/>
        </w:rPr>
        <w:t xml:space="preserve">Affiliations: [AUTHOR INPUT REQUIRED: provide full institutional addresses and map each author]</w:t>
      </w:r>
    </w:p>
    <w:p>
      <w:pPr>
        <w:keepNext w:val="false"/>
        <w:spacing w:after="120" w:before="0" w:line="480"/>
      </w:pPr>
      <w:r>
        <w:rPr>
          <w:rFonts w:ascii="Times New Roman" w:cs="Times New Roman" w:eastAsia="Times New Roman" w:hAnsi="Times New Roman"/>
          <w:b/>
          <w:bCs/>
          <w:color w:val="A00000"/>
          <w:sz w:val="22"/>
          <w:szCs w:val="22"/>
        </w:rPr>
        <w:t xml:space="preserve">Corresponding author: [AUTHOR INPUT REQUIRED: name, postal address, and email]</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Abstract</w:t>
      </w:r>
    </w:p>
    <w:p>
      <w:pPr>
        <w:keepNext w:val="false"/>
        <w:spacing w:after="120" w:before="0" w:line="480"/>
      </w:pPr>
      <w:r>
        <w:rPr>
          <w:rFonts w:ascii="Times New Roman" w:cs="Times New Roman" w:eastAsia="Times New Roman" w:hAnsi="Times New Roman"/>
          <w:b/>
          <w:bCs/>
          <w:sz w:val="24"/>
          <w:szCs w:val="24"/>
        </w:rPr>
        <w:t xml:space="preserve">Background:</w:t>
      </w:r>
      <w:r>
        <w:rPr>
          <w:rFonts w:ascii="Times New Roman" w:cs="Times New Roman" w:eastAsia="Times New Roman" w:hAnsi="Times New Roman"/>
          <w:sz w:val="24"/>
          <w:szCs w:val="24"/>
        </w:rPr>
        <w:t xml:space="preserve"> The incremental value of within-sample relative expression ordering (REO) for continuous drug-response prediction remains uncertain. We compared a tissue reference, a strong 2,000-gene expression model, and matched 200-gene expression, rank, and full-pair models under two training-fold candidate rules. Eight fixed compounds and 626 development cell-line groups underwent five-fold outer cross-validation repeated three times with three-fold inner tuning. Full-development models underwent one locked retrospective CTRPv2 evaluation in 175 non-overlapping groups. Four finite synthetic controls examined specified implementation behavior.</w:t>
      </w:r>
    </w:p>
    <w:p>
      <w:pPr>
        <w:keepNext w:val="false"/>
        <w:spacing w:after="120" w:before="0" w:line="480"/>
      </w:pPr>
      <w:r>
        <w:rPr>
          <w:rFonts w:ascii="Times New Roman" w:cs="Times New Roman" w:eastAsia="Times New Roman" w:hAnsi="Times New Roman"/>
          <w:b/>
          <w:bCs/>
          <w:sz w:val="24"/>
          <w:szCs w:val="24"/>
        </w:rPr>
        <w:t xml:space="preserve">Results:</w:t>
      </w:r>
      <w:r>
        <w:rPr>
          <w:rFonts w:ascii="Times New Roman" w:cs="Times New Roman" w:eastAsia="Times New Roman" w:hAnsi="Times New Roman"/>
          <w:sz w:val="24"/>
          <w:szCs w:val="24"/>
        </w:rPr>
        <w:t xml:space="preserve"> In development, the predefined REO-pair minus strong-expression difference in equal-drug mean Spearman correlation was −0.00588 (family-9 adjusted conditional bootstrap interval, −0.01871 to 0.00661). The RMSE improvement, strong expression minus pair, was −0.00075 (nominal conditional 95% interval, −0.00124 to −0.00028), favoring expression. In the locked CTRPv2 evaluation, equal-drug mean correlations were 0.2284 for tissue, 0.2602 for strong expression, and 0.2599 for REO pair; the primary difference was −0.000372 (family-9 adjusted interval, −0.04217 to 0.04350; 1,185 drug–group responses). Matched-budget comparisons did not establish an average pair advantage. Zero molecular coefficients occurred in 430 of 840 outer fits and 29 of 56 final molecular arms. The strict leave-one-tissue-out macro was undefined: only 34 of 80 prespecified contrasts had defined correlations. Synthetic results illustrated tissue-only prediction, weak-signal shrinkage, order-invariant amplitude loss, and a constructed pair-order signal; they did not identify real-data mechanisms.</w:t>
      </w:r>
    </w:p>
    <w:p>
      <w:pPr>
        <w:keepNext w:val="false"/>
        <w:spacing w:after="120" w:before="0" w:line="480"/>
      </w:pPr>
      <w:r>
        <w:rPr>
          <w:rFonts w:ascii="Times New Roman" w:cs="Times New Roman" w:eastAsia="Times New Roman" w:hAnsi="Times New Roman"/>
          <w:b/>
          <w:bCs/>
          <w:sz w:val="24"/>
          <w:szCs w:val="24"/>
        </w:rPr>
        <w:t xml:space="preserve">Conclusions:</w:t>
      </w:r>
      <w:r>
        <w:rPr>
          <w:rFonts w:ascii="Times New Roman" w:cs="Times New Roman" w:eastAsia="Times New Roman" w:hAnsi="Times New Roman"/>
          <w:sz w:val="24"/>
          <w:szCs w:val="24"/>
        </w:rPr>
        <w:t xml:space="preserve"> The evaluated REO pipeline did not show a reliable average ranking improvement over strong expression in this eight-compound setting. This does not establish equivalence or non-inferiority or exclude other REO formulations. Reporting tissue contribution, candidate policy, representation contrasts, zero molecular solutions, and assay context is necessary to delimit such comparisons.</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Keywords</w:t>
      </w:r>
    </w:p>
    <w:p>
      <w:pPr>
        <w:keepNext w:val="false"/>
        <w:spacing w:after="120" w:before="0" w:line="480"/>
      </w:pPr>
      <w:r>
        <w:rPr>
          <w:rFonts w:ascii="Times New Roman" w:cs="Times New Roman" w:eastAsia="Times New Roman" w:hAnsi="Times New Roman"/>
          <w:sz w:val="24"/>
          <w:szCs w:val="24"/>
        </w:rPr>
        <w:t xml:space="preserve">Cancer cell lines; Drug response prediction; Pharmacogenomics; Relative expression ordering; Nested cross-validation; Elastic net</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Background</w:t>
      </w:r>
    </w:p>
    <w:p>
      <w:pPr>
        <w:keepNext w:val="false"/>
        <w:spacing w:after="120" w:before="0" w:line="480"/>
      </w:pPr>
      <w:r>
        <w:rPr>
          <w:rFonts w:ascii="Times New Roman" w:cs="Times New Roman" w:eastAsia="Times New Roman" w:hAnsi="Times New Roman"/>
          <w:sz w:val="24"/>
          <w:szCs w:val="24"/>
        </w:rPr>
        <w:t xml:space="preserve">Large cancer-cell-line pharmacogenomic resources have enabled systematic comparisons between molecular profiles and drug-response phenotypes [1,2,3,4,5]. These screens provide useful experimental systems for studying response-associated patterns, but their dose ranges, assay procedures, and response summaries are not interchangeable. Cross-study analyses have documented that performance can change when models move between screens, while recent benchmarking studies emphasize evaluation design, response metrics, and comparisons with simple baselines [3,6,7,8,9,10]. Accordingly, a model that predicts a cell-line screen outcome should be interpreted as a predictor of that experimental endpoint unless tested against an independent biological or clinical outcome [11].</w:t>
      </w:r>
    </w:p>
    <w:p>
      <w:pPr>
        <w:keepNext w:val="false"/>
        <w:spacing w:after="120" w:before="0" w:line="480"/>
      </w:pPr>
      <w:r>
        <w:rPr>
          <w:rFonts w:ascii="Times New Roman" w:cs="Times New Roman" w:eastAsia="Times New Roman" w:hAnsi="Times New Roman"/>
          <w:sz w:val="24"/>
          <w:szCs w:val="24"/>
        </w:rPr>
        <w:t xml:space="preserve">Within-sample relative expression ordering (REO) represents the sign of the expression difference between two genes in the same sample. Because a common strictly monotone transformation preserves order, pairwise order can be less sensitive than absolute values to some sample-wide scale changes. REO-based methods and qualitative signatures have been applied to differential-expression inference and treatment-response or resistance classification [12,13,14,15,16,17,18]. Those studies motivate evaluation of order-based representations, but their settings include differential-expression tasks and patient-level categorical signatures; they do not establish that pair features improve continuous drug-response prediction in cell lines. In addition, encoding all pairs among 200 genes produces up to 19,900 features and discards expression magnitude. The resulting model may therefore behave differently from either a 200-dimensional rank model or a continuous-expression model, even though a rank vector and its complete pair expansion encode the same within-sample ordering.</w:t>
      </w:r>
    </w:p>
    <w:p>
      <w:pPr>
        <w:keepNext w:val="false"/>
        <w:spacing w:after="120" w:before="0" w:line="480"/>
      </w:pPr>
      <w:r>
        <w:rPr>
          <w:rFonts w:ascii="Times New Roman" w:cs="Times New Roman" w:eastAsia="Times New Roman" w:hAnsi="Times New Roman"/>
          <w:sz w:val="24"/>
          <w:szCs w:val="24"/>
        </w:rPr>
        <w:t xml:space="preserve">High-dimensional biological prediction can be biased when outcome-informed feature selection, preprocessing, or tuning uses information from held-out observations. Guidance and empirical studies recommend nesting all learned steps within training partitions, respecting related sample identities, reporting uncertainty appropriate to the independent unit, and making the information flow auditable [19,20,21,22,23]. Nested validation alone does not establish useful generalization: finite-sample variability, tissue composition, endpoint definition, model complexity, and the choice of baseline also matter [7,8,9,10,21]. These concerns are especially relevant when feature selection itself is response-associated. Prior benchmarks already motivate careful baselines and explicit prediction targets [7,8]. Our narrower contribution is a matched candidate-policy-by-representation comparison under the same tissue-adjusted learning rule, with audits of when a nominal molecular predictor reduces to its covariate reference.</w:t>
      </w:r>
    </w:p>
    <w:p>
      <w:pPr>
        <w:keepNext w:val="false"/>
        <w:spacing w:after="120" w:before="0" w:line="480"/>
      </w:pPr>
      <w:r>
        <w:rPr>
          <w:rFonts w:ascii="Times New Roman" w:cs="Times New Roman" w:eastAsia="Times New Roman" w:hAnsi="Times New Roman"/>
          <w:sz w:val="24"/>
          <w:szCs w:val="24"/>
        </w:rPr>
        <w:t xml:space="preserve">Here, we evaluated whether a response-associated full gene-pair model added drug-ranking information beyond a strong 2,000-gene expression baseline in a fixed panel of eight compounds. We also compared expression, within-sample rank, and complete pair encodings within the same 200-gene candidate sets selected by either a training-only variability rule or a training-only response-association rule. A tissue-only reference was used to describe the contribution of tissue means; repeated nested cross-validation, leave-one-tissue-out analysis, zero-solution auditing, and one locked GDSC2-to-CTRPv2 cross-screen evaluation were used to characterize the scope and limitations of the comparisons. The study was designed as a comparative evaluation of a specified learning pipeline, not as a search for the best-performing drug subset or as a clinical prediction study.</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Methods</w:t>
      </w:r>
    </w:p>
    <w:p>
      <w:pPr>
        <w:keepNext w:val="false"/>
        <w:spacing w:after="120" w:before="0" w:line="480"/>
      </w:pPr>
      <w:r>
        <w:rPr>
          <w:rFonts w:ascii="Times New Roman" w:cs="Times New Roman" w:eastAsia="Times New Roman" w:hAnsi="Times New Roman"/>
          <w:sz w:val="24"/>
          <w:szCs w:val="24"/>
        </w:rPr>
        <w:t xml:space="preserve">Machine-readable supporting tables are supplied as Additional files 1–13 (Tables S1–S13). Additional file 14 provides supplementary methods and complete descriptive synthetic-control results.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Study design and estimands</w:t>
      </w:r>
    </w:p>
    <w:p>
      <w:pPr>
        <w:keepNext w:val="false"/>
        <w:spacing w:after="120" w:before="0" w:line="480"/>
      </w:pPr>
      <w:r>
        <w:rPr>
          <w:rFonts w:ascii="Times New Roman" w:cs="Times New Roman" w:eastAsia="Times New Roman" w:hAnsi="Times New Roman"/>
          <w:sz w:val="24"/>
          <w:szCs w:val="24"/>
        </w:rPr>
        <w:t xml:space="preserve">This was a retrospective computational comparison of continuous drug-response prediction models in cancer cell lines. The primary question was whether a training-fold response-associated gene-pair model improved drug-wise response ranking over a strong expression baseline across a fixed panel of eight compounds. Secondary questions compared expression, within-sample rank, and full pair encodings within matched 200-gene candidate sets; quantified performance relative to a tissue-only reference; described zero molecular solutions and tissue-held-out behavior; and evaluated transfer of fixed models from GDSC2 to CTRPv2.</w:t>
      </w:r>
    </w:p>
    <w:p>
      <w:pPr>
        <w:keepNext w:val="false"/>
        <w:spacing w:after="120" w:before="0" w:line="480"/>
      </w:pPr>
      <w:r>
        <w:rPr>
          <w:rFonts w:ascii="Times New Roman" w:cs="Times New Roman" w:eastAsia="Times New Roman" w:hAnsi="Times New Roman"/>
          <w:sz w:val="24"/>
          <w:szCs w:val="24"/>
        </w:rPr>
        <w:t xml:space="preserve">The eight-compound panel was carried forward from the project's identity-, coverage-, and dose-metadata-frozen panel. The panel was not altered according to results of the current repeated evaluation or CTRPv2 evaluation. However, the formulation of the candidate-selection and representation hypotheses was informed by earlier project analyses. Accordingly, the current repeated evaluation is a prespecified, outcome-informed development comparison, not an independent confirmatory study. The CTRPv2 evaluation was locked before its response values were opened by the new evaluation workflow and executed once; CTRPv2 had nevertheless appeared in an earlier manuscript, so the evaluation is not prospectively blind in the history of the project.</w:t>
      </w:r>
    </w:p>
    <w:p>
      <w:pPr>
        <w:keepNext w:val="false"/>
        <w:spacing w:after="120" w:before="0" w:line="480"/>
      </w:pPr>
      <w:r>
        <w:rPr>
          <w:rFonts w:ascii="Times New Roman" w:cs="Times New Roman" w:eastAsia="Times New Roman" w:hAnsi="Times New Roman"/>
          <w:sz w:val="24"/>
          <w:szCs w:val="24"/>
        </w:rPr>
        <w:t xml:space="preserve">The cohorts, nested partitions, model arms, and evaluation boundaries are summarized in Figure 1.</w:t>
      </w:r>
    </w:p>
    <w:p>
      <w:pPr>
        <w:keepNext/>
        <w:spacing w:after="80" w:before="120" w:line="240"/>
        <w:jc w:val="center"/>
      </w:pPr>
      <w:r>
        <w:drawing>
          <wp:inline distT="0" distB="0" distL="0" distR="0">
            <wp:extent cx="5619750" cy="2286000"/>
            <wp:effectExtent t="0" r="0" b="0" l="0"/>
            <wp:docPr id="1" name="Figure1_study_design.png" descr="Figure 1. Study design and evaluation boundaries. GDSC2 continuous drug-response AUC and CCLE transcript-per-million expression were used for development across eight prespecified compounds. Cell-line identities were grouped when constructing repeated nested cross-validation folds; all supervised candidate selection, representation construction, and model tuning were restricted to the relevant training folds. Eight model arms comprised a tissue reference, a strong 2,000-gene expression model, and two candidate-selection rules crossed with expression, within-sample rank, and gene-pair representations. Full-development models were audited and generated CTRPv2 predictions before external response values were accessed. The development and external evaluations share the CCLE expression source; the external analysis is retrospective cross-screen ranking, not cross-expression-platform or clinical valida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286000"/>
                    </a:xfrm>
                    <a:prstGeom prst="rect">
                      <a:avLst/>
                    </a:prstGeom>
                  </pic:spPr>
                </pic:pic>
              </a:graphicData>
            </a:graphic>
          </wp:inline>
        </w:drawing>
      </w:r>
    </w:p>
    <w:p>
      <w:pPr>
        <w:keepLines/>
        <w:spacing w:after="160" w:line="300"/>
      </w:pPr>
      <w:r>
        <w:rPr>
          <w:rFonts w:ascii="Times New Roman" w:cs="Times New Roman" w:eastAsia="Times New Roman" w:hAnsi="Times New Roman"/>
          <w:sz w:val="20"/>
          <w:szCs w:val="20"/>
        </w:rPr>
        <w:t xml:space="preserve">Figure 1. Study design and evaluation boundaries. GDSC2 continuous drug-response AUC and CCLE transcript-per-million expression were used for development across eight prespecified compounds. Cell-line identities were grouped when constructing repeated nested cross-validation folds; all supervised candidate selection, representation construction, and model tuning were restricted to the relevant training folds. Eight model arms comprised a tissue reference, a strong 2,000-gene expression model, and two candidate-selection rules crossed with expression, within-sample rank, and gene-pair representations. Full-development models were audited and generated CTRPv2 predictions before external response values were accessed. The development and external evaluations share the CCLE expression source; the external analysis is retrospective cross-screen ranking, not cross-expression-platform or clinical validation.</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Data sources, expression measurements, and compound mapping</w:t>
      </w:r>
    </w:p>
    <w:p>
      <w:pPr>
        <w:keepNext w:val="false"/>
        <w:spacing w:after="120" w:before="0" w:line="480"/>
      </w:pPr>
      <w:r>
        <w:rPr>
          <w:rFonts w:ascii="Times New Roman" w:cs="Times New Roman" w:eastAsia="Times New Roman" w:hAnsi="Times New Roman"/>
          <w:sz w:val="24"/>
          <w:szCs w:val="24"/>
        </w:rPr>
        <w:t xml:space="preserve">Drug-response measurements for model development were taken from the frozen GDSC2 fitted dose-response release dated 27 October 2023 [5]. Gene expression was taken from the historical Cancer Cell Line Encyclopedia (CCLE) RSEM gene TPM matrix dated 29 September 2018 [1]. The expression matrix contained 1,019 models and 57,820 measured gene records before the project-specific identity and annotation mapping. The analysis used 19,836 uniquely mapped protein-coding stable Ensembl gene identifiers. Gene-expression values were used as TPM; no raw-count differential-expression analysis or DESeq2 step was part of the reconstructed pipeline. DepMap 24Q4 Model/README and Cell Model Passports metadata snapshots were used for identity and tissue mapping only [24,25]; their expression data were not mixed into the 2018 CCLE matrix. CTRPv2 response records used only in the locked external evaluation derive from the original CTRP screen [4].</w:t>
      </w:r>
    </w:p>
    <w:p>
      <w:pPr>
        <w:keepNext w:val="false"/>
        <w:spacing w:after="120" w:before="0" w:line="480"/>
      </w:pPr>
      <w:r>
        <w:rPr>
          <w:rFonts w:ascii="Times New Roman" w:cs="Times New Roman" w:eastAsia="Times New Roman" w:hAnsi="Times New Roman"/>
          <w:sz w:val="24"/>
          <w:szCs w:val="24"/>
        </w:rPr>
        <w:t xml:space="preserve">Expression gene records were annotated against the CCLE-matched gencode.v19 reference using complete versioned Ensembl identifiers: 56,238 of 57,820 source records matched. Only 19,836 explicitly protein-coding records entered modeling. The terminal numeric version was removed for stable feature identifiers without collapsing or averaging records; no duplicate resulting identifiers were found. Unmatched records were annotation-unresolved, not assigned a noncoding biotype. The reference filename, checksum, and annotation checks are in Additional file 14. The local source audit did not re-download the complete historical TPM matrix to establish byte-for-byte remote identity.</w:t>
      </w:r>
    </w:p>
    <w:p>
      <w:pPr>
        <w:keepNext w:val="false"/>
        <w:spacing w:after="120" w:before="0" w:line="480"/>
      </w:pPr>
      <w:r>
        <w:rPr>
          <w:rFonts w:ascii="Times New Roman" w:cs="Times New Roman" w:eastAsia="Times New Roman" w:hAnsi="Times New Roman"/>
          <w:sz w:val="24"/>
          <w:szCs w:val="24"/>
        </w:rPr>
        <w:t xml:space="preserve">Eight compounds were fixed by their GDSC2 identifiers: MIRA-1 (1931), PLX-4720 (1036), Bortezomib (1191), Telomerase Inhibitor IX (1930), Tamoxifen (1199), BMS-536924 (1091), Gefitinib (1010), and Cediranib (1922). Their CTRPv2 compound identifiers and chemical-identity evidence are reported in Additional file 8 (Table S8). Name and structure cross-references, including Standard InChIKey matches where available, supported the compound mapping; this metadata match does not chemically authenticate the material used in either assay. GDSC2 and CTRPv2 concentration ranges differed and were not harmonized post hoc.</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Response outcome and analysis units</w:t>
      </w:r>
    </w:p>
    <w:p>
      <w:pPr>
        <w:keepNext w:val="false"/>
        <w:spacing w:after="120" w:before="0" w:line="480"/>
      </w:pPr>
      <w:r>
        <w:rPr>
          <w:rFonts w:ascii="Times New Roman" w:cs="Times New Roman" w:eastAsia="Times New Roman" w:hAnsi="Times New Roman"/>
          <w:sz w:val="24"/>
          <w:szCs w:val="24"/>
        </w:rPr>
        <w:t xml:space="preserve">The continuous outcome was the source-reported fitted dose-response area under the curve (AUC), analyzed on the source AUC scale without dichotomization or response thresholds. Training-only target standardization was inverted for evaluation. Under the GDSC documentation's viability-curve convention, a larger AUC corresponds to greater residual viability across tested concentrations and thus lower in-vitro drug sensitivity [26]. The analysis unit was a canonical cell-line biological group for one compound. Related or duplicate model identities were grouped before data splitting so that a biological group could not occur in both training and test partitions. Each eligible group contributed at most one response record per compound after the frozen cohort curation rules.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Cohort curation and eligibility</w:t>
      </w:r>
    </w:p>
    <w:p>
      <w:pPr>
        <w:keepNext w:val="false"/>
        <w:spacing w:after="120" w:before="0" w:line="480"/>
      </w:pPr>
      <w:r>
        <w:rPr>
          <w:rFonts w:ascii="Times New Roman" w:cs="Times New Roman" w:eastAsia="Times New Roman" w:hAnsi="Times New Roman"/>
          <w:sz w:val="24"/>
          <w:szCs w:val="24"/>
        </w:rPr>
        <w:t xml:space="preserve">Cell-line identities were reconciled by authoritative exact CCLE, Broad/DepMap, Sanger, and COSMIC cross-references; ambiguous identities were not resolved by name similarity. Common biological groups used Broad same-tissue-sample PatientID, Sanger patient links, and known parent/derivative relationships. Broad PatientID does not establish a complete patient genealogy. The cancer-focused cohort-v2 rules excluded explicit Non-Cancerous annotations and quarantined missing or Unknown disease annotations unless exact-ID cancer provenance was established. One exception, HCC1588 (ACH-001078; CVCL_A351; SIDM01820), was retained with concordant cancer-cell-line evidence. This metadata amendment followed a development-only pilot and preceded external response access by the reconstructed workflow. Tissue names were canonicalized by exact case-insensitive vocabulary matching.</w:t>
      </w:r>
    </w:p>
    <w:p>
      <w:pPr>
        <w:keepNext w:val="false"/>
        <w:spacing w:after="120" w:before="0" w:line="480"/>
      </w:pPr>
      <w:r>
        <w:rPr>
          <w:rFonts w:ascii="Times New Roman" w:cs="Times New Roman" w:eastAsia="Times New Roman" w:hAnsi="Times New Roman"/>
          <w:sz w:val="24"/>
          <w:szCs w:val="24"/>
        </w:rPr>
        <w:t xml:space="preserve">The primary CTRPv2 cohort required SNP-matched-reference identity status and excluded all known GDSC2 and related biological groups, including candidate identities in unresolved mappings, rather than only groups observed for the eight drugs. A separate list of unconfirmed/untested SNP identities does not constitute an evaluated sensitivity cohort or evidence of misidentification. The fixed panel met cohort-v2 feasibility minima of 200 development and 80 primary external groups per drug; these are not power guarantees. The original cohort-v1 minimum was 50 external groups with a preferred 80-group pool, from which all eight were selected. Cohort-v2 yielded 626 development groups and 4,967 drug–group responses, and 175 external groups and 1,185 responses after prespecified within-compound/group median aggregation. Counts are in Table 1; exact identity and exclusion rules, historical coverage ordering, and per-compound dose-window selection are in Additional file 14.</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Candidate-gene selection and molecular representations</w:t>
      </w:r>
    </w:p>
    <w:p>
      <w:pPr>
        <w:keepNext w:val="false"/>
        <w:spacing w:after="120" w:before="0" w:line="480"/>
      </w:pPr>
      <w:r>
        <w:rPr>
          <w:rFonts w:ascii="Times New Roman" w:cs="Times New Roman" w:eastAsia="Times New Roman" w:hAnsi="Times New Roman"/>
          <w:sz w:val="24"/>
          <w:szCs w:val="24"/>
        </w:rPr>
        <w:t xml:space="preserve">Every learned operation, including detection filtering, candidate selection, representation construction, scaling, tissue adjustment, regularization-path calculation, and hyperparameter selection, was repeated using only the training rows of the relevant inner fit. The outer test fold was used once for evaluation and did not contribute to feature selection or tuning.</w:t>
      </w:r>
    </w:p>
    <w:p>
      <w:pPr>
        <w:keepNext w:val="false"/>
        <w:spacing w:after="120" w:before="0" w:line="480"/>
      </w:pPr>
      <w:r>
        <w:rPr>
          <w:rFonts w:ascii="Times New Roman" w:cs="Times New Roman" w:eastAsia="Times New Roman" w:hAnsi="Times New Roman"/>
          <w:sz w:val="24"/>
          <w:szCs w:val="24"/>
        </w:rPr>
        <w:t xml:space="preserve">Within each training fit, a gene was considered detected if its raw TPM was at least 1 in at least 10% of training samples. The median-absolute-deviation (MAD) rule selected genes with non-zero MAD in log2(TPM+1), ordered by decreasing MAD and then stable Ensembl identifier for ties. The response-association rule first centered log2(TPM+1) and the continuous AUC outcome within each training tissue. Among detected genes with non-zero within-tissue expression residual variance, genes were ranked by the absolute Pearson correlation between their tissue-centered expression and tissue-centered response. Stable Ensembl identifiers broke exact ties. No second MAD ranking was applied. If the training response was exactly constant within every tissue, all eligible genes received a score of zero and were ordered by stable identifier. Both candidate rules selected up to 200 genes for the matched-budget comparisons. The strong-expression baseline selected up to 2,000 genes by the same training-only detection and MAD policy.</w:t>
      </w:r>
    </w:p>
    <w:p>
      <w:pPr>
        <w:keepNext w:val="false"/>
        <w:spacing w:after="120" w:before="0" w:line="480"/>
      </w:pPr>
      <w:r>
        <w:rPr>
          <w:rFonts w:ascii="Times New Roman" w:cs="Times New Roman" w:eastAsia="Times New Roman" w:hAnsi="Times New Roman"/>
          <w:sz w:val="24"/>
          <w:szCs w:val="24"/>
        </w:rPr>
        <w:t xml:space="preserve">For each selected 200-gene set, three representations were evaluated. The expression representation used log2(TPM+1). The rank representation assigned each sample average midranks among the selected genes, using the raw TPM ordering and exact ties. The full pair representation included every unordered pair of selected genes, with orientation determined by ascending stable Ensembl identifier; each feature was +1 when the first gene's raw TPM exceeded the second, −1 when it was lower, and 0 for an exact tie. At 200 genes this yields at most 19,900 pair features. Constant and high-tie pairs were retained. The rank vector and complete pair vector encode the same within-set order information, but their linear predictors and elastic-net penalties differ because the pair encoding expands that information into a larger, correlated feature space.</w:t>
      </w:r>
    </w:p>
    <w:p>
      <w:pPr>
        <w:keepNext w:val="false"/>
        <w:spacing w:after="120" w:before="0" w:line="480"/>
      </w:pPr>
      <w:r>
        <w:rPr>
          <w:rFonts w:ascii="Times New Roman" w:cs="Times New Roman" w:eastAsia="Times New Roman" w:hAnsi="Times New Roman"/>
          <w:sz w:val="24"/>
          <w:szCs w:val="24"/>
        </w:rPr>
        <w:t xml:space="preserve">All molecular inputs had to be complete, finite, non-negative float64 TPM values. No missing-value imputation or post hoc clipping was used. A structural expression-schema mismatch was treated as a hard failure; a sample with invalid molecular TPM was not silently imputed. No such molecular abstentions occurred in the locked external evaluation.</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Prediction models and hyperparameter selection</w:t>
      </w:r>
    </w:p>
    <w:p>
      <w:pPr>
        <w:keepNext w:val="false"/>
        <w:spacing w:after="120" w:before="0" w:line="480"/>
      </w:pPr>
      <w:r>
        <w:rPr>
          <w:rFonts w:ascii="Times New Roman" w:cs="Times New Roman" w:eastAsia="Times New Roman" w:hAnsi="Times New Roman"/>
          <w:sz w:val="24"/>
          <w:szCs w:val="24"/>
        </w:rPr>
        <w:t xml:space="preserve">Eight model arms were evaluated: (1) a tissue-only reference, which predicted the mean training AUC for the observed tissue and the overall training mean for an unseen tissue; (2) a strong expression elastic-net model using up to 2,000 MAD-selected genes; and (3–8) the two candidate-selection rules crossed with the three matched 200-gene representations.</w:t>
      </w:r>
    </w:p>
    <w:p>
      <w:pPr>
        <w:keepNext w:val="false"/>
        <w:spacing w:after="120" w:before="0" w:line="480"/>
      </w:pPr>
      <w:r>
        <w:rPr>
          <w:rFonts w:ascii="Times New Roman" w:cs="Times New Roman" w:eastAsia="Times New Roman" w:hAnsi="Times New Roman"/>
          <w:sz w:val="24"/>
          <w:szCs w:val="24"/>
        </w:rPr>
        <w:t xml:space="preserve">For each molecular arm, features were constructed before standardization and tissue adjustment. A training-only standard scaler was fit to molecular features, and the current training outcome was standardized. Tissue one-hot effects were unpenalized. The molecular design and outcome were projected onto the orthogonal complement of the training tissue design by Frisch–Waugh–Lovell residualization; an elastic net without intercept was fit to these residuals. Prediction restored the training target mean and scale after combining the molecular and tissue components. For an unseen tissue the one-hot vector was zero: prediction was the training overall mean plus any retained molecular contribution, not a zero AUC. With zero molecular coefficients, this matched the tissue reference's observed-tissue mean/unseen-tissue overall-mean policy. The prediction identity is given in Additional file 14.</w:t>
      </w:r>
    </w:p>
    <w:p>
      <w:pPr>
        <w:keepNext w:val="false"/>
        <w:spacing w:after="120" w:before="0" w:line="480"/>
      </w:pPr>
      <w:r>
        <w:rPr>
          <w:rFonts w:ascii="Times New Roman" w:cs="Times New Roman" w:eastAsia="Times New Roman" w:hAnsi="Times New Roman"/>
          <w:sz w:val="24"/>
          <w:szCs w:val="24"/>
        </w:rPr>
        <w:t xml:space="preserve">The elastic-net grid contained five alpha ratios (1, 0.3, 0.1, 0.03, and 0.01) crossed with L1 ratios 0.5 and 1. For each individual training fit, alpha_max was recomputed from that fit's tissue-residualized features and outcome as max|Zrᵀyr|/(n × L1 ratio); the candidate alpha was the selected ratio multiplied by alpha_max. Models used cyclic coordinate descent with a maximum of 4,000 iterations and tolerance 0.001. Hyperparameters were selected by the lowest pooled inner out-of-fold RMSE on the original AUC scale; exact ties were resolved by the first candidate in the frozen grid order. The ratio-1 endpoint was the analytic zero-molecular-coefficient solution and was retained as a legitimate candidate. Zero molecular coefficients were not considered a fit failure: the tissue component remained in the prediction. Predictions were not clipped to the [0,1] interval.</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Repeated nested cross-validation</w:t>
      </w:r>
    </w:p>
    <w:p>
      <w:pPr>
        <w:keepNext w:val="false"/>
        <w:spacing w:after="120" w:before="0" w:line="480"/>
      </w:pPr>
      <w:r>
        <w:rPr>
          <w:rFonts w:ascii="Times New Roman" w:cs="Times New Roman" w:eastAsia="Times New Roman" w:hAnsi="Times New Roman"/>
          <w:sz w:val="24"/>
          <w:szCs w:val="24"/>
        </w:rPr>
        <w:t xml:space="preserve">Development used five outer folds repeated three times, with three inner folds. StratifiedGroupKFold(shuffle=True) used tissue strata and biological-group identities on the canonical-model-sorted 626-group table. Outer seeds were 20261013, 20261014, and 20261015; inner seeds were repeat_seed + 100 + zero-based outer fold. The global assignments were intersected with each compound's eligible records and shared by all arms. Group separation and exactly-once validation coverage were checked. Rare strata of one or two groups produced three outer and fifteen inner split-preparation warnings; frozen partitions were retained without score-based exclusions or reassignment. These are distinct from solver warnings. Candidate selection, feature construction, scaling, tissue adjustment, and alpha_max were rebuilt in every inner-training fit. The lowest pooled inner-OOF RMSE selected the hyperparameters, followed by one refit on all outer-training data and one held-out evaluation. The tissue reference required one fit and no tuning.</w:t>
      </w:r>
    </w:p>
    <w:p>
      <w:pPr>
        <w:keepNext w:val="false"/>
        <w:spacing w:after="120" w:before="0" w:line="480"/>
      </w:pPr>
      <w:r>
        <w:rPr>
          <w:rFonts w:ascii="Times New Roman" w:cs="Times New Roman" w:eastAsia="Times New Roman" w:hAnsi="Times New Roman"/>
          <w:sz w:val="24"/>
          <w:szCs w:val="24"/>
        </w:rPr>
        <w:t xml:space="preserve">This design generated 960 outer tasks (eight compounds × eight model arms × 15 outer folds), 26,160 successful fit events, and 119,208 outer-fold predictions. Repeats reused the same biological groups under different partitions and were not treated as additional independent samples.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Full-development models and locked CTRPv2 evaluation</w:t>
      </w:r>
    </w:p>
    <w:p>
      <w:pPr>
        <w:keepNext w:val="false"/>
        <w:spacing w:after="120" w:before="0" w:line="480"/>
      </w:pPr>
      <w:r>
        <w:rPr>
          <w:rFonts w:ascii="Times New Roman" w:cs="Times New Roman" w:eastAsia="Times New Roman" w:hAnsi="Times New Roman"/>
          <w:sz w:val="24"/>
          <w:szCs w:val="24"/>
        </w:rPr>
        <w:t xml:space="preserve">After the development comparison, 64 full-development models were trained with a shared three-fold StratifiedGroupKFold assignment on the sorted 626-group table (seed 2026101501), intersected with each drug's records. One rare-stratum warning was recorded. The same grid, training-only feature pipeline, and pooled inner-OOF RMSE objective were retained. The 1,744 fit events included inner candidates and all-development refits. Artifacts were reloaded in an independent process and checked against locked source and prediction audits. Response-free CTRPv2 predictions were generated and locked before the reconstructed evaluation workflow accessed external response values. Structural schema mismatches were hard failures; invalid individual molecular inputs triggered abstention rather than imputation. Exact schema, missingness, denominator, and abort rules are in Additional file 14.</w:t>
      </w:r>
    </w:p>
    <w:p>
      <w:pPr>
        <w:keepNext w:val="false"/>
        <w:spacing w:after="120" w:before="0" w:line="480"/>
      </w:pPr>
      <w:r>
        <w:rPr>
          <w:rFonts w:ascii="Times New Roman" w:cs="Times New Roman" w:eastAsia="Times New Roman" w:hAnsi="Times New Roman"/>
          <w:sz w:val="24"/>
          <w:szCs w:val="24"/>
        </w:rPr>
        <w:t xml:space="preserve">The single locked external evaluation matched predictions to CTRPv2 responses by compound and canonical cell-line group. For each compound, repeated CTRPv2 curve records for the same canonical group were collapsed by their median, yielding 1,185 valid drug–group responses from 1,201 source curve records. External comparisons were restricted to common groups for the two models in each paired contrast. The primary estimand was the within-drug Spearman correlation difference, response-association pair minus strong expression; the eight-drug macro was the strict equal-weight mean over the fixed eight compounds. A strict macro was not recalculated after omitting undefined drugs. All 9,480 planned compound-by-model predictions were finite and covered, with no abstentions. This analysis evaluates retrospective within-drug ranking transport from GDSC2 response labels to CTRPv2 response labels using the same CCLE expression source; it is neither cross-expression-platform validation nor clinical validation.</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Leave-one-tissue-out sensitivity analysis</w:t>
      </w:r>
    </w:p>
    <w:p>
      <w:pPr>
        <w:keepNext w:val="false"/>
        <w:spacing w:after="120" w:before="0" w:line="480"/>
      </w:pPr>
      <w:r>
        <w:rPr>
          <w:rFonts w:ascii="Times New Roman" w:cs="Times New Roman" w:eastAsia="Times New Roman" w:hAnsi="Times New Roman"/>
          <w:sz w:val="24"/>
          <w:szCs w:val="24"/>
        </w:rPr>
        <w:t xml:space="preserve">Each of the 23 metadata-defined tissues was held out in turn. For each held-out tissue, all groups from that tissue were excluded from model development; the same drug panel, model arms, training-only feature pipeline, three-fold inner tuning, and RMSE selection rule were used on the remaining tissues. The held-out tissue was treated as unseen by the model. The primary display grid comprised the ten tissues with at least 20 development groups for every compound, yielding 80 prespecified drug-by-tissue contrasts. A drug-specific strict mean required a defined contrast in all ten tissues, and the strict eight-drug macro required a defined strict mean for all eight drugs. Undefined correlations were preserved as NA; no available-cell mean was substituted for the strict macro. This was a sensitivity analysis without a new inferential family or confidence intervals.</w:t>
      </w:r>
    </w:p>
    <w:p>
      <w:pPr>
        <w:keepNext w:val="false"/>
        <w:spacing w:after="120" w:before="0" w:line="480"/>
      </w:pPr>
      <w:r>
        <w:rPr>
          <w:rFonts w:ascii="Times New Roman" w:cs="Times New Roman" w:eastAsia="Times New Roman" w:hAnsi="Times New Roman"/>
          <w:sz w:val="24"/>
          <w:szCs w:val="24"/>
        </w:rPr>
        <w:t xml:space="preserve">Held-out tissue names were sorted by Python Unicode order and indexed from zero; three-fold inner tuning used seed 2026101401 + tissue_index on each drug's remaining groups. Across 184 drug–tissue contexts, all emitted rare-stratum warnings (176 with one group; eight with two); group separation and validation coverage were verified. Before fitting, execution amendment v1.1 resolved a prose/config seed conflict in favor of the frozen machine value 2026101401. Subsequent logging and row-identity repairs produced completed execution v1.3 without changing models, seeds, grid, estimands, or scoring. The supplementary methods preserve the failed/repaired execution history.</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Performance metrics and statistical uncertainty</w:t>
      </w:r>
    </w:p>
    <w:p>
      <w:pPr>
        <w:keepNext w:val="false"/>
        <w:spacing w:after="120" w:before="0" w:line="480"/>
      </w:pPr>
      <w:r>
        <w:rPr>
          <w:rFonts w:ascii="Times New Roman" w:cs="Times New Roman" w:eastAsia="Times New Roman" w:hAnsi="Times New Roman"/>
          <w:sz w:val="24"/>
          <w:szCs w:val="24"/>
        </w:rPr>
        <w:t xml:space="preserve">For each drug, model, and repeat, Spearman correlation, RMSE, mean absolute error, and R² were calculated from the complete outer out-of-fold predictions on the original response scale. The three repeat-specific metric values were then averaged. Predictions were not averaged across repeats before ranking, and the repeated predictions were not concatenated to inflate the sample size. Drug-macro values were equal-weight averages over all eight drugs; if any prespecified drug or repeat component was undefined, the strict macro was reported as NA with the reason retained.</w:t>
      </w:r>
    </w:p>
    <w:p>
      <w:pPr>
        <w:keepNext w:val="false"/>
        <w:spacing w:after="120" w:before="0" w:line="480"/>
      </w:pPr>
      <w:r>
        <w:rPr>
          <w:rFonts w:ascii="Times New Roman" w:cs="Times New Roman" w:eastAsia="Times New Roman" w:hAnsi="Times New Roman"/>
          <w:sz w:val="24"/>
          <w:szCs w:val="24"/>
        </w:rPr>
        <w:t xml:space="preserve">The primary inferential family comprised nine Spearman contrasts: the primary REO-pair minus strong-expression contrast for each of eight drugs and the strict equal-drug macro. A separate 18-estimand family comprised pair-minus-expression contrasts within the MAD and response-association candidate rules, again for each drug and the equal-drug macro. Development intervals were percentile bootstrap intervals based on 10,000 shared resamples of the 626 biological groups, with the same group multiplicities applied across drugs, arms, and repeats. The family-adjusted intervals used Bonferroni-adjusted two-sided percentile limits at nominal family alpha 0.05. These intervals are conditional on the recorded out-of-fold predictions; they do not include uncertainty from repeating feature selection, tuning, or model fitting and are not guaranteed full-algorithm cross-validation coverage. The inferential families are adjusted separately and do not provide simultaneous coverage over every analysis in the study. Other model contrasts and performance metrics are descriptive with unadjusted conditional intervals.</w:t>
      </w:r>
    </w:p>
    <w:p>
      <w:pPr>
        <w:keepNext w:val="false"/>
        <w:spacing w:after="120" w:before="0" w:line="480"/>
      </w:pPr>
      <w:r>
        <w:rPr>
          <w:rFonts w:ascii="Times New Roman" w:cs="Times New Roman" w:eastAsia="Times New Roman" w:hAnsi="Times New Roman"/>
          <w:sz w:val="24"/>
          <w:szCs w:val="24"/>
        </w:rPr>
        <w:t xml:space="preserve">For the external evaluation, 20,000 shared bootstrap resamples were drawn from the 175 external biological groups. The same group weights were used across all drugs, arms, and paired contrasts. The primary family remained nine estimands and the matched-candidate representation family remained 18. Each of the 27 prespecified primary and matched pair-minus-expression contrast estimands had 20,000 valid draws. External intervals are conditional on the fitted full-development models and the observed external groups; they do not incorporate model-refitting uncertainty. Zero intervals caused by two identical zero-molecular predictions are algebraic identities and do not constitute evidence of equivalence or non-inferiority. No non-inferiority margin was specified, and no equivalence or non-inferiority test was performed. No new full-pipeline permutation test was run in this eight-drug analysis.</w:t>
      </w:r>
    </w:p>
    <w:p>
      <w:pPr>
        <w:keepNext w:val="false"/>
        <w:spacing w:after="120" w:before="0" w:line="480"/>
      </w:pPr>
      <w:r>
        <w:rPr>
          <w:rFonts w:ascii="Times New Roman" w:cs="Times New Roman" w:eastAsia="Times New Roman" w:hAnsi="Times New Roman"/>
          <w:sz w:val="24"/>
          <w:szCs w:val="24"/>
        </w:rPr>
        <w:t xml:space="preserve">Development used shared integer group-multiplicity draws from Generator(PCG64), seed 2026101602; tied midranks were recomputed under multiplicities, requiring total multiplicity at least two and nonconstant weighted ranks. External resampling used seed 2026101502 and required at least three distinct represented groups and nonconstant response/prediction for each correlation. Intervals required a defined point and at least 99% valid draws; no invalid draw was replaced. Percentiles used NumPy quantile(method='linear'), with adjusted tail probability 0.05/(2K). LOTO used a separate descriptive helper, requiring at least two held-out samples and nonconstant response and prediction. No undefined component was replaced by zero or omitted from a strict macro. Additional file 14 specifies the full conditional estimands and provenance limits.</w:t>
      </w:r>
    </w:p>
    <w:p>
      <w:pPr>
        <w:keepNext w:val="false"/>
        <w:spacing w:after="120" w:before="0" w:line="480"/>
      </w:pPr>
      <w:r>
        <w:rPr>
          <w:rFonts w:ascii="Times New Roman" w:cs="Times New Roman" w:eastAsia="Times New Roman" w:hAnsi="Times New Roman"/>
          <w:sz w:val="24"/>
          <w:szCs w:val="24"/>
        </w:rPr>
        <w:t xml:space="preserve">Additional files 9 and 10 consolidate existing absolute external metrics and matched representation contrasts. They add no resampling or inferential family. Existing absolute-rho intervals are available for five molecular arms at the drug level only. Development rank contrasts retain existing nominal, unadjusted descriptive intervals; external rank contrasts and absolute external macros have no precomputed intervals. Missing intervals remain NA, including tissue-reference and rank-arm absolute intervals. Their absence does not mean zero uncertainty.</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Finite synthetic implementation controls</w:t>
      </w:r>
    </w:p>
    <w:p>
      <w:pPr>
        <w:keepNext w:val="false"/>
        <w:spacing w:after="120" w:before="0" w:line="480"/>
      </w:pPr>
      <w:r>
        <w:rPr>
          <w:rFonts w:ascii="Times New Roman" w:cs="Times New Roman" w:eastAsia="Times New Roman" w:hAnsi="Times New Roman"/>
          <w:sz w:val="24"/>
          <w:szCs w:val="24"/>
        </w:rPr>
        <w:t xml:space="preserve">Four prespecified data-generating processes—tissue-only outcome, weak molecular signal, common sample amplitude, and predefined pair order—were each evaluated in ten separately generated cohorts. Each cohort had 240 independent synthetic groups, eight tissues of 30 groups, and 220 genes. The common-amplitude design held all within-sample orders identical; the pair-order design deliberately assigned signal to two lower-variance driver genes. The same eight arms used three outer folds and three inner folds, with training-only preprocessing and the same relative-alpha grid. Matched arms used 200 genes, while the nominal 2,000-gene strong arm actually used all 220 available genes. All 40 cohorts were retained. Cohort metrics and generation checks are in Tables S11 and S12; equations, RNG rules, execution provenance, and all scenario results are in Additional file 14. These were descriptive controls without inferential intervals, not a representation-neutral benchmark, real-data mechanism identification, or a substitute for full-pipeline real-label permutation. Actual synthetic runtime package versions were not separately recorded.</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Reproducibility and data governance</w:t>
      </w:r>
    </w:p>
    <w:p>
      <w:pPr>
        <w:keepNext w:val="false"/>
        <w:spacing w:after="120" w:before="0" w:line="480"/>
      </w:pPr>
      <w:r>
        <w:rPr>
          <w:rFonts w:ascii="Times New Roman" w:cs="Times New Roman" w:eastAsia="Times New Roman" w:hAnsi="Times New Roman"/>
          <w:sz w:val="24"/>
          <w:szCs w:val="24"/>
        </w:rPr>
        <w:t xml:space="preserve">Analyses were governed by versioned protocols, configurations, source hashes, cohort/execution locks, and result manifests. Scientific source snapshots were 5e54a693fe3a047c53b3d9e2dfeb7638ff1b9b43 (repeated development), fedc745940374b6870cb6c4bcb66ec8f731ded27 (completed LOTO v1.3), and ca0f837ac10665ab8d4d6ab97691e58e5bed4577 (final models/external execution); these bind scientific files rather than necessarily the mutable dispatch HEAD. All three fitting stages recorded Python 3.12.14, NumPy 2.3.5, pandas 3.0.1, SciPy 1.16.2, scikit-learn 1.7.2, and psutil 7.1.0. Stage-specific recorded and unrecorded fields are explicit in Table S13. In particular, the development-bootstrap analyzer environment and actual synthetic-run package snapshot were not separately logged and are not inferred from the plotting or current audit environment.</w:t>
      </w:r>
    </w:p>
    <w:p>
      <w:pPr>
        <w:keepNext w:val="false"/>
        <w:spacing w:after="120" w:before="0" w:line="480"/>
      </w:pPr>
      <w:r>
        <w:rPr>
          <w:rFonts w:ascii="Times New Roman" w:cs="Times New Roman" w:eastAsia="Times New Roman" w:hAnsi="Times New Roman"/>
          <w:sz w:val="24"/>
          <w:szCs w:val="24"/>
        </w:rPr>
        <w:t xml:space="preserve">The repository contains source versions, download/accession provenance, code, aggregate results, figure/table scripts, checksums, and recorded environment metadata. Sample-level CTRPv2 responses, group bootstrap weights, individual predictions, and fitted checkpoints are excluded from the public repository. Reproduction from source data requires the documented identity/annotation and environment records; current public checks verify aggregate consistency rather than independently reproducing fitted predictions. Upstream terms remain applicable and are not replaced by the repository code license. Final dataset access statements, release identifiers, and permitted data/model-access arrangements remain to be completed before submission.</w:t>
      </w:r>
    </w:p>
    <w:p>
      <w:pPr>
        <w:keepNext w:val="false"/>
        <w:spacing w:after="120" w:before="0" w:line="480"/>
      </w:pPr>
      <w:r>
        <w:rPr>
          <w:rFonts w:ascii="Times New Roman" w:cs="Times New Roman" w:eastAsia="Times New Roman" w:hAnsi="Times New Roman"/>
          <w:b/>
          <w:bCs/>
          <w:color w:val="A00000"/>
          <w:sz w:val="22"/>
          <w:szCs w:val="22"/>
        </w:rPr>
        <w:t xml:space="preserve">[AUTHOR INPUT REQUIRED: Confirm the generative-AI disclosure required by the journal. OpenAI Codex assisted with restructuring and drafting/editing this working manuscript and with reference and file-format checks. Authors must confirm the accurate scope, whether code-development assistance also requires disclosure, the required tool/model/version details, and final wording. Do not submit this placeholder.]</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Results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Cohort composition and evaluation coverage</w:t>
      </w:r>
    </w:p>
    <w:p>
      <w:pPr>
        <w:keepNext w:val="false"/>
        <w:spacing w:after="120" w:before="0" w:line="480"/>
      </w:pPr>
      <w:r>
        <w:rPr>
          <w:rFonts w:ascii="Times New Roman" w:cs="Times New Roman" w:eastAsia="Times New Roman" w:hAnsi="Times New Roman"/>
          <w:sz w:val="24"/>
          <w:szCs w:val="24"/>
        </w:rPr>
        <w:t xml:space="preserve">The development cohort comprised 626 unique biological groups and 4,967 drug–group response observations. The per-compound development sample counts ranged from 620 to 625 groups. Counts across compounds are not additive unique-cell-line counts because the same biological group can contribute responses to multiple compounds. The CTRPv2 cohort contained 175 non-overlapping external groups and 1,185 valid drug–group responses after median aggregation of 1,201 source curve records. The number of common external groups for the primary paired comparison ranged from 82 for Cediranib to 169 for Bortezomib; every drug met the prespecified minimum of 80. The complete drug identity and cohort counts are in Table 1 and Additional file 8 (Table S8).</w:t>
      </w:r>
    </w:p>
    <w:p>
      <w:pPr>
        <w:keepNext/>
        <w:spacing w:after="160" w:before="100" w:line="360"/>
      </w:pPr>
      <w:r>
        <w:rPr>
          <w:rFonts w:ascii="Times New Roman" w:cs="Times New Roman" w:eastAsia="Times New Roman" w:hAnsi="Times New Roman"/>
          <w:sz w:val="20"/>
          <w:szCs w:val="20"/>
        </w:rPr>
        <w:t xml:space="preserve">Table 1. Drug identities and cell-line group counts in the development and external screens. Per-drug counts refer to eligible GDSC2 development groups and CTRPv2 groups with valid aggregated drug-response measurements. Eligible CTRPv2 curve records are shown separately from the per-cell-line response count because replicate curves were aggregated by median. The final row reports across-drug unique cell-line groups separately from drug–model response records; per-drug counts must not be summed and interpreted as unique cell lines.</w:t>
      </w:r>
    </w:p>
    <w:tbl>
      <w:tblPr>
        <w:tblW w:type="dxa" w:w="9026"/>
        <w:tblBorders>
          <w:top w:val="single" w:color="808080" w:sz="2"/>
          <w:left w:val="single" w:color="808080" w:sz="2"/>
          <w:bottom w:val="single" w:color="808080" w:sz="2"/>
          <w:right w:val="single" w:color="808080" w:sz="2"/>
          <w:insideH w:val="single" w:color="808080" w:sz="2"/>
          <w:insideV w:val="single" w:color="808080" w:sz="2"/>
        </w:tblBorders>
      </w:tblPr>
      <w:tblGrid>
        <w:gridCol w:w="1500"/>
        <w:gridCol w:w="900"/>
        <w:gridCol w:w="2050"/>
        <w:gridCol w:w="900"/>
        <w:gridCol w:w="3676"/>
      </w:tblGrid>
      <w:tr>
        <w:trPr>
          <w:tblHeader/>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Compound</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GDSC2 ID</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Development groups / responses</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CTRPv2 ID</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External groups / responses / source curves</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MIRA-1</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1931</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625 / 625</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580922</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108 / 108 / 109</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PLX-4720</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1036</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622 / 622</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606256</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167 / 167 / 169</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Bortezomib</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1191</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411737</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169 / 169 / 172</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Telomerase Inhibitor IX</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1930</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411865</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168 / 168 / 170</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Tamoxifen</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1199</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26972</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165 / 165 / 167</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BMS-536924</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1091</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411859</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165 / 165 / 168</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Gefitinib</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1010</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52926</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161 / 161 / 163</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Cediranib</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1922</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606136</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82 / 82 / 83</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All eight compounds</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626 / 4967</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175 / 1185 / 1201</w:t>
            </w:r>
          </w:p>
        </w:tc>
      </w:tr>
    </w:tbl>
    <w:p>
      <w:pPr>
        <w:spacing w:after="220" w:line="300"/>
      </w:pPr>
      <w:r>
        <w:rPr>
          <w:rFonts w:ascii="Times New Roman" w:cs="Times New Roman" w:eastAsia="Times New Roman" w:hAnsi="Times New Roman"/>
          <w:i/>
          <w:iCs/>
          <w:sz w:val="18"/>
          <w:szCs w:val="18"/>
        </w:rPr>
        <w:t xml:space="preserve">Note:</w:t>
      </w:r>
      <w:r>
        <w:rPr>
          <w:rFonts w:ascii="Times New Roman" w:cs="Times New Roman" w:eastAsia="Times New Roman" w:hAnsi="Times New Roman"/>
          <w:sz w:val="18"/>
          <w:szCs w:val="18"/>
        </w:rPr>
        <w:t xml:space="preserve"> Development groups and external groups are independent biological groups; response-record counts are drug–model observations. Per-drug counts overlap across compounds and must not be summed as unique cell lines. CTRPv2 source curves are shown separately from median-aggregated responses.</w:t>
      </w:r>
    </w:p>
    <w:p>
      <w:pPr>
        <w:keepNext w:val="false"/>
        <w:spacing w:after="120" w:before="0" w:line="480"/>
      </w:pPr>
      <w:r>
        <w:rPr>
          <w:rFonts w:ascii="Times New Roman" w:cs="Times New Roman" w:eastAsia="Times New Roman" w:hAnsi="Times New Roman"/>
          <w:sz w:val="24"/>
          <w:szCs w:val="24"/>
        </w:rPr>
        <w:t xml:space="preserve">The repeated nested development evaluation completed all 960 outer tasks, 26,160 fit events, and 119,208 outer predictions. No solver warnings or fallback fits were recorded. The CTRPv2 evaluation generated finite predictions for all 9,480 planned compound-by-model rows, with zero abstentions. The external comparison therefore had complete prediction coverage under the frozen eligibility rules.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REO-pair versus strong-expression performance in development</w:t>
      </w:r>
    </w:p>
    <w:p>
      <w:pPr>
        <w:keepNext w:val="false"/>
        <w:spacing w:after="120" w:before="0" w:line="480"/>
      </w:pPr>
      <w:r>
        <w:rPr>
          <w:rFonts w:ascii="Times New Roman" w:cs="Times New Roman" w:eastAsia="Times New Roman" w:hAnsi="Times New Roman"/>
          <w:sz w:val="24"/>
          <w:szCs w:val="24"/>
        </w:rPr>
        <w:t xml:space="preserve">The primary equal-drug macro Spearman correlation was 0.2931 for the response-association pair model and 0.2990 for the strong 2,000-gene expression model. The prespecified difference, pair minus strong expression, was −0.00588 (family-9 Bonferroni-adjusted conditional interval, −0.01871 to 0.00661). Six of eight drug-specific point estimates were negative and two were positive; every drug-specific family-adjusted interval included zero. The macro difference was negative in all three repeated partitions (−0.00393, −0.00655, and −0.00716), which describes partition-level direction consistency but does not create three independent replications. The paired drug-wise and equal-drug estimates are shown in Figure 2.</w:t>
      </w:r>
    </w:p>
    <w:p>
      <w:pPr>
        <w:keepNext/>
        <w:spacing w:after="80" w:before="120" w:line="240"/>
        <w:jc w:val="center"/>
      </w:pPr>
      <w:r>
        <w:drawing>
          <wp:inline distT="0" distB="0" distL="0" distR="0">
            <wp:extent cx="5619750" cy="3543300"/>
            <wp:effectExtent t="0" r="0" b="0" l="0"/>
            <wp:docPr id="2" name="Figure2_development_primary.png" descr="Figure 2. Primary REO-pair versus strong-expression contrast in repeated nested development evaluation. Points show the drug-specific and equal-drug macro difference in Spearman correlation, defined as the response-association gene-pair model minus the strong 2,000-gene expression model, using out-of-fold predictions from five outer folds repeated three times. Bars show family-9 adjusted conditional bootstrap intervals based on the recorded out-of-fold predictions. Positive values favor the gene-pair model. Intervals are conditional on the recorded predictions and do not include a full repetition of feature selection, tuning, and model fitting."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543300"/>
                    </a:xfrm>
                    <a:prstGeom prst="rect">
                      <a:avLst/>
                    </a:prstGeom>
                  </pic:spPr>
                </pic:pic>
              </a:graphicData>
            </a:graphic>
          </wp:inline>
        </w:drawing>
      </w:r>
    </w:p>
    <w:p>
      <w:pPr>
        <w:keepLines/>
        <w:spacing w:after="160" w:line="300"/>
      </w:pPr>
      <w:r>
        <w:rPr>
          <w:rFonts w:ascii="Times New Roman" w:cs="Times New Roman" w:eastAsia="Times New Roman" w:hAnsi="Times New Roman"/>
          <w:sz w:val="20"/>
          <w:szCs w:val="20"/>
        </w:rPr>
        <w:t xml:space="preserve">Figure 2. Primary REO-pair versus strong-expression contrast in repeated nested development evaluation. Points show the drug-specific and equal-drug macro difference in Spearman correlation, defined as the response-association gene-pair model minus the strong 2,000-gene expression model, using out-of-fold predictions from five outer folds repeated three times. Bars show family-9 adjusted conditional bootstrap intervals based on the recorded out-of-fold predictions. Positive values favor the gene-pair model. Intervals are conditional on the recorded predictions and do not include a full repetition of feature selection, tuning, and model fitting.</w:t>
      </w:r>
    </w:p>
    <w:p>
      <w:pPr>
        <w:keepNext w:val="false"/>
        <w:spacing w:after="120" w:before="0" w:line="480"/>
      </w:pPr>
      <w:r>
        <w:rPr>
          <w:rFonts w:ascii="Times New Roman" w:cs="Times New Roman" w:eastAsia="Times New Roman" w:hAnsi="Times New Roman"/>
          <w:sz w:val="24"/>
          <w:szCs w:val="24"/>
        </w:rPr>
        <w:t xml:space="preserve">For the macro RMSE, the strong-expression model had 0.06217 and the REO-pair model had 0.06292. The paired improvement, defined as strong-expression RMSE minus pair RMSE, was −0.00075 (unadjusted conditional 95% interval, −0.00124 to −0.00028), favoring the strong-expression model on this error measure. The tissue-only macro Spearman was 0.2366; the descriptive response-association pair minus tissue-only difference was +0.05654 (unadjusted conditional interval, +0.04299 to +0.07004). The strong-expression minus tissue-only difference was +0.06242 (+0.04926 to +0.07577). These tissue-reference contrasts indicate that both molecular modeling pipelines can add ranking information over the tissue reference in this development evaluation, but they do not establish an REO-specific advantage. Drug-level results and all absolute metrics are reported in Table 2 and Additional files 3–5 (Tables S3–S5).</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Matched-candidate representation comparisons</w:t>
      </w:r>
    </w:p>
    <w:p>
      <w:pPr>
        <w:keepNext w:val="false"/>
        <w:spacing w:after="120" w:before="0" w:line="480"/>
      </w:pPr>
      <w:r>
        <w:rPr>
          <w:rFonts w:ascii="Times New Roman" w:cs="Times New Roman" w:eastAsia="Times New Roman" w:hAnsi="Times New Roman"/>
          <w:sz w:val="24"/>
          <w:szCs w:val="24"/>
        </w:rPr>
        <w:t xml:space="preserve">Within the MAD-selected 200-gene set, the equal-drug pair-minus-expression difference was −0.01765 (family-18 adjusted conditional interval, −0.03117 to −0.00406). Within the response-association-selected 200-gene set, the corresponding difference was −0.00225 (−0.01438 to +0.00949). Thus, in the fixed comparisons, full pair encoding did not outperform continuous expression on average within the same candidate-gene budget. The response-association pair-minus-expression interval included both negative and positive values; it does not establish equality or non-inferiority. The rank representation, all drug-specific estimates, and the other candidate-by-representation contrasts are retained in Additional files 3–5 (Tables S3–S5). The matched-candidate contrasts are summarized in Figure 3A.</w:t>
      </w:r>
    </w:p>
    <w:p>
      <w:pPr>
        <w:keepNext w:val="false"/>
        <w:spacing w:after="120" w:before="0" w:line="480"/>
      </w:pPr>
      <w:r>
        <w:rPr>
          <w:rFonts w:ascii="Times New Roman" w:cs="Times New Roman" w:eastAsia="Times New Roman" w:hAnsi="Times New Roman"/>
          <w:sz w:val="24"/>
          <w:szCs w:val="24"/>
        </w:rPr>
        <w:t xml:space="preserve">The response-association rule produced a descriptive macro difference of +0.05654 over the tissue-only reference, while the strong-expression model differed from the same reference by +0.06242. These results are consistent with molecular predictions adding ranking signal beyond tissue means in some parts of the evaluation, but the average increment was not specific to pair encoding. Candidate selection based on response-associated continuous expression was performed within training folds, yet the contrast remains conditional on the selected outcome-informed workflow.</w:t>
      </w:r>
    </w:p>
    <w:p>
      <w:pPr>
        <w:keepNext w:val="false"/>
        <w:spacing w:after="120" w:before="0" w:line="480"/>
      </w:pPr>
      <w:r>
        <w:rPr>
          <w:rFonts w:ascii="Times New Roman" w:cs="Times New Roman" w:eastAsia="Times New Roman" w:hAnsi="Times New Roman"/>
          <w:sz w:val="24"/>
          <w:szCs w:val="24"/>
        </w:rPr>
        <w:t xml:space="preserve">The rank arm further distinguishes order encoding from the complete pair expansion (Table S10). Under MAD selection, rank minus expression was −0.01244 (existing nominal conditional 95% interval, −0.01879 to −0.00622), and pair minus rank was −0.00521 (−0.01222 to +0.00181). Under response-associated selection, rank minus expression was +0.00441 (−0.00150 to +0.01030), and pair minus rank was −0.00666 (−0.01456 to +0.00103). These rank-related intervals are unadjusted descriptive summaries outside the two adjusted inferential families. They do not identify causal shares of amplitude loss, dimensional expansion, collinearity, or penalization.</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Zero molecular solutions and fitted-model status</w:t>
      </w:r>
    </w:p>
    <w:p>
      <w:pPr>
        <w:keepNext w:val="false"/>
        <w:spacing w:after="120" w:before="0" w:line="480"/>
      </w:pPr>
      <w:r>
        <w:rPr>
          <w:rFonts w:ascii="Times New Roman" w:cs="Times New Roman" w:eastAsia="Times New Roman" w:hAnsi="Times New Roman"/>
          <w:sz w:val="24"/>
          <w:szCs w:val="24"/>
        </w:rPr>
        <w:t xml:space="preserve">Among 840 molecular outer-fold fits, 430 returned the exact zero-molecular-coefficient solution. These fits were valid outputs of the prespecified elastic-net path, not failed computations. Across the 56 molecular full-development models, 29 had zero molecular coefficients. The resulting predictions retained the tissue component; they must not be interpreted as evidence that the model learned a molecular resistance signature. The remaining models had non-zero coefficients, which alone does not establish predictive utility or biological mechanism. No solver warning or fallback was recorded in the repeated development evaluation. The per-drug and per-arm audit is reported in Additional file 6 (Table S6). Figure 3B shows the molecular coefficient status of the full-development fits.</w:t>
      </w:r>
    </w:p>
    <w:p>
      <w:pPr>
        <w:keepNext/>
        <w:spacing w:after="80" w:before="120" w:line="240"/>
        <w:jc w:val="center"/>
      </w:pPr>
      <w:r>
        <w:drawing>
          <wp:inline distT="0" distB="0" distL="0" distR="0">
            <wp:extent cx="5619750" cy="2628900"/>
            <wp:effectExtent t="0" r="0" b="0" l="0"/>
            <wp:docPr id="3" name="Figure3_representation_and_zero_solutions.png" descr="Figure 3. Candidate-set representation contrasts and full-development molecular solutions. (A) Within each candidate-selection rule, the difference in Spearman correlation between the full gene-pair representation and expression using the same 200 candidate genes; “MAD” denotes selection by median absolute deviation and “response” denotes training-fold response-associated selection. Bars are family-18 adjusted conditional intervals from the repeated nested evaluation. (B) For each drug and molecular model arm fitted on the full development set, gray denotes zero nonzero molecular coefficients and teal denotes at least one nonzero molecular coefficient. This panel describes the final fitted models, not the frequency of zero solutions across outer folds; nonzero coefficients alone do not establish predictive utility or biological mechanis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628900"/>
                    </a:xfrm>
                    <a:prstGeom prst="rect">
                      <a:avLst/>
                    </a:prstGeom>
                  </pic:spPr>
                </pic:pic>
              </a:graphicData>
            </a:graphic>
          </wp:inline>
        </w:drawing>
      </w:r>
    </w:p>
    <w:p>
      <w:pPr>
        <w:keepLines/>
        <w:spacing w:after="160" w:line="300"/>
      </w:pPr>
      <w:r>
        <w:rPr>
          <w:rFonts w:ascii="Times New Roman" w:cs="Times New Roman" w:eastAsia="Times New Roman" w:hAnsi="Times New Roman"/>
          <w:sz w:val="20"/>
          <w:szCs w:val="20"/>
        </w:rPr>
        <w:t xml:space="preserve">Figure 3. Candidate-set representation contrasts and full-development molecular solutions. (A) Within each candidate-selection rule, the difference in Spearman correlation between the full gene-pair representation and expression using the same 200 candidate genes; “MAD” denotes selection by median absolute deviation and “response” denotes training-fold response-associated selection. Bars are family-18 adjusted conditional intervals from the repeated nested evaluation. (B) For each drug and molecular model arm fitted on the full development set, gray denotes zero nonzero molecular coefficients and teal denotes at least one nonzero molecular coefficient. This panel describes the final fitted models, not the frequency of zero solutions across outer folds; nonzero coefficients alone do not establish predictive utility or biological mechanism.</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Leave-one-tissue-out sensitivity</w:t>
      </w:r>
    </w:p>
    <w:p>
      <w:pPr>
        <w:keepNext w:val="false"/>
        <w:spacing w:after="120" w:before="0" w:line="480"/>
      </w:pPr>
      <w:r>
        <w:rPr>
          <w:rFonts w:ascii="Times New Roman" w:cs="Times New Roman" w:eastAsia="Times New Roman" w:hAnsi="Times New Roman"/>
          <w:sz w:val="24"/>
          <w:szCs w:val="24"/>
        </w:rPr>
        <w:t xml:space="preserve">Among the 80 prespecified drug-by-tissue cells in the ten-tissue display grid, 34 had a defined within-tissue Spearman difference for response-association pair minus strong expression. Only Telomerase Inhibitor IX and BMS-536924 had defined strict means across all ten tissues (−0.0124 and −0.0526, respectively). Because the other six drugs did not have fully defined ten-tissue means, the prespecified strict eight-drug macro was NA. We did not replace it with a mean over the 34 available cells. The defined and undefined cells are shown in Figure 4A. Full results for all 23 held-out tissues, including undefined correlations and model status, are in Additional files 1 and 7 (Tables S1 and S7).</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Locked CTRPv2 cross-screen evaluation</w:t>
      </w:r>
    </w:p>
    <w:p>
      <w:pPr>
        <w:keepNext w:val="false"/>
        <w:spacing w:after="120" w:before="0" w:line="480"/>
      </w:pPr>
      <w:r>
        <w:rPr>
          <w:rFonts w:ascii="Times New Roman" w:cs="Times New Roman" w:eastAsia="Times New Roman" w:hAnsi="Times New Roman"/>
          <w:sz w:val="24"/>
          <w:szCs w:val="24"/>
        </w:rPr>
        <w:t xml:space="preserve">The full-development response-association pair model had an equal-drug external Spearman correlation difference of −0.000372 relative to the strong-expression model (family-9 adjusted conditional interval, −0.04217 to +0.04350). Drug-specific point differences were heterogeneous: −0.0237 for Telomerase Inhibitor IX, +0.0303 for BMS-536924, −0.0372 for Gefitinib, +0.0270 for Cediranib, +0.0006 for Bortezomib, and exactly zero for MIRA-1, PLX-4720, and Tamoxifen. Every non-identical drug-specific family-adjusted interval included zero; the strict macro interval also included zero. The three exact zero differences occurred because both full-development models had zero molecular coefficients for those compounds, so their predictions were identical under the frozen implementation. These are not equivalence or non-inferiority results.</w:t>
      </w:r>
    </w:p>
    <w:p>
      <w:pPr>
        <w:keepNext w:val="false"/>
        <w:spacing w:after="120" w:before="0" w:line="480"/>
      </w:pPr>
      <w:r>
        <w:rPr>
          <w:rFonts w:ascii="Times New Roman" w:cs="Times New Roman" w:eastAsia="Times New Roman" w:hAnsi="Times New Roman"/>
          <w:sz w:val="24"/>
          <w:szCs w:val="24"/>
        </w:rPr>
        <w:t xml:space="preserve">Within the same 200-gene candidate set, the external MAD pair-minus-expression macro difference was +0.00782 (family-18 adjusted conditional interval, −0.01884 to +0.03450), and the response-association pair-minus-expression macro difference was −0.00671 (−0.02562 to +0.01369). Neither comparison showed a reliable average pair-encoding advantage. External intervals are conditional on the fixed models and sampled external groups; they do not account for model refitting. As GDSC2 and CTRPv2 share the CCLE expression source and differ in screening protocols and dose windows, these results describe retrospective cross-screen within-drug ranking transportability rather than independent transcriptomic-platform transfer, absolute AUC calibration, prospective validation, or patient-level clinical performance. Full estimates and common group counts are in Table 2 and Additional file 2 (Table S2). Figure 4B displays the external drug-wise and macro contrasts.</w:t>
      </w:r>
    </w:p>
    <w:p>
      <w:pPr>
        <w:keepNext/>
        <w:spacing w:after="80" w:before="120" w:line="240"/>
        <w:jc w:val="center"/>
      </w:pPr>
      <w:r>
        <w:drawing>
          <wp:inline distT="0" distB="0" distL="0" distR="0">
            <wp:extent cx="5619750" cy="2305050"/>
            <wp:effectExtent t="0" r="0" b="0" l="0"/>
            <wp:docPr id="4" name="Figure4_loto_and_external.png" descr="Figure 4. Defined leave-one-tissue-out contrasts and locked CTRPv2 cross-screen evaluation. (A) For each drug and each of the ten prespecified held-out tissues, teal marks a defined within-tissue Spearman difference between the response-association gene-pair model and the strong-expression model; gray marks an undefined difference. Counts at the left report the number of defined contrasts out of ten. Only 34 of 80 drug-by-tissue contrasts are defined, so the strict equal-drug macro is undefined. (B) Drug-specific and equal-drug macro differences in external Spearman correlation for the full-development response-association gene-pair model versus the strong-expression model; right-side labels give the number of shared external cell-line groups for each drug. Bars are family-9 adjusted conditional bootstrap intervals based on the locked models and external groups. Three drug-specific differences are exactly zero because both models have zero molecular coefficients. CTRPv2 is a retrospective external screen with the same CCLE expression input, not an independent expression-platform or clinical valida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305050"/>
                    </a:xfrm>
                    <a:prstGeom prst="rect">
                      <a:avLst/>
                    </a:prstGeom>
                  </pic:spPr>
                </pic:pic>
              </a:graphicData>
            </a:graphic>
          </wp:inline>
        </w:drawing>
      </w:r>
    </w:p>
    <w:p>
      <w:pPr>
        <w:keepLines/>
        <w:spacing w:after="160" w:line="300"/>
      </w:pPr>
      <w:r>
        <w:rPr>
          <w:rFonts w:ascii="Times New Roman" w:cs="Times New Roman" w:eastAsia="Times New Roman" w:hAnsi="Times New Roman"/>
          <w:sz w:val="20"/>
          <w:szCs w:val="20"/>
        </w:rPr>
        <w:t xml:space="preserve">Figure 4. Defined leave-one-tissue-out contrasts and locked CTRPv2 cross-screen evaluation. (A) For each drug and each of the ten prespecified held-out tissues, teal marks a defined within-tissue Spearman difference between the response-association gene-pair model and the strong-expression model; gray marks an undefined difference. Counts at the left report the number of defined contrasts out of ten. Only 34 of 80 drug-by-tissue contrasts are defined, so the strict equal-drug macro is undefined. (B) Drug-specific and equal-drug macro differences in external Spearman correlation for the full-development response-association gene-pair model versus the strong-expression model; right-side labels give the number of shared external cell-line groups for each drug. Bars are family-9 adjusted conditional bootstrap intervals based on the locked models and external groups. Three drug-specific differences are exactly zero because both models have zero molecular coefficients. CTRPv2 is a retrospective external screen with the same CCLE expression input, not an independent expression-platform or clinical validation.</w:t>
      </w:r>
    </w:p>
    <w:p>
      <w:pPr>
        <w:keepNext w:val="false"/>
        <w:spacing w:after="120" w:before="0" w:line="480"/>
      </w:pPr>
      <w:r>
        <w:rPr>
          <w:rFonts w:ascii="Times New Roman" w:cs="Times New Roman" w:eastAsia="Times New Roman" w:hAnsi="Times New Roman"/>
          <w:sz w:val="24"/>
          <w:szCs w:val="24"/>
        </w:rPr>
        <w:t xml:space="preserve">Absolute external ranking performance was descriptively non-zero: the strict equal-eight-drug mean correlation was 0.2284 for tissue, 0.2602 for strong expression, and 0.2599 for response-associated pair (Table S9). The near-zero primary contrast therefore does not show that all transferable predictive association disappeared. These absolute macros have no precomputed intervals, and the point difference from tissue is not a new inferential molecular-increment result. Table S9 includes every drug and arm, correlation, sample counts, and final zero-coefficient status; available drug-level absolute-rho intervals are transcribed from the original paired comparisons collectively involving five molecular arms. No interval was derived by subtracting endpoints or borrowed for identical predictions. Uncalibrated cross-screen RMSE and R-squared were not evaluated because the assay AUC scales and dose windows differ.</w:t>
      </w:r>
    </w:p>
    <w:p>
      <w:pPr>
        <w:keepNext w:val="false"/>
        <w:spacing w:after="120" w:before="0" w:line="480"/>
      </w:pPr>
      <w:r>
        <w:rPr>
          <w:rFonts w:ascii="Times New Roman" w:cs="Times New Roman" w:eastAsia="Times New Roman" w:hAnsi="Times New Roman"/>
          <w:sz w:val="24"/>
          <w:szCs w:val="24"/>
        </w:rPr>
        <w:t xml:space="preserve">External rank minus expression was +0.01658 under MAD and −0.00872 under response-associated selection; pair minus rank was −0.00876 and +0.00200, respectively. These are descriptive strict macro points without precomputed intervals (Table S10). Together with the adjusted pair-minus-expression results, they do not establish general pair superiority, equivalence, or non-inferiority.</w:t>
      </w:r>
    </w:p>
    <w:p>
      <w:pPr>
        <w:keepNext/>
        <w:spacing w:after="160" w:before="100" w:line="360"/>
      </w:pPr>
      <w:r>
        <w:rPr>
          <w:rFonts w:ascii="Times New Roman" w:cs="Times New Roman" w:eastAsia="Times New Roman" w:hAnsi="Times New Roman"/>
          <w:sz w:val="20"/>
          <w:szCs w:val="20"/>
        </w:rPr>
        <w:t xml:space="preserve">Table 2. Primary REO-pair minus strong-expression differences in drug-wise Spearman correlation. Development estimates use repeated nested out-of-fold predictions; external estimates use locked full-development models evaluated once against CTRPv2. Confidence limits are family-9 adjusted conditional 95% bootstrap intervals. The development bootstrap is conditional on recorded out-of-fold predictions; the external bootstrap is conditional on fixed trained models and the observed external groups. Neither interval includes uncertainty from repeating the complete model-development procedure. A zero molecular solution retains the tissue component without a molecular coefficient. These intervals do not establish equivalence or non-inferiority.</w:t>
      </w:r>
    </w:p>
    <w:tbl>
      <w:tblPr>
        <w:tblW w:type="dxa" w:w="9026"/>
        <w:tblBorders>
          <w:top w:val="single" w:color="808080" w:sz="2"/>
          <w:left w:val="single" w:color="808080" w:sz="2"/>
          <w:bottom w:val="single" w:color="808080" w:sz="2"/>
          <w:right w:val="single" w:color="808080" w:sz="2"/>
          <w:insideH w:val="single" w:color="808080" w:sz="2"/>
          <w:insideV w:val="single" w:color="808080" w:sz="2"/>
        </w:tblBorders>
      </w:tblPr>
      <w:tblGrid>
        <w:gridCol w:w="1400"/>
        <w:gridCol w:w="900"/>
        <w:gridCol w:w="2750"/>
        <w:gridCol w:w="1150"/>
        <w:gridCol w:w="2826"/>
      </w:tblGrid>
      <w:tr>
        <w:trPr>
          <w:tblHeader/>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Compound</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Development groups</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Development Δρ (adjusted 95% conditional CI)</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Shared external groups</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External Δρ (adjusted 95% conditional CI)</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MIRA-1</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625</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0.02499 (-0.01522 to 0.06353)</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108</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0.00000 (0.00000 to 0.00000)</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PLX-4720</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622</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-0.01053 (-0.03341 to 0.01177)</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167</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0.00000 (0.00000 to 0.00000)</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Bortezomib</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-0.01706 (-0.04072 to 0.00553)</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169</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0.00060 (-0.09204 to 0.10248)</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Telomerase Inhibitor IX</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-0.00389 (-0.04047 to 0.03030)</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168</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-0.02369 (-0.10873 to 0.05833)</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Tamoxifen</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0.00132 (-0.02128 to 0.02269)</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165</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0.00000 (0.00000 to 0.00000)</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BMS-536924</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-0.03302 (-0.07615 to 0.00946)</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165</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0.03033 (-0.09321 to 0.16706)</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Gefitinib</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-0.00281 (-0.04802 to 0.04344)</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161</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-0.03721 (-0.12540 to 0.05041)</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Cediranib</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-0.00605 (-0.04618 to 0.03510)</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82</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0.02700 (-0.23477 to 0.28333)</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Equal-drug macro</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8-drug mean</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-0.00588 (-0.01871 to 0.00661)</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8-drug mean</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-0.00037 (-0.04217 to 0.04350)</w:t>
            </w:r>
          </w:p>
        </w:tc>
      </w:tr>
    </w:tbl>
    <w:p>
      <w:pPr>
        <w:spacing w:after="220" w:line="300"/>
      </w:pPr>
      <w:r>
        <w:rPr>
          <w:rFonts w:ascii="Times New Roman" w:cs="Times New Roman" w:eastAsia="Times New Roman" w:hAnsi="Times New Roman"/>
          <w:i/>
          <w:iCs/>
          <w:sz w:val="18"/>
          <w:szCs w:val="18"/>
        </w:rPr>
        <w:t xml:space="preserve">Note:</w:t>
      </w:r>
      <w:r>
        <w:rPr>
          <w:rFonts w:ascii="Times New Roman" w:cs="Times New Roman" w:eastAsia="Times New Roman" w:hAnsi="Times New Roman"/>
          <w:sz w:val="18"/>
          <w:szCs w:val="18"/>
        </w:rPr>
        <w:t xml:space="preserve"> Δρ is the response-association full-pair model minus the strong 2,000-gene expression model. Intervals are family-9 adjusted conditional 95% bootstrap intervals. The development interval conditions on saved out-of-fold predictions; the external interval conditions on the locked models and observed external groups. Full-development coefficient counts and zero-solution status are detailed in Additional file 6 (Table S6).</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Finite synthetic-control results</w:t>
      </w:r>
    </w:p>
    <w:p>
      <w:pPr>
        <w:keepNext w:val="false"/>
        <w:spacing w:after="120" w:before="0" w:line="480"/>
      </w:pPr>
      <w:r>
        <w:rPr>
          <w:rFonts w:ascii="Times New Roman" w:cs="Times New Roman" w:eastAsia="Times New Roman" w:hAnsi="Times New Roman"/>
          <w:sz w:val="24"/>
          <w:szCs w:val="24"/>
        </w:rPr>
        <w:t xml:space="preserve">All 40 generated cohorts and 320 cohort-by-arm summaries were retained. Across the 840 selected molecular outer refits, 615 were zero solutions: 210/210 in tissue-only, 198/210 in weak molecular, 120/210 in common amplitude, and 87/210 in predefined pair order. This denominator excludes inner-grid fits, including deliberately evaluated analytic null candidates. Undefined residual correlations remain blank in Table S11 rather than being replaced by zero.</w:t>
      </w:r>
    </w:p>
    <w:p>
      <w:pPr>
        <w:keepNext w:val="false"/>
        <w:spacing w:after="120" w:before="0" w:line="480"/>
      </w:pPr>
      <w:r>
        <w:rPr>
          <w:rFonts w:ascii="Times New Roman" w:cs="Times New Roman" w:eastAsia="Times New Roman" w:hAnsi="Times New Roman"/>
          <w:sz w:val="24"/>
          <w:szCs w:val="24"/>
        </w:rPr>
        <w:t xml:space="preserve">In the tissue-only control, all arms had mean OOF correlation 0.9997 despite every molecular outer model being zero; predictions reconstructed tissue outcomes to floating-point precision. Under the weak signal, molecular mean correlations of 0.1367–0.1451 were close to tissue's 0.1373. With common sample amplitude, every rank/pair outer fit was zero and mean correlation was 0.1541, versus 0.9830 for each continuous arm. That scenario generated all 267 recorded warning occurrences (89 per continuous arm), with no recorded fallback; warning type is not recoverable from the aggregate counts. In the deliberately constructed pair-order scenario, response-associated expression/rank/pair means were 0.7573/0.7605/0.9055; MAD means were 0.2147/0.2069/0.2112, versus tissue's 0.2147 and strong 220-gene expression's 0.7572. Both driver genes were retained in all response-associated and no MAD outer candidate sets. These controls illustrate possible pipeline behavior under specified signals; they do not establish that these mechanisms caused the real-drug findings. Full metrics, generation invariants, warnings, resource observations, and provenance limits are retained in Tables S11–S12 and Additional file 14.</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Discussion</w:t>
      </w:r>
    </w:p>
    <w:p>
      <w:pPr>
        <w:keepNext w:val="false"/>
        <w:spacing w:after="120" w:before="0" w:line="480"/>
      </w:pPr>
      <w:r>
        <w:rPr>
          <w:rFonts w:ascii="Times New Roman" w:cs="Times New Roman" w:eastAsia="Times New Roman" w:hAnsi="Times New Roman"/>
          <w:sz w:val="24"/>
          <w:szCs w:val="24"/>
        </w:rPr>
        <w:t xml:space="preserve">In the prespecified eight-compound comparison, the response-associated REO-pair pipeline did not show a reliable average improvement in drug-wise ranking over the strong expression baseline in either repeated nested development evaluation or the locked CTRPv2 evaluation. The internal Spearman difference was close to zero and the internal RMSE contrast slightly favored expression; the external macro ranking difference was also close to zero with an interval that allowed both positive and negative effects. This is a result about the evaluated candidate rules, elastic-net path, response endpoint, compounds, and cell-line cohorts. It neither establishes equivalence or non-inferiority nor proves that other REO models cannot be useful. The result is consistent with recent benchmarking work showing that complexity or feature transformation does not guarantee improvement over well-defined simpler predictors [7,8,9,10].</w:t>
      </w:r>
    </w:p>
    <w:p>
      <w:pPr>
        <w:keepNext w:val="false"/>
        <w:spacing w:after="120" w:before="0" w:line="480"/>
      </w:pPr>
      <w:r>
        <w:rPr>
          <w:rFonts w:ascii="Times New Roman" w:cs="Times New Roman" w:eastAsia="Times New Roman" w:hAnsi="Times New Roman"/>
          <w:sz w:val="24"/>
          <w:szCs w:val="24"/>
        </w:rPr>
        <w:t xml:space="preserve">Earlier REO studies provide a rationale for evaluating within-sample order and have reported useful qualitative signatures in particular data settings [12,13,14,15,16,17,18]. Their reported tasks and estimands differ from the present continuous in-vitro response-ranking task, so their performance values are not direct comparators. In particular, sparse top-scoring-pair classification and patient ex-vivo response signatures [18] should not be treated as the same model as a complete 19,900-pair elastic-net regression. In the present matched-candidate analyses, the full pair encoding did not outperform continuous expression on average. The response-association candidate rule was based on continuous expression–response association within training tissues; it was nested inside each training fit, but it does not constitute a selector neutral to expression magnitude. Thus, the results do not isolate a universal “order-only” effect. Moreover, rank vectors and complete pair vectors carry the same ordering information but define different linear-elastic-net hypothesis classes and penalty geometry. The observed differences cannot be attributed uniquely to lost amplitude, expanded dimensionality, collinearity, or regularization.</w:t>
      </w:r>
    </w:p>
    <w:p>
      <w:pPr>
        <w:keepNext w:val="false"/>
        <w:spacing w:after="120" w:before="0" w:line="480"/>
      </w:pPr>
      <w:r>
        <w:rPr>
          <w:rFonts w:ascii="Times New Roman" w:cs="Times New Roman" w:eastAsia="Times New Roman" w:hAnsi="Times New Roman"/>
          <w:sz w:val="24"/>
          <w:szCs w:val="24"/>
        </w:rPr>
        <w:t xml:space="preserve">Tissue reference performance and molecular zero solutions further constrain interpretation. Both the response-associated pair pipeline and the strong-expression model improved on the tissue-only reference in the development evaluation, but the difference between those molecular models did not favor REO on average. Approximately half of the outer-fold molecular fits and more than half of the final molecular model arms selected the exact zero-coefficient endpoint. In those fits, prediction retains the tissue component and the associated correlation does not demonstrate that a molecular pattern was learned. The three exact-zero external primary differences are an especially clear example: both compared models had zero molecular coefficients, so identical predictions yielded a zero contrast by construction.</w:t>
      </w:r>
    </w:p>
    <w:p>
      <w:pPr>
        <w:keepNext w:val="false"/>
        <w:spacing w:after="120" w:before="0" w:line="480"/>
      </w:pPr>
      <w:r>
        <w:rPr>
          <w:rFonts w:ascii="Times New Roman" w:cs="Times New Roman" w:eastAsia="Times New Roman" w:hAnsi="Times New Roman"/>
          <w:sz w:val="24"/>
          <w:szCs w:val="24"/>
        </w:rPr>
        <w:t xml:space="preserve">The cross-screen evaluation is best interpreted as retrospective within-drug ranking transport from GDSC2 responses to CTRPv2 responses under a shared CCLE expression source. Cross-study analyses and recent evaluation frameworks show that assay protocols, dose ranges, response summaries, and aggregation choices can affect agreement and model transport [3,4,5,6,8]. The current evaluation does not test transfer to a different expression-measurement platform, absolute calibration between source AUC values, prospective prediction, or patient outcome. CTRPv2 had been used in an earlier project manuscript, so the present locked execution should not be described as wholly blind in the project's history. The zero-prediction-abstention coverage is complete for the locked eligible set, but complete coverage alone does not imply strong predictive value.</w:t>
      </w:r>
    </w:p>
    <w:p>
      <w:pPr>
        <w:keepNext w:val="false"/>
        <w:spacing w:after="120" w:before="0" w:line="480"/>
      </w:pPr>
      <w:r>
        <w:rPr>
          <w:rFonts w:ascii="Times New Roman" w:cs="Times New Roman" w:eastAsia="Times New Roman" w:hAnsi="Times New Roman"/>
          <w:sz w:val="24"/>
          <w:szCs w:val="24"/>
        </w:rPr>
        <w:t xml:space="preserve">Recent single-cell perturbation benchmarks highlight the need for task-appropriate baselines and explicit evaluation targets. Simple linear baselines can match or exceed evaluated deep-learning models in some settings [27]. PerturBench examines collapsed predictions [28], while Systema addresses systematic variation in perturbation-prediction evaluation [29]. Gains over uninformative baselines have also been reported using calibrated metrics [30]. Our drug-response analysis provides a complementary, task-specific case study: descriptive representation contrasts varied with the candidate-gene policy, and approximately half of the outer-fold molecular fits selected the zero-coefficient endpoint. These observations motivate reporting covariate-reference performance, molecular increments, representation contrasts, and whether fitted predictions retain a molecular contribution. Selection of an exact zero solution in the present elastic-net pipeline depends on the tuning objective and regularization path and should not be equated with mode collapse in deep perturbation models. The synthetic controls demonstrate behavior under specified mechanisms without identifying the causes of zero solutions in real drug data. Extending these checks to single-cell foundation models requires direct, task-specific evaluation.</w:t>
      </w:r>
    </w:p>
    <w:p>
      <w:pPr>
        <w:keepNext w:val="false"/>
        <w:spacing w:after="120" w:before="0" w:line="480"/>
      </w:pPr>
      <w:r>
        <w:rPr>
          <w:rFonts w:ascii="Times New Roman" w:cs="Times New Roman" w:eastAsia="Times New Roman" w:hAnsi="Times New Roman"/>
          <w:sz w:val="24"/>
          <w:szCs w:val="24"/>
        </w:rPr>
        <w:t xml:space="preserve">Several limitations affect the strength and scope of inference. First, although supervised feature selection, representation construction, scaling, tissue adjustment, and tuning were repeated inside training partitions, the eight-compound panel and comparison hypotheses were informed by earlier project analyses. The present run is therefore a prespecified development comparison rather than an independent confirmatory study. Second, the bootstrap intervals condition on saved outer-fold predictions or fixed final models and do not include uncertainty from repeating the entire feature-selection, tuning, and fitting procedure. The repeated partitions reuse the same biological groups. Third, this eight-drug analysis did not include a new full-pipeline label-permutation experiment; the reported finite synthetic controls illustrate software behavior under intentionally specified scenarios but do not provide an empirical null distribution or identify the mechanisms of these drug outcomes. The common-amplitude control retained 267 warning occurrences, and the original synthetic runtime package snapshot was not separately logged. Fourth, the leave-one-tissue-out strict macro was undefined because many prespecified within-tissue correlations were not estimable; the defined-cell average cannot replace the planned macro. Finally, only eight compounds and one external screen were studied, and the AUC dose windows differed across screens. Larger and independently designed screen comparisons would be needed to test broader generality.</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Conclusions</w:t>
      </w:r>
    </w:p>
    <w:p>
      <w:pPr>
        <w:keepLines/>
        <w:spacing w:after="120" w:line="480"/>
      </w:pPr>
      <w:r>
        <w:rPr>
          <w:rFonts w:ascii="Times New Roman" w:cs="Times New Roman" w:eastAsia="Times New Roman" w:hAnsi="Times New Roman"/>
          <w:sz w:val="24"/>
          <w:szCs w:val="24"/>
        </w:rPr>
        <w:t xml:space="preserve">In this fixed eight-compound cell-line study, the evaluated REO-pair pipeline did not show a reliable average improvement in drug-response ranking over the strong expression baseline in repeated nested development evaluation or the locked retrospective CTRPv2 cross-screen comparison. The matched representation analyses do not establish a pair-specific advantage, and frequent zero molecular solutions show that some fitted predictors reduce to their tissue component. These findings delimit the performance of the specified candidate-selection rules, elastic-net models, response endpoint, compounds, and cohorts; they do not establish equivalence or non-inferiority and should not be generalized to all REO methods or clinical prediction.</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Declarations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Ethics approval and consent to participate</w:t>
      </w:r>
    </w:p>
    <w:p>
      <w:pPr>
        <w:keepNext w:val="false"/>
        <w:spacing w:after="120" w:before="0" w:line="480"/>
      </w:pPr>
      <w:r>
        <w:rPr>
          <w:rFonts w:ascii="Times New Roman" w:cs="Times New Roman" w:eastAsia="Times New Roman" w:hAnsi="Times New Roman"/>
          <w:b/>
          <w:bCs/>
          <w:color w:val="A00000"/>
          <w:sz w:val="22"/>
          <w:szCs w:val="22"/>
        </w:rPr>
        <w:t xml:space="preserve">[AUTHOR INPUT REQUIRED: verify the ethics statement applicable to secondary analysis of public cancer-cell-line datasets; provide the approving/waiving body and identifier if relevant. Do not submit this placeholder.]</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Consent for publication</w:t>
      </w:r>
    </w:p>
    <w:p>
      <w:pPr>
        <w:keepNext w:val="false"/>
        <w:spacing w:after="120" w:before="0" w:line="480"/>
      </w:pPr>
      <w:r>
        <w:rPr>
          <w:rFonts w:ascii="Times New Roman" w:cs="Times New Roman" w:eastAsia="Times New Roman" w:hAnsi="Times New Roman"/>
          <w:b/>
          <w:bCs/>
          <w:color w:val="A00000"/>
          <w:sz w:val="22"/>
          <w:szCs w:val="22"/>
        </w:rPr>
        <w:t xml:space="preserve">[AUTHOR INPUT REQUIRED: confirm the appropriate statement for the datasets and manuscript.]</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Availability of data and materials</w:t>
      </w:r>
    </w:p>
    <w:p>
      <w:pPr>
        <w:keepNext w:val="false"/>
        <w:spacing w:after="120" w:before="0" w:line="480"/>
      </w:pPr>
      <w:r>
        <w:rPr>
          <w:rFonts w:ascii="Times New Roman" w:cs="Times New Roman" w:eastAsia="Times New Roman" w:hAnsi="Times New Roman"/>
          <w:b/>
          <w:bCs/>
          <w:color w:val="A00000"/>
          <w:sz w:val="22"/>
          <w:szCs w:val="22"/>
        </w:rPr>
        <w:t xml:space="preserve">[AUTHOR INPUT REQUIRED: specify persistent links and versions for the public GDSC2, CCLE, CTRPv2, DepMap, and Cell Model Passports resources used; add a persistent archived analysis-code release identifier and exact repository tag after release; state any upstream license/access restrictions. The repository URL alone does not identify an immutable archived version.]</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Competing interests</w:t>
      </w:r>
    </w:p>
    <w:p>
      <w:pPr>
        <w:keepNext w:val="false"/>
        <w:spacing w:after="120" w:before="0" w:line="480"/>
      </w:pPr>
      <w:r>
        <w:rPr>
          <w:rFonts w:ascii="Times New Roman" w:cs="Times New Roman" w:eastAsia="Times New Roman" w:hAnsi="Times New Roman"/>
          <w:b/>
          <w:bCs/>
          <w:color w:val="A00000"/>
          <w:sz w:val="22"/>
          <w:szCs w:val="22"/>
        </w:rPr>
        <w:t xml:space="preserve">[AUTHOR INPUT REQUIRED: declare all financial and non-financial interests, or confirm the journal's no-competing-interests wording.]</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Funding</w:t>
      </w:r>
    </w:p>
    <w:p>
      <w:pPr>
        <w:keepNext w:val="false"/>
        <w:spacing w:after="120" w:before="0" w:line="480"/>
      </w:pPr>
      <w:r>
        <w:rPr>
          <w:rFonts w:ascii="Times New Roman" w:cs="Times New Roman" w:eastAsia="Times New Roman" w:hAnsi="Times New Roman"/>
          <w:b/>
          <w:bCs/>
          <w:color w:val="A00000"/>
          <w:sz w:val="22"/>
          <w:szCs w:val="22"/>
        </w:rPr>
        <w:t xml:space="preserve">[AUTHOR INPUT REQUIRED: list funding sources and funder roles, or confirm whether the study received no specific funding.]</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Authors' contributions</w:t>
      </w:r>
    </w:p>
    <w:p>
      <w:pPr>
        <w:keepNext w:val="false"/>
        <w:spacing w:after="120" w:before="0" w:line="480"/>
      </w:pPr>
      <w:r>
        <w:rPr>
          <w:rFonts w:ascii="Times New Roman" w:cs="Times New Roman" w:eastAsia="Times New Roman" w:hAnsi="Times New Roman"/>
          <w:b/>
          <w:bCs/>
          <w:color w:val="A00000"/>
          <w:sz w:val="22"/>
          <w:szCs w:val="22"/>
        </w:rPr>
        <w:t xml:space="preserve">[AUTHOR INPUT REQUIRED: provide author initials and contribution roles; obtain approval from all authors.]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Acknowledgements</w:t>
      </w:r>
    </w:p>
    <w:p>
      <w:pPr>
        <w:keepNext w:val="false"/>
        <w:spacing w:after="120" w:before="0" w:line="480"/>
      </w:pPr>
      <w:r>
        <w:rPr>
          <w:rFonts w:ascii="Times New Roman" w:cs="Times New Roman" w:eastAsia="Times New Roman" w:hAnsi="Times New Roman"/>
          <w:b/>
          <w:bCs/>
          <w:color w:val="A00000"/>
          <w:sz w:val="22"/>
          <w:szCs w:val="22"/>
        </w:rPr>
        <w:t xml:space="preserve">[AUTHOR INPUT REQUIRED: identify contributors and obtain permission, or confirm that none apply.]</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References</w:t>
      </w:r>
    </w:p>
    <w:p>
      <w:pPr>
        <w:keepNext w:val="false"/>
        <w:spacing w:after="120" w:before="0" w:line="480"/>
        <w:ind w:left="360" w:hanging="360"/>
      </w:pPr>
      <w:r>
        <w:rPr>
          <w:rFonts w:ascii="Times New Roman" w:cs="Times New Roman" w:eastAsia="Times New Roman" w:hAnsi="Times New Roman"/>
          <w:sz w:val="24"/>
          <w:szCs w:val="24"/>
        </w:rPr>
        <w:t xml:space="preserve">1. Ghandi M, et al. Next-generation characterization of the Cancer Cell Line Encyclopedia.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2019;569:503–508. https://doi.org/10.1038/s41586-019-1186-3.</w:t>
      </w:r>
    </w:p>
    <w:p>
      <w:pPr>
        <w:keepNext w:val="false"/>
        <w:spacing w:after="120" w:before="0" w:line="480"/>
        <w:ind w:left="360" w:hanging="360"/>
      </w:pPr>
      <w:r>
        <w:rPr>
          <w:rFonts w:ascii="Times New Roman" w:cs="Times New Roman" w:eastAsia="Times New Roman" w:hAnsi="Times New Roman"/>
          <w:sz w:val="24"/>
          <w:szCs w:val="24"/>
        </w:rPr>
        <w:t xml:space="preserve">2. Feizi N, et al. PharmacoDB 2.0: improving scalability and transparency of in vitro pharmacogenomics analysis. </w:t>
      </w:r>
      <w:r>
        <w:rPr>
          <w:rFonts w:ascii="Times New Roman" w:cs="Times New Roman" w:eastAsia="Times New Roman" w:hAnsi="Times New Roman"/>
          <w:i/>
          <w:iCs/>
          <w:sz w:val="24"/>
          <w:szCs w:val="24"/>
        </w:rPr>
        <w:t xml:space="preserve">Nucleic Acids Res</w:t>
      </w:r>
      <w:r>
        <w:rPr>
          <w:rFonts w:ascii="Times New Roman" w:cs="Times New Roman" w:eastAsia="Times New Roman" w:hAnsi="Times New Roman"/>
          <w:sz w:val="24"/>
          <w:szCs w:val="24"/>
        </w:rPr>
        <w:t xml:space="preserve">. 2022;50(D1):D1348–D1357. https://doi.org/10.1093/nar/gkab1084.</w:t>
      </w:r>
    </w:p>
    <w:p>
      <w:pPr>
        <w:keepNext w:val="false"/>
        <w:spacing w:after="120" w:before="0" w:line="480"/>
        <w:ind w:left="360" w:hanging="360"/>
      </w:pPr>
      <w:r>
        <w:rPr>
          <w:rFonts w:ascii="Times New Roman" w:cs="Times New Roman" w:eastAsia="Times New Roman" w:hAnsi="Times New Roman"/>
          <w:sz w:val="24"/>
          <w:szCs w:val="24"/>
        </w:rPr>
        <w:t xml:space="preserve">3. Xia F, et al. A cross-study analysis of drug response prediction in cancer cell lines. </w:t>
      </w:r>
      <w:r>
        <w:rPr>
          <w:rFonts w:ascii="Times New Roman" w:cs="Times New Roman" w:eastAsia="Times New Roman" w:hAnsi="Times New Roman"/>
          <w:i/>
          <w:iCs/>
          <w:sz w:val="24"/>
          <w:szCs w:val="24"/>
        </w:rPr>
        <w:t xml:space="preserve">Brief Bioinform</w:t>
      </w:r>
      <w:r>
        <w:rPr>
          <w:rFonts w:ascii="Times New Roman" w:cs="Times New Roman" w:eastAsia="Times New Roman" w:hAnsi="Times New Roman"/>
          <w:sz w:val="24"/>
          <w:szCs w:val="24"/>
        </w:rPr>
        <w:t xml:space="preserve">. 2022;23(1):bbab356. https://doi.org/10.1093/bib/bbab356.</w:t>
      </w:r>
    </w:p>
    <w:p>
      <w:pPr>
        <w:keepNext w:val="false"/>
        <w:spacing w:after="120" w:before="0" w:line="480"/>
        <w:ind w:left="360" w:hanging="360"/>
      </w:pPr>
      <w:r>
        <w:rPr>
          <w:rFonts w:ascii="Times New Roman" w:cs="Times New Roman" w:eastAsia="Times New Roman" w:hAnsi="Times New Roman"/>
          <w:sz w:val="24"/>
          <w:szCs w:val="24"/>
        </w:rPr>
        <w:t xml:space="preserve">4. Seashore-Ludlow B, et al. Harnessing connectivity in a large-scale small-molecule sensitivity dataset. </w:t>
      </w:r>
      <w:r>
        <w:rPr>
          <w:rFonts w:ascii="Times New Roman" w:cs="Times New Roman" w:eastAsia="Times New Roman" w:hAnsi="Times New Roman"/>
          <w:i/>
          <w:iCs/>
          <w:sz w:val="24"/>
          <w:szCs w:val="24"/>
        </w:rPr>
        <w:t xml:space="preserve">Cancer Discov</w:t>
      </w:r>
      <w:r>
        <w:rPr>
          <w:rFonts w:ascii="Times New Roman" w:cs="Times New Roman" w:eastAsia="Times New Roman" w:hAnsi="Times New Roman"/>
          <w:sz w:val="24"/>
          <w:szCs w:val="24"/>
        </w:rPr>
        <w:t xml:space="preserve">. 2015;5(11):1210–1223. https://doi.org/10.1158/2159-8290.CD-15-0235.</w:t>
      </w:r>
    </w:p>
    <w:p>
      <w:pPr>
        <w:keepNext w:val="false"/>
        <w:spacing w:after="120" w:before="0" w:line="480"/>
        <w:ind w:left="360" w:hanging="360"/>
      </w:pPr>
      <w:r>
        <w:rPr>
          <w:rFonts w:ascii="Times New Roman" w:cs="Times New Roman" w:eastAsia="Times New Roman" w:hAnsi="Times New Roman"/>
          <w:sz w:val="24"/>
          <w:szCs w:val="24"/>
        </w:rPr>
        <w:t xml:space="preserve">5. Iorio F, et al. A landscape of pharmacogenomic interactions in cancer. </w:t>
      </w:r>
      <w:r>
        <w:rPr>
          <w:rFonts w:ascii="Times New Roman" w:cs="Times New Roman" w:eastAsia="Times New Roman" w:hAnsi="Times New Roman"/>
          <w:i/>
          <w:iCs/>
          <w:sz w:val="24"/>
          <w:szCs w:val="24"/>
        </w:rPr>
        <w:t xml:space="preserve">Cell</w:t>
      </w:r>
      <w:r>
        <w:rPr>
          <w:rFonts w:ascii="Times New Roman" w:cs="Times New Roman" w:eastAsia="Times New Roman" w:hAnsi="Times New Roman"/>
          <w:sz w:val="24"/>
          <w:szCs w:val="24"/>
        </w:rPr>
        <w:t xml:space="preserve">. 2016;166(3):740–754. https://doi.org/10.1016/j.cell.2016.06.017.</w:t>
      </w:r>
    </w:p>
    <w:p>
      <w:pPr>
        <w:keepNext w:val="false"/>
        <w:spacing w:after="120" w:before="0" w:line="480"/>
        <w:ind w:left="360" w:hanging="360"/>
      </w:pPr>
      <w:r>
        <w:rPr>
          <w:rFonts w:ascii="Times New Roman" w:cs="Times New Roman" w:eastAsia="Times New Roman" w:hAnsi="Times New Roman"/>
          <w:sz w:val="24"/>
          <w:szCs w:val="24"/>
        </w:rPr>
        <w:t xml:space="preserve">6. Bayer FP, Gander M, Kuster B, The M. CurveCurator: a recalibrated F-statistic to assess, classify, and explore significance of dose-response curves. </w:t>
      </w:r>
      <w:r>
        <w:rPr>
          <w:rFonts w:ascii="Times New Roman" w:cs="Times New Roman" w:eastAsia="Times New Roman" w:hAnsi="Times New Roman"/>
          <w:i/>
          <w:iCs/>
          <w:sz w:val="24"/>
          <w:szCs w:val="24"/>
        </w:rPr>
        <w:t xml:space="preserve">Nat Commun</w:t>
      </w:r>
      <w:r>
        <w:rPr>
          <w:rFonts w:ascii="Times New Roman" w:cs="Times New Roman" w:eastAsia="Times New Roman" w:hAnsi="Times New Roman"/>
          <w:sz w:val="24"/>
          <w:szCs w:val="24"/>
        </w:rPr>
        <w:t xml:space="preserve">. 2023;14:7902. https://doi.org/10.1038/s41467-023-43696-z.</w:t>
      </w:r>
    </w:p>
    <w:p>
      <w:pPr>
        <w:keepNext w:val="false"/>
        <w:spacing w:after="120" w:before="0" w:line="480"/>
        <w:ind w:left="360" w:hanging="360"/>
      </w:pPr>
      <w:r>
        <w:rPr>
          <w:rFonts w:ascii="Times New Roman" w:cs="Times New Roman" w:eastAsia="Times New Roman" w:hAnsi="Times New Roman"/>
          <w:sz w:val="24"/>
          <w:szCs w:val="24"/>
        </w:rPr>
        <w:t xml:space="preserve">7. Bernett J, et al. Critical evaluation of drug response prediction models with DrEval. </w:t>
      </w:r>
      <w:r>
        <w:rPr>
          <w:rFonts w:ascii="Times New Roman" w:cs="Times New Roman" w:eastAsia="Times New Roman" w:hAnsi="Times New Roman"/>
          <w:i/>
          <w:iCs/>
          <w:sz w:val="24"/>
          <w:szCs w:val="24"/>
        </w:rPr>
        <w:t xml:space="preserve">Nat Commun</w:t>
      </w:r>
      <w:r>
        <w:rPr>
          <w:rFonts w:ascii="Times New Roman" w:cs="Times New Roman" w:eastAsia="Times New Roman" w:hAnsi="Times New Roman"/>
          <w:sz w:val="24"/>
          <w:szCs w:val="24"/>
        </w:rPr>
        <w:t xml:space="preserve">. 2026;17:4238. https://doi.org/10.1038/s41467-026-72903-w.</w:t>
      </w:r>
    </w:p>
    <w:p>
      <w:pPr>
        <w:keepNext w:val="false"/>
        <w:spacing w:after="120" w:before="0" w:line="480"/>
        <w:ind w:left="360" w:hanging="360"/>
      </w:pPr>
      <w:r>
        <w:rPr>
          <w:rFonts w:ascii="Times New Roman" w:cs="Times New Roman" w:eastAsia="Times New Roman" w:hAnsi="Times New Roman"/>
          <w:sz w:val="24"/>
          <w:szCs w:val="24"/>
        </w:rPr>
        <w:t xml:space="preserve">8. Codicè F, et al. The specification game: rethinking the evaluation of drug response prediction for precision oncology. </w:t>
      </w:r>
      <w:r>
        <w:rPr>
          <w:rFonts w:ascii="Times New Roman" w:cs="Times New Roman" w:eastAsia="Times New Roman" w:hAnsi="Times New Roman"/>
          <w:i/>
          <w:iCs/>
          <w:sz w:val="24"/>
          <w:szCs w:val="24"/>
        </w:rPr>
        <w:t xml:space="preserve">J Cheminform</w:t>
      </w:r>
      <w:r>
        <w:rPr>
          <w:rFonts w:ascii="Times New Roman" w:cs="Times New Roman" w:eastAsia="Times New Roman" w:hAnsi="Times New Roman"/>
          <w:sz w:val="24"/>
          <w:szCs w:val="24"/>
        </w:rPr>
        <w:t xml:space="preserve">. 2025;17:33. https://doi.org/10.1186/s13321-025-00972-y.</w:t>
      </w:r>
    </w:p>
    <w:p>
      <w:pPr>
        <w:keepNext w:val="false"/>
        <w:spacing w:after="120" w:before="0" w:line="480"/>
        <w:ind w:left="360" w:hanging="360"/>
      </w:pPr>
      <w:r>
        <w:rPr>
          <w:rFonts w:ascii="Times New Roman" w:cs="Times New Roman" w:eastAsia="Times New Roman" w:hAnsi="Times New Roman"/>
          <w:sz w:val="24"/>
          <w:szCs w:val="24"/>
        </w:rPr>
        <w:t xml:space="preserve">9. Eckhart L, Lenhof K, Rolli L-M, Lenhof H-P. A comprehensive benchmarking of machine learning algorithms and dimensionality reduction methods for drug sensitivity prediction. </w:t>
      </w:r>
      <w:r>
        <w:rPr>
          <w:rFonts w:ascii="Times New Roman" w:cs="Times New Roman" w:eastAsia="Times New Roman" w:hAnsi="Times New Roman"/>
          <w:i/>
          <w:iCs/>
          <w:sz w:val="24"/>
          <w:szCs w:val="24"/>
        </w:rPr>
        <w:t xml:space="preserve">Brief Bioinform</w:t>
      </w:r>
      <w:r>
        <w:rPr>
          <w:rFonts w:ascii="Times New Roman" w:cs="Times New Roman" w:eastAsia="Times New Roman" w:hAnsi="Times New Roman"/>
          <w:sz w:val="24"/>
          <w:szCs w:val="24"/>
        </w:rPr>
        <w:t xml:space="preserve">. 2024;25(4):bbae242. https://doi.org/10.1093/bib/bbae242.</w:t>
      </w:r>
    </w:p>
    <w:p>
      <w:pPr>
        <w:keepNext w:val="false"/>
        <w:spacing w:after="120" w:before="0" w:line="480"/>
        <w:ind w:left="360" w:hanging="360"/>
      </w:pPr>
      <w:r>
        <w:rPr>
          <w:rFonts w:ascii="Times New Roman" w:cs="Times New Roman" w:eastAsia="Times New Roman" w:hAnsi="Times New Roman"/>
          <w:sz w:val="24"/>
          <w:szCs w:val="24"/>
        </w:rPr>
        <w:t xml:space="preserve">10. Shen B, et al. A systematic assessment of deep learning methods for drug response prediction: from in vitro to clinical applications. </w:t>
      </w:r>
      <w:r>
        <w:rPr>
          <w:rFonts w:ascii="Times New Roman" w:cs="Times New Roman" w:eastAsia="Times New Roman" w:hAnsi="Times New Roman"/>
          <w:i/>
          <w:iCs/>
          <w:sz w:val="24"/>
          <w:szCs w:val="24"/>
        </w:rPr>
        <w:t xml:space="preserve">Brief Bioinform</w:t>
      </w:r>
      <w:r>
        <w:rPr>
          <w:rFonts w:ascii="Times New Roman" w:cs="Times New Roman" w:eastAsia="Times New Roman" w:hAnsi="Times New Roman"/>
          <w:sz w:val="24"/>
          <w:szCs w:val="24"/>
        </w:rPr>
        <w:t xml:space="preserve">. 2023;24(1):bbac605. https://doi.org/10.1093/bib/bbac605.</w:t>
      </w:r>
    </w:p>
    <w:p>
      <w:pPr>
        <w:keepNext w:val="false"/>
        <w:spacing w:after="120" w:before="0" w:line="480"/>
        <w:ind w:left="360" w:hanging="360"/>
      </w:pPr>
      <w:r>
        <w:rPr>
          <w:rFonts w:ascii="Times New Roman" w:cs="Times New Roman" w:eastAsia="Times New Roman" w:hAnsi="Times New Roman"/>
          <w:sz w:val="24"/>
          <w:szCs w:val="24"/>
        </w:rPr>
        <w:t xml:space="preserve">11. Maeser D, Gruener RF, Huang RS. oncoPredict: an R package for predicting in vivo or cancer patient drug response and biomarkers from cell line screening data. </w:t>
      </w:r>
      <w:r>
        <w:rPr>
          <w:rFonts w:ascii="Times New Roman" w:cs="Times New Roman" w:eastAsia="Times New Roman" w:hAnsi="Times New Roman"/>
          <w:i/>
          <w:iCs/>
          <w:sz w:val="24"/>
          <w:szCs w:val="24"/>
        </w:rPr>
        <w:t xml:space="preserve">Brief Bioinform</w:t>
      </w:r>
      <w:r>
        <w:rPr>
          <w:rFonts w:ascii="Times New Roman" w:cs="Times New Roman" w:eastAsia="Times New Roman" w:hAnsi="Times New Roman"/>
          <w:sz w:val="24"/>
          <w:szCs w:val="24"/>
        </w:rPr>
        <w:t xml:space="preserve">. 2021;22(6):bbab260. https://doi.org/10.1093/bib/bbab260.</w:t>
      </w:r>
    </w:p>
    <w:p>
      <w:pPr>
        <w:keepNext w:val="false"/>
        <w:spacing w:after="120" w:before="0" w:line="480"/>
        <w:ind w:left="360" w:hanging="360"/>
      </w:pPr>
      <w:r>
        <w:rPr>
          <w:rFonts w:ascii="Times New Roman" w:cs="Times New Roman" w:eastAsia="Times New Roman" w:hAnsi="Times New Roman"/>
          <w:sz w:val="24"/>
          <w:szCs w:val="24"/>
        </w:rPr>
        <w:t xml:space="preserve">12. He J, et al. Qualitative transcriptional signature for predicting pathological response of colorectal cancer to FOLFOX therapy. </w:t>
      </w:r>
      <w:r>
        <w:rPr>
          <w:rFonts w:ascii="Times New Roman" w:cs="Times New Roman" w:eastAsia="Times New Roman" w:hAnsi="Times New Roman"/>
          <w:i/>
          <w:iCs/>
          <w:sz w:val="24"/>
          <w:szCs w:val="24"/>
        </w:rPr>
        <w:t xml:space="preserve">Cancer Sci</w:t>
      </w:r>
      <w:r>
        <w:rPr>
          <w:rFonts w:ascii="Times New Roman" w:cs="Times New Roman" w:eastAsia="Times New Roman" w:hAnsi="Times New Roman"/>
          <w:sz w:val="24"/>
          <w:szCs w:val="24"/>
        </w:rPr>
        <w:t xml:space="preserve">. 2020;111(1):253–265. https://doi.org/10.1111/cas.14263.</w:t>
      </w:r>
    </w:p>
    <w:p>
      <w:pPr>
        <w:keepNext w:val="false"/>
        <w:spacing w:after="120" w:before="0" w:line="480"/>
        <w:ind w:left="360" w:hanging="360"/>
      </w:pPr>
      <w:r>
        <w:rPr>
          <w:rFonts w:ascii="Times New Roman" w:cs="Times New Roman" w:eastAsia="Times New Roman" w:hAnsi="Times New Roman"/>
          <w:sz w:val="24"/>
          <w:szCs w:val="24"/>
        </w:rPr>
        <w:t xml:space="preserve">13. Tercan B. Robust predictors for drug response of patients with acute myeloid leukemia.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2026;21(2):e0343422. https://doi.org/10.1371/journal.pone.0343422.</w:t>
      </w:r>
    </w:p>
    <w:p>
      <w:pPr>
        <w:keepNext w:val="false"/>
        <w:spacing w:after="120" w:before="0" w:line="480"/>
        <w:ind w:left="360" w:hanging="360"/>
      </w:pPr>
      <w:r>
        <w:rPr>
          <w:rFonts w:ascii="Times New Roman" w:cs="Times New Roman" w:eastAsia="Times New Roman" w:hAnsi="Times New Roman"/>
          <w:sz w:val="24"/>
          <w:szCs w:val="24"/>
        </w:rPr>
        <w:t xml:space="preserve">14. Cai H, et al. Identifying differentially expressed genes from cross-site integrated data based on relative expression orderings. </w:t>
      </w:r>
      <w:r>
        <w:rPr>
          <w:rFonts w:ascii="Times New Roman" w:cs="Times New Roman" w:eastAsia="Times New Roman" w:hAnsi="Times New Roman"/>
          <w:i/>
          <w:iCs/>
          <w:sz w:val="24"/>
          <w:szCs w:val="24"/>
        </w:rPr>
        <w:t xml:space="preserve">Int J Biol Sci</w:t>
      </w:r>
      <w:r>
        <w:rPr>
          <w:rFonts w:ascii="Times New Roman" w:cs="Times New Roman" w:eastAsia="Times New Roman" w:hAnsi="Times New Roman"/>
          <w:sz w:val="24"/>
          <w:szCs w:val="24"/>
        </w:rPr>
        <w:t xml:space="preserve">. 2018;14(8):892–900. https://doi.org/10.7150/ijbs.24548.</w:t>
      </w:r>
    </w:p>
    <w:p>
      <w:pPr>
        <w:keepNext w:val="false"/>
        <w:spacing w:after="120" w:before="0" w:line="480"/>
        <w:ind w:left="360" w:hanging="360"/>
      </w:pPr>
      <w:r>
        <w:rPr>
          <w:rFonts w:ascii="Times New Roman" w:cs="Times New Roman" w:eastAsia="Times New Roman" w:hAnsi="Times New Roman"/>
          <w:sz w:val="24"/>
          <w:szCs w:val="24"/>
        </w:rPr>
        <w:t xml:space="preserve">15. Cai H, et al. Identification and characterization of genes with absolute mRNA abundances changes in tumor cells with varied transcriptome sizes. </w:t>
      </w:r>
      <w:r>
        <w:rPr>
          <w:rFonts w:ascii="Times New Roman" w:cs="Times New Roman" w:eastAsia="Times New Roman" w:hAnsi="Times New Roman"/>
          <w:i/>
          <w:iCs/>
          <w:sz w:val="24"/>
          <w:szCs w:val="24"/>
        </w:rPr>
        <w:t xml:space="preserve">BMC Genomics</w:t>
      </w:r>
      <w:r>
        <w:rPr>
          <w:rFonts w:ascii="Times New Roman" w:cs="Times New Roman" w:eastAsia="Times New Roman" w:hAnsi="Times New Roman"/>
          <w:sz w:val="24"/>
          <w:szCs w:val="24"/>
        </w:rPr>
        <w:t xml:space="preserve">. 2019;20:134. https://doi.org/10.1186/s12864-019-5502-y.</w:t>
      </w:r>
    </w:p>
    <w:p>
      <w:pPr>
        <w:keepNext w:val="false"/>
        <w:spacing w:after="120" w:before="0" w:line="480"/>
        <w:ind w:left="360" w:hanging="360"/>
      </w:pPr>
      <w:r>
        <w:rPr>
          <w:rFonts w:ascii="Times New Roman" w:cs="Times New Roman" w:eastAsia="Times New Roman" w:hAnsi="Times New Roman"/>
          <w:sz w:val="24"/>
          <w:szCs w:val="24"/>
        </w:rPr>
        <w:t xml:space="preserve">16. Liu K, et al. Systematic exploration of the underlying mechanism of gemcitabine resistance in pancreatic adenocarcinoma. </w:t>
      </w:r>
      <w:r>
        <w:rPr>
          <w:rFonts w:ascii="Times New Roman" w:cs="Times New Roman" w:eastAsia="Times New Roman" w:hAnsi="Times New Roman"/>
          <w:i/>
          <w:iCs/>
          <w:sz w:val="24"/>
          <w:szCs w:val="24"/>
        </w:rPr>
        <w:t xml:space="preserve">Mol Oncol</w:t>
      </w:r>
      <w:r>
        <w:rPr>
          <w:rFonts w:ascii="Times New Roman" w:cs="Times New Roman" w:eastAsia="Times New Roman" w:hAnsi="Times New Roman"/>
          <w:sz w:val="24"/>
          <w:szCs w:val="24"/>
        </w:rPr>
        <w:t xml:space="preserve">. 2022;16(16):3034–3051. https://doi.org/10.1002/1878-0261.13279.</w:t>
      </w:r>
    </w:p>
    <w:p>
      <w:pPr>
        <w:keepNext w:val="false"/>
        <w:spacing w:after="120" w:before="0" w:line="480"/>
        <w:ind w:left="360" w:hanging="360"/>
      </w:pPr>
      <w:r>
        <w:rPr>
          <w:rFonts w:ascii="Times New Roman" w:cs="Times New Roman" w:eastAsia="Times New Roman" w:hAnsi="Times New Roman"/>
          <w:sz w:val="24"/>
          <w:szCs w:val="24"/>
        </w:rPr>
        <w:t xml:space="preserve">17. Zheng X, et al. Less is more: relative rank is more informative than absolute abundance for compositional NGS data. </w:t>
      </w:r>
      <w:r>
        <w:rPr>
          <w:rFonts w:ascii="Times New Roman" w:cs="Times New Roman" w:eastAsia="Times New Roman" w:hAnsi="Times New Roman"/>
          <w:i/>
          <w:iCs/>
          <w:sz w:val="24"/>
          <w:szCs w:val="24"/>
        </w:rPr>
        <w:t xml:space="preserve">Brief Funct Genomics</w:t>
      </w:r>
      <w:r>
        <w:rPr>
          <w:rFonts w:ascii="Times New Roman" w:cs="Times New Roman" w:eastAsia="Times New Roman" w:hAnsi="Times New Roman"/>
          <w:sz w:val="24"/>
          <w:szCs w:val="24"/>
        </w:rPr>
        <w:t xml:space="preserve">. 2025;24:elae045. https://doi.org/10.1093/bfgp/elae045.</w:t>
      </w:r>
    </w:p>
    <w:p>
      <w:pPr>
        <w:keepNext w:val="false"/>
        <w:spacing w:after="120" w:before="0" w:line="480"/>
        <w:ind w:left="360" w:hanging="360"/>
      </w:pPr>
      <w:r>
        <w:rPr>
          <w:rFonts w:ascii="Times New Roman" w:cs="Times New Roman" w:eastAsia="Times New Roman" w:hAnsi="Times New Roman"/>
          <w:sz w:val="24"/>
          <w:szCs w:val="24"/>
        </w:rPr>
        <w:t xml:space="preserve">18. Chen Y, et al. A qualitative transcriptional signature for predicting extreme resistance of ER-negative breast cancer to paclitaxel, doxorubicin, and cyclophosphamide neoadjuvant chemotherapy. </w:t>
      </w:r>
      <w:r>
        <w:rPr>
          <w:rFonts w:ascii="Times New Roman" w:cs="Times New Roman" w:eastAsia="Times New Roman" w:hAnsi="Times New Roman"/>
          <w:i/>
          <w:iCs/>
          <w:sz w:val="24"/>
          <w:szCs w:val="24"/>
        </w:rPr>
        <w:t xml:space="preserve">Front Mol Biosci</w:t>
      </w:r>
      <w:r>
        <w:rPr>
          <w:rFonts w:ascii="Times New Roman" w:cs="Times New Roman" w:eastAsia="Times New Roman" w:hAnsi="Times New Roman"/>
          <w:sz w:val="24"/>
          <w:szCs w:val="24"/>
        </w:rPr>
        <w:t xml:space="preserve">. 2020;7:34. https://doi.org/10.3389/fmolb.2020.00034.</w:t>
      </w:r>
    </w:p>
    <w:p>
      <w:pPr>
        <w:keepNext w:val="false"/>
        <w:spacing w:after="120" w:before="0" w:line="480"/>
        <w:ind w:left="360" w:hanging="360"/>
      </w:pPr>
      <w:r>
        <w:rPr>
          <w:rFonts w:ascii="Times New Roman" w:cs="Times New Roman" w:eastAsia="Times New Roman" w:hAnsi="Times New Roman"/>
          <w:sz w:val="24"/>
          <w:szCs w:val="24"/>
        </w:rPr>
        <w:t xml:space="preserve">19. Kapoor S, Narayanan A. Leakage and the reproducibility crisis in machine-learning-based science. </w:t>
      </w:r>
      <w:r>
        <w:rPr>
          <w:rFonts w:ascii="Times New Roman" w:cs="Times New Roman" w:eastAsia="Times New Roman" w:hAnsi="Times New Roman"/>
          <w:i/>
          <w:iCs/>
          <w:sz w:val="24"/>
          <w:szCs w:val="24"/>
        </w:rPr>
        <w:t xml:space="preserve">Patterns (N Y)</w:t>
      </w:r>
      <w:r>
        <w:rPr>
          <w:rFonts w:ascii="Times New Roman" w:cs="Times New Roman" w:eastAsia="Times New Roman" w:hAnsi="Times New Roman"/>
          <w:sz w:val="24"/>
          <w:szCs w:val="24"/>
        </w:rPr>
        <w:t xml:space="preserve">. 2023;4(9):100804. https://doi.org/10.1016/j.patter.2023.100804.</w:t>
      </w:r>
    </w:p>
    <w:p>
      <w:pPr>
        <w:keepNext w:val="false"/>
        <w:spacing w:after="120" w:before="0" w:line="480"/>
        <w:ind w:left="360" w:hanging="360"/>
      </w:pPr>
      <w:r>
        <w:rPr>
          <w:rFonts w:ascii="Times New Roman" w:cs="Times New Roman" w:eastAsia="Times New Roman" w:hAnsi="Times New Roman"/>
          <w:sz w:val="24"/>
          <w:szCs w:val="24"/>
        </w:rPr>
        <w:t xml:space="preserve">20. Bernett J, et al. Guiding questions to avoid data leakage in biological machine learning applications. </w:t>
      </w:r>
      <w:r>
        <w:rPr>
          <w:rFonts w:ascii="Times New Roman" w:cs="Times New Roman" w:eastAsia="Times New Roman" w:hAnsi="Times New Roman"/>
          <w:i/>
          <w:iCs/>
          <w:sz w:val="24"/>
          <w:szCs w:val="24"/>
        </w:rPr>
        <w:t xml:space="preserve">Nat Methods</w:t>
      </w:r>
      <w:r>
        <w:rPr>
          <w:rFonts w:ascii="Times New Roman" w:cs="Times New Roman" w:eastAsia="Times New Roman" w:hAnsi="Times New Roman"/>
          <w:sz w:val="24"/>
          <w:szCs w:val="24"/>
        </w:rPr>
        <w:t xml:space="preserve">. 2024;21:1444–1453. https://doi.org/10.1038/s41592-024-02362-y.</w:t>
      </w:r>
    </w:p>
    <w:p>
      <w:pPr>
        <w:keepNext w:val="false"/>
        <w:spacing w:after="120" w:before="0" w:line="480"/>
        <w:ind w:left="360" w:hanging="360"/>
      </w:pPr>
      <w:r>
        <w:rPr>
          <w:rFonts w:ascii="Times New Roman" w:cs="Times New Roman" w:eastAsia="Times New Roman" w:hAnsi="Times New Roman"/>
          <w:sz w:val="24"/>
          <w:szCs w:val="24"/>
        </w:rPr>
        <w:t xml:space="preserve">21. Vabalas A, Gowen E, Poliakoff E, Casson AJ. Machine learning algorithm validation with a limited sample size.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2019;14(11):e0224365. https://doi.org/10.1371/journal.pone.0224365.</w:t>
      </w:r>
    </w:p>
    <w:p>
      <w:pPr>
        <w:keepNext w:val="false"/>
        <w:spacing w:after="120" w:before="0" w:line="480"/>
        <w:ind w:left="360" w:hanging="360"/>
      </w:pPr>
      <w:r>
        <w:rPr>
          <w:rFonts w:ascii="Times New Roman" w:cs="Times New Roman" w:eastAsia="Times New Roman" w:hAnsi="Times New Roman"/>
          <w:sz w:val="24"/>
          <w:szCs w:val="24"/>
        </w:rPr>
        <w:t xml:space="preserve">22. Lewis MJ, et al. nestedcv: an R package for fast implementation of nested cross-validation with embedded feature selection designed for transcriptomics and high-dimensional data. </w:t>
      </w:r>
      <w:r>
        <w:rPr>
          <w:rFonts w:ascii="Times New Roman" w:cs="Times New Roman" w:eastAsia="Times New Roman" w:hAnsi="Times New Roman"/>
          <w:i/>
          <w:iCs/>
          <w:sz w:val="24"/>
          <w:szCs w:val="24"/>
        </w:rPr>
        <w:t xml:space="preserve">Bioinform Adv</w:t>
      </w:r>
      <w:r>
        <w:rPr>
          <w:rFonts w:ascii="Times New Roman" w:cs="Times New Roman" w:eastAsia="Times New Roman" w:hAnsi="Times New Roman"/>
          <w:sz w:val="24"/>
          <w:szCs w:val="24"/>
        </w:rPr>
        <w:t xml:space="preserve">. 2023;3(1):vbad048. https://doi.org/10.1093/bioadv/vbad048.</w:t>
      </w:r>
    </w:p>
    <w:p>
      <w:pPr>
        <w:keepNext w:val="false"/>
        <w:spacing w:after="120" w:before="0" w:line="480"/>
        <w:ind w:left="360" w:hanging="360"/>
      </w:pPr>
      <w:r>
        <w:rPr>
          <w:rFonts w:ascii="Times New Roman" w:cs="Times New Roman" w:eastAsia="Times New Roman" w:hAnsi="Times New Roman"/>
          <w:sz w:val="24"/>
          <w:szCs w:val="24"/>
        </w:rPr>
        <w:t xml:space="preserve">23. Heil BJ, et al. Reproducibility standards for machine learning in the life sciences. </w:t>
      </w:r>
      <w:r>
        <w:rPr>
          <w:rFonts w:ascii="Times New Roman" w:cs="Times New Roman" w:eastAsia="Times New Roman" w:hAnsi="Times New Roman"/>
          <w:i/>
          <w:iCs/>
          <w:sz w:val="24"/>
          <w:szCs w:val="24"/>
        </w:rPr>
        <w:t xml:space="preserve">Nat Methods</w:t>
      </w:r>
      <w:r>
        <w:rPr>
          <w:rFonts w:ascii="Times New Roman" w:cs="Times New Roman" w:eastAsia="Times New Roman" w:hAnsi="Times New Roman"/>
          <w:sz w:val="24"/>
          <w:szCs w:val="24"/>
        </w:rPr>
        <w:t xml:space="preserve">. 2021;18:1132–1135. https://doi.org/10.1038/s41592-021-01256-7.</w:t>
      </w:r>
    </w:p>
    <w:p>
      <w:pPr>
        <w:keepNext w:val="false"/>
        <w:spacing w:after="120" w:before="0" w:line="480"/>
        <w:ind w:left="360" w:hanging="360"/>
      </w:pPr>
      <w:r>
        <w:rPr>
          <w:rFonts w:ascii="Times New Roman" w:cs="Times New Roman" w:eastAsia="Times New Roman" w:hAnsi="Times New Roman"/>
          <w:sz w:val="24"/>
          <w:szCs w:val="24"/>
        </w:rPr>
        <w:t xml:space="preserve">24. DepMap, Broad Institute. DepMap Public 24Q4. Figshare+ dataset, version 1. 2024. https://doi.org/10.25452/figshare.plus.27993248.v1.</w:t>
      </w:r>
    </w:p>
    <w:p>
      <w:pPr>
        <w:keepNext w:val="false"/>
        <w:spacing w:after="120" w:before="0" w:line="480"/>
        <w:ind w:left="360" w:hanging="360"/>
      </w:pPr>
      <w:r>
        <w:rPr>
          <w:rFonts w:ascii="Times New Roman" w:cs="Times New Roman" w:eastAsia="Times New Roman" w:hAnsi="Times New Roman"/>
          <w:sz w:val="24"/>
          <w:szCs w:val="24"/>
        </w:rPr>
        <w:t xml:space="preserve">25. Cell Model Passports. API documentation. Accessed 10 October 2026. https://depmap.sanger.ac.uk/documentation/api/.</w:t>
      </w:r>
    </w:p>
    <w:p>
      <w:pPr>
        <w:keepNext w:val="false"/>
        <w:spacing w:after="120" w:before="0" w:line="480"/>
        <w:ind w:left="360" w:hanging="360"/>
      </w:pPr>
      <w:r>
        <w:rPr>
          <w:rFonts w:ascii="Times New Roman" w:cs="Times New Roman" w:eastAsia="Times New Roman" w:hAnsi="Times New Roman"/>
          <w:sz w:val="24"/>
          <w:szCs w:val="24"/>
        </w:rPr>
        <w:t xml:space="preserve">26. Genomics of Drug Sensitivity in Cancer. Drug sensitivity datasets: fitted dose–response AUC documentation. Accessed 15 October 2026. https://depmap.sanger.ac.uk/documentation/datasets/drug-sensitivity/.</w:t>
      </w:r>
    </w:p>
    <w:p>
      <w:pPr>
        <w:keepNext w:val="false"/>
        <w:spacing w:after="120" w:before="0" w:line="480"/>
        <w:ind w:left="360" w:hanging="360"/>
      </w:pPr>
      <w:r>
        <w:rPr>
          <w:rFonts w:ascii="Times New Roman" w:cs="Times New Roman" w:eastAsia="Times New Roman" w:hAnsi="Times New Roman"/>
          <w:sz w:val="24"/>
          <w:szCs w:val="24"/>
        </w:rPr>
        <w:t xml:space="preserve">27. Ahlmann-Eltze C, Huber W, Anders S. Deep-learning-based gene perturbation effect prediction does not yet outperform simple linear baselines. </w:t>
      </w:r>
      <w:r>
        <w:rPr>
          <w:rFonts w:ascii="Times New Roman" w:cs="Times New Roman" w:eastAsia="Times New Roman" w:hAnsi="Times New Roman"/>
          <w:i/>
          <w:iCs/>
          <w:sz w:val="24"/>
          <w:szCs w:val="24"/>
        </w:rPr>
        <w:t xml:space="preserve">Nat Methods</w:t>
      </w:r>
      <w:r>
        <w:rPr>
          <w:rFonts w:ascii="Times New Roman" w:cs="Times New Roman" w:eastAsia="Times New Roman" w:hAnsi="Times New Roman"/>
          <w:sz w:val="24"/>
          <w:szCs w:val="24"/>
        </w:rPr>
        <w:t xml:space="preserve">. 2025;22(8):1657–1661. https://doi.org/10.1038/s41592-025-02772-6.</w:t>
      </w:r>
    </w:p>
    <w:p>
      <w:pPr>
        <w:keepNext w:val="false"/>
        <w:spacing w:after="120" w:before="0" w:line="480"/>
        <w:ind w:left="360" w:hanging="360"/>
      </w:pPr>
      <w:r>
        <w:rPr>
          <w:rFonts w:ascii="Times New Roman" w:cs="Times New Roman" w:eastAsia="Times New Roman" w:hAnsi="Times New Roman"/>
          <w:sz w:val="24"/>
          <w:szCs w:val="24"/>
        </w:rPr>
        <w:t xml:space="preserve">28. Wu Y, et al. PerturBench: Benchmarking Machine Learning Models for Cellular Perturbation Analysis. In: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2025;38:106937–106977. https://doi.org/10.52202/085713-3225.</w:t>
      </w:r>
    </w:p>
    <w:p>
      <w:pPr>
        <w:keepNext w:val="false"/>
        <w:spacing w:after="120" w:before="0" w:line="480"/>
        <w:ind w:left="360" w:hanging="360"/>
      </w:pPr>
      <w:r>
        <w:rPr>
          <w:rFonts w:ascii="Times New Roman" w:cs="Times New Roman" w:eastAsia="Times New Roman" w:hAnsi="Times New Roman"/>
          <w:sz w:val="24"/>
          <w:szCs w:val="24"/>
        </w:rPr>
        <w:t xml:space="preserve">29. Viñas Torné R, et al. Systema: a framework for evaluating genetic perturbation response prediction beyond systematic variation. </w:t>
      </w:r>
      <w:r>
        <w:rPr>
          <w:rFonts w:ascii="Times New Roman" w:cs="Times New Roman" w:eastAsia="Times New Roman" w:hAnsi="Times New Roman"/>
          <w:i/>
          <w:iCs/>
          <w:sz w:val="24"/>
          <w:szCs w:val="24"/>
        </w:rPr>
        <w:t xml:space="preserve">Nat Biotechnol</w:t>
      </w:r>
      <w:r>
        <w:rPr>
          <w:rFonts w:ascii="Times New Roman" w:cs="Times New Roman" w:eastAsia="Times New Roman" w:hAnsi="Times New Roman"/>
          <w:sz w:val="24"/>
          <w:szCs w:val="24"/>
        </w:rPr>
        <w:t xml:space="preserve">. 2026;44(6):1050–1059. https://doi.org/10.1038/s41587-025-02777-8.</w:t>
      </w:r>
    </w:p>
    <w:p>
      <w:pPr>
        <w:keepNext w:val="false"/>
        <w:spacing w:after="120" w:before="0" w:line="480"/>
        <w:ind w:left="360" w:hanging="360"/>
      </w:pPr>
      <w:r>
        <w:rPr>
          <w:rFonts w:ascii="Times New Roman" w:cs="Times New Roman" w:eastAsia="Times New Roman" w:hAnsi="Times New Roman"/>
          <w:sz w:val="24"/>
          <w:szCs w:val="24"/>
        </w:rPr>
        <w:t xml:space="preserve">30. Miller HE, Mejia GM, Leblanc FJA, Swain B, Wang B, de Lima Camillo LP. Deep learning perturbation models can outperform baselines on calibrated metrics. </w:t>
      </w:r>
      <w:r>
        <w:rPr>
          <w:rFonts w:ascii="Times New Roman" w:cs="Times New Roman" w:eastAsia="Times New Roman" w:hAnsi="Times New Roman"/>
          <w:i/>
          <w:iCs/>
          <w:sz w:val="24"/>
          <w:szCs w:val="24"/>
        </w:rPr>
        <w:t xml:space="preserve">Nat Biotechnol</w:t>
      </w:r>
      <w:r>
        <w:rPr>
          <w:rFonts w:ascii="Times New Roman" w:cs="Times New Roman" w:eastAsia="Times New Roman" w:hAnsi="Times New Roman"/>
          <w:sz w:val="24"/>
          <w:szCs w:val="24"/>
        </w:rPr>
        <w:t xml:space="preserve">. 2026. Published online 1 October 2026. https://doi.org/10.1038/s41587-026-03307-w.</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Additional files</w:t>
      </w:r>
    </w:p>
    <w:p>
      <w:pPr>
        <w:keepNext/>
        <w:keepLines w:val="false"/>
        <w:spacing w:after="80" w:line="360"/>
      </w:pPr>
      <w:r>
        <w:rPr>
          <w:rFonts w:ascii="Times New Roman" w:cs="Times New Roman" w:eastAsia="Times New Roman" w:hAnsi="Times New Roman"/>
          <w:b/>
          <w:bCs/>
          <w:sz w:val="20"/>
          <w:szCs w:val="20"/>
        </w:rPr>
        <w:t xml:space="preserve">Additional file 1.</w:t>
      </w:r>
      <w:r>
        <w:rPr>
          <w:rFonts w:ascii="Times New Roman" w:cs="Times New Roman" w:eastAsia="Times New Roman" w:hAnsi="Times New Roman"/>
          <w:sz w:val="20"/>
          <w:szCs w:val="20"/>
        </w:rPr>
        <w:t xml:space="preserve"> Additional_file_1.csv (.csv); Table S1: Primary leave-one-tissue-out results across prespecified drug-by-tissue cells. Includes sample-group counts, correlations, paired differences, definedness, and zero-solution status for ten protocol-defined display tissues. Undefined values remain NA.</w:t>
      </w:r>
    </w:p>
    <w:p>
      <w:pPr>
        <w:keepNext/>
        <w:keepLines w:val="false"/>
        <w:spacing w:after="80" w:line="360"/>
      </w:pPr>
      <w:r>
        <w:rPr>
          <w:rFonts w:ascii="Times New Roman" w:cs="Times New Roman" w:eastAsia="Times New Roman" w:hAnsi="Times New Roman"/>
          <w:b/>
          <w:bCs/>
          <w:sz w:val="20"/>
          <w:szCs w:val="20"/>
        </w:rPr>
        <w:t xml:space="preserve">Additional file 2.</w:t>
      </w:r>
      <w:r>
        <w:rPr>
          <w:rFonts w:ascii="Times New Roman" w:cs="Times New Roman" w:eastAsia="Times New Roman" w:hAnsi="Times New Roman"/>
          <w:sz w:val="20"/>
          <w:szCs w:val="20"/>
        </w:rPr>
        <w:t xml:space="preserve"> Additional_file_2.csv (.csv); Table S2: All prespecified CTRPv2 contrast estimands. Drug-specific and equal-drug macro estimates for the primary and two matched-candidate comparison families; intervals condition on locked models and shared external-group resampling.</w:t>
      </w:r>
    </w:p>
    <w:p>
      <w:pPr>
        <w:keepNext/>
        <w:keepLines w:val="false"/>
        <w:spacing w:after="80" w:line="360"/>
      </w:pPr>
      <w:r>
        <w:rPr>
          <w:rFonts w:ascii="Times New Roman" w:cs="Times New Roman" w:eastAsia="Times New Roman" w:hAnsi="Times New Roman"/>
          <w:b/>
          <w:bCs/>
          <w:sz w:val="20"/>
          <w:szCs w:val="20"/>
        </w:rPr>
        <w:t xml:space="preserve">Additional file 3.</w:t>
      </w:r>
      <w:r>
        <w:rPr>
          <w:rFonts w:ascii="Times New Roman" w:cs="Times New Roman" w:eastAsia="Times New Roman" w:hAnsi="Times New Roman"/>
          <w:sz w:val="20"/>
          <w:szCs w:val="20"/>
        </w:rPr>
        <w:t xml:space="preserve"> Additional_file_3.csv (.csv); Table S3: All inferential contrasts from repeated nested development evaluation. Nine primary-family and 18 matched-candidate representation estimands; intervals condition on saved out-of-fold predictions.</w:t>
      </w:r>
    </w:p>
    <w:p>
      <w:pPr>
        <w:keepNext/>
        <w:keepLines w:val="false"/>
        <w:spacing w:after="80" w:line="360"/>
      </w:pPr>
      <w:r>
        <w:rPr>
          <w:rFonts w:ascii="Times New Roman" w:cs="Times New Roman" w:eastAsia="Times New Roman" w:hAnsi="Times New Roman"/>
          <w:b/>
          <w:bCs/>
          <w:sz w:val="20"/>
          <w:szCs w:val="20"/>
        </w:rPr>
        <w:t xml:space="preserve">Additional file 4.</w:t>
      </w:r>
      <w:r>
        <w:rPr>
          <w:rFonts w:ascii="Times New Roman" w:cs="Times New Roman" w:eastAsia="Times New Roman" w:hAnsi="Times New Roman"/>
          <w:sz w:val="20"/>
          <w:szCs w:val="20"/>
        </w:rPr>
        <w:t xml:space="preserve"> Additional_file_4.csv (.csv); Table S4: Absolute performance of each development model arm. Drug-specific and macro Spearman, RMSE, MAE, and R-squared results with conditional group-bootstrap intervals.</w:t>
      </w:r>
    </w:p>
    <w:p>
      <w:pPr>
        <w:keepNext/>
        <w:keepLines w:val="false"/>
        <w:spacing w:after="80" w:line="360"/>
      </w:pPr>
      <w:r>
        <w:rPr>
          <w:rFonts w:ascii="Times New Roman" w:cs="Times New Roman" w:eastAsia="Times New Roman" w:hAnsi="Times New Roman"/>
          <w:b/>
          <w:bCs/>
          <w:sz w:val="20"/>
          <w:szCs w:val="20"/>
        </w:rPr>
        <w:t xml:space="preserve">Additional file 5.</w:t>
      </w:r>
      <w:r>
        <w:rPr>
          <w:rFonts w:ascii="Times New Roman" w:cs="Times New Roman" w:eastAsia="Times New Roman" w:hAnsi="Times New Roman"/>
          <w:sz w:val="20"/>
          <w:szCs w:val="20"/>
        </w:rPr>
        <w:t xml:space="preserve"> Additional_file_5.csv (.csv); Table S5: Variation across the three outer cross-validation repeats. Repeat-level estimates and descriptive ranges/standard deviations; repeats are not independent replications.</w:t>
      </w:r>
    </w:p>
    <w:p>
      <w:pPr>
        <w:keepNext/>
        <w:keepLines w:val="false"/>
        <w:spacing w:after="80" w:line="360"/>
      </w:pPr>
      <w:r>
        <w:rPr>
          <w:rFonts w:ascii="Times New Roman" w:cs="Times New Roman" w:eastAsia="Times New Roman" w:hAnsi="Times New Roman"/>
          <w:b/>
          <w:bCs/>
          <w:sz w:val="20"/>
          <w:szCs w:val="20"/>
        </w:rPr>
        <w:t xml:space="preserve">Additional file 6.</w:t>
      </w:r>
      <w:r>
        <w:rPr>
          <w:rFonts w:ascii="Times New Roman" w:cs="Times New Roman" w:eastAsia="Times New Roman" w:hAnsi="Times New Roman"/>
          <w:sz w:val="20"/>
          <w:szCs w:val="20"/>
        </w:rPr>
        <w:t xml:space="preserve"> Additional_file_6.csv (.csv); Table S6: Molecular zero-solution and fit audit. Outer-fold zero/nonzero fits, warnings, fallbacks, active-feature ranges, and full-development molecular coefficient counts.</w:t>
      </w:r>
    </w:p>
    <w:p>
      <w:pPr>
        <w:keepNext/>
        <w:keepLines w:val="false"/>
        <w:spacing w:after="80" w:line="360"/>
      </w:pPr>
      <w:r>
        <w:rPr>
          <w:rFonts w:ascii="Times New Roman" w:cs="Times New Roman" w:eastAsia="Times New Roman" w:hAnsi="Times New Roman"/>
          <w:b/>
          <w:bCs/>
          <w:sz w:val="20"/>
          <w:szCs w:val="20"/>
        </w:rPr>
        <w:t xml:space="preserve">Additional file 7.</w:t>
      </w:r>
      <w:r>
        <w:rPr>
          <w:rFonts w:ascii="Times New Roman" w:cs="Times New Roman" w:eastAsia="Times New Roman" w:hAnsi="Times New Roman"/>
          <w:sz w:val="20"/>
          <w:szCs w:val="20"/>
        </w:rPr>
        <w:t xml:space="preserve"> Additional_file_7.csv (.csv); Table S7: Complete leave-one-tissue-out sensitivity results. All 184 drug-by-tissue cells across 23 tissues, retaining undefined statistics and model status.</w:t>
      </w:r>
    </w:p>
    <w:p>
      <w:pPr>
        <w:keepNext/>
        <w:keepLines w:val="false"/>
        <w:spacing w:after="80" w:line="360"/>
      </w:pPr>
      <w:r>
        <w:rPr>
          <w:rFonts w:ascii="Times New Roman" w:cs="Times New Roman" w:eastAsia="Times New Roman" w:hAnsi="Times New Roman"/>
          <w:b/>
          <w:bCs/>
          <w:sz w:val="20"/>
          <w:szCs w:val="20"/>
        </w:rPr>
        <w:t xml:space="preserve">Additional file 8.</w:t>
      </w:r>
      <w:r>
        <w:rPr>
          <w:rFonts w:ascii="Times New Roman" w:cs="Times New Roman" w:eastAsia="Times New Roman" w:hAnsi="Times New Roman"/>
          <w:sz w:val="20"/>
          <w:szCs w:val="20"/>
        </w:rPr>
        <w:t xml:space="preserve"> Additional_file_8.csv (.csv); Table S8: Compound identity mapping and assay coverage. GDSC2/CTRPv2 identifiers, identity evidence, chemical identifiers, concentration ranges, and cohort coverage for eight compounds.</w:t>
      </w:r>
    </w:p>
    <w:p>
      <w:pPr>
        <w:keepNext/>
        <w:keepLines w:val="false"/>
        <w:spacing w:after="80" w:line="360"/>
      </w:pPr>
      <w:r>
        <w:rPr>
          <w:rFonts w:ascii="Times New Roman" w:cs="Times New Roman" w:eastAsia="Times New Roman" w:hAnsi="Times New Roman"/>
          <w:b/>
          <w:bCs/>
          <w:sz w:val="20"/>
          <w:szCs w:val="20"/>
        </w:rPr>
        <w:t xml:space="preserve">Additional file 9.</w:t>
      </w:r>
      <w:r>
        <w:rPr>
          <w:rFonts w:ascii="Times New Roman" w:cs="Times New Roman" w:eastAsia="Times New Roman" w:hAnsi="Times New Roman"/>
          <w:sz w:val="20"/>
          <w:szCs w:val="20"/>
        </w:rPr>
        <w:t xml:space="preserve"> Additional_file_9.csv (.csv); Table S9: Absolute locked external ranking performance for all eight drugs and eight arms, plus strict eight-drug macros (72 rows). Includes Spearman, counts and final coefficient status. Existing drug-level absolute-rho intervals are available for five molecular arms; all other uncomputed intervals remain NA. Uncalibrated cross-screen RMSE and R-squared are not included.</w:t>
      </w:r>
    </w:p>
    <w:p>
      <w:pPr>
        <w:keepNext/>
        <w:keepLines w:val="false"/>
        <w:spacing w:after="80" w:line="360"/>
      </w:pPr>
      <w:r>
        <w:rPr>
          <w:rFonts w:ascii="Times New Roman" w:cs="Times New Roman" w:eastAsia="Times New Roman" w:hAnsi="Times New Roman"/>
          <w:b/>
          <w:bCs/>
          <w:sz w:val="20"/>
          <w:szCs w:val="20"/>
        </w:rPr>
        <w:t xml:space="preserve">Additional file 10.</w:t>
      </w:r>
      <w:r>
        <w:rPr>
          <w:rFonts w:ascii="Times New Roman" w:cs="Times New Roman" w:eastAsia="Times New Roman" w:hAnsi="Times New Roman"/>
          <w:sz w:val="20"/>
          <w:szCs w:val="20"/>
        </w:rPr>
        <w:t xml:space="preserve"> Additional_file_10.csv (.csv); Table S10: Expression200, rank200 and complete-pair comparisons under both candidate rules, for development and external evaluation (108 rows). Only pair-minus-expression belongs to the existing family-18 adjustment. Development rank contrasts have existing nominal descriptive intervals; external rank contrasts have point estimates only. No new inference or intervals were computed.</w:t>
      </w:r>
    </w:p>
    <w:p>
      <w:pPr>
        <w:keepNext/>
        <w:keepLines w:val="false"/>
        <w:spacing w:after="80" w:line="360"/>
      </w:pPr>
      <w:r>
        <w:rPr>
          <w:rFonts w:ascii="Times New Roman" w:cs="Times New Roman" w:eastAsia="Times New Roman" w:hAnsi="Times New Roman"/>
          <w:b/>
          <w:bCs/>
          <w:sz w:val="20"/>
          <w:szCs w:val="20"/>
        </w:rPr>
        <w:t xml:space="preserve">Additional file 11.</w:t>
      </w:r>
      <w:r>
        <w:rPr>
          <w:rFonts w:ascii="Times New Roman" w:cs="Times New Roman" w:eastAsia="Times New Roman" w:hAnsi="Times New Roman"/>
          <w:sz w:val="20"/>
          <w:szCs w:val="20"/>
        </w:rPr>
        <w:t xml:space="preserve"> Additional_file_11.csv (.csv); Table S11: Complete finite synthetic cohort-by-arm results (320 rows). Byte-identical to the recorded cohort metrics; blank undefined/not-applicable residual correlations remain blank. All four scenarios and all cohorts are retained; no inferential intervals are reported.</w:t>
      </w:r>
    </w:p>
    <w:p>
      <w:pPr>
        <w:keepNext/>
        <w:keepLines w:val="false"/>
        <w:spacing w:after="80" w:line="360"/>
      </w:pPr>
      <w:r>
        <w:rPr>
          <w:rFonts w:ascii="Times New Roman" w:cs="Times New Roman" w:eastAsia="Times New Roman" w:hAnsi="Times New Roman"/>
          <w:b/>
          <w:bCs/>
          <w:sz w:val="20"/>
          <w:szCs w:val="20"/>
        </w:rPr>
        <w:t xml:space="preserve">Additional file 12.</w:t>
      </w:r>
      <w:r>
        <w:rPr>
          <w:rFonts w:ascii="Times New Roman" w:cs="Times New Roman" w:eastAsia="Times New Roman" w:hAnsi="Times New Roman"/>
          <w:sz w:val="20"/>
          <w:szCs w:val="20"/>
        </w:rPr>
        <w:t xml:space="preserve"> Additional_file_12.csv (.csv); Table S12: All 40 synthetic generation checks, including RNG seeds, dimensions, ranges, scenario-specific invariants, and cohort/split hashes. The original log2_tpm column names refer to L=log2(TPM+1). Invariant fields outside their applicable scenarios remain blank.</w:t>
      </w:r>
    </w:p>
    <w:p>
      <w:pPr>
        <w:keepNext/>
        <w:keepLines w:val="false"/>
        <w:spacing w:after="80" w:line="360"/>
      </w:pPr>
      <w:r>
        <w:rPr>
          <w:rFonts w:ascii="Times New Roman" w:cs="Times New Roman" w:eastAsia="Times New Roman" w:hAnsi="Times New Roman"/>
          <w:b/>
          <w:bCs/>
          <w:sz w:val="20"/>
          <w:szCs w:val="20"/>
        </w:rPr>
        <w:t xml:space="preserve">Additional file 13.</w:t>
      </w:r>
      <w:r>
        <w:rPr>
          <w:rFonts w:ascii="Times New Roman" w:cs="Times New Roman" w:eastAsia="Times New Roman" w:hAnsi="Times New Roman"/>
          <w:sz w:val="20"/>
          <w:szCs w:val="20"/>
        </w:rPr>
        <w:t xml:space="preserve"> Additional_file_13.csv (.csv); Table S13: Recorded execution versions for repeated development, LOTO, full-development fitting and the locked external gateway. Missing original environment fields are explicitly marked not_recorded; scientific source bindings are distinguished from dispatch HEAD.</w:t>
      </w:r>
    </w:p>
    <w:p>
      <w:pPr>
        <w:keepNext/>
        <w:keepLines w:val="false"/>
        <w:spacing w:after="80" w:line="360"/>
      </w:pPr>
      <w:r>
        <w:rPr>
          <w:rFonts w:ascii="Times New Roman" w:cs="Times New Roman" w:eastAsia="Times New Roman" w:hAnsi="Times New Roman"/>
          <w:b/>
          <w:bCs/>
          <w:sz w:val="20"/>
          <w:szCs w:val="20"/>
        </w:rPr>
        <w:t xml:space="preserve">Additional file 14.</w:t>
      </w:r>
      <w:r>
        <w:rPr>
          <w:rFonts w:ascii="Times New Roman" w:cs="Times New Roman" w:eastAsia="Times New Roman" w:hAnsi="Times New Roman"/>
          <w:sz w:val="20"/>
          <w:szCs w:val="20"/>
        </w:rPr>
        <w:t xml:space="preserve"> Additional_file_14.docx (.docx); Supplementary methods and synthetic-control results. Identity/annotation rules, group splits and warnings, prediction identity, external missingness/abort policy, conditional interval implementation, execution amendments, and finite synthetic equations, provenance, warnings, resource records and all scenario results.</w:t>
      </w:r>
    </w:p>
    <w:sectPr>
      <w:footerReference w:type="default" r:id="rId6"/>
      <w:pgSz w:w="11906" w:h="16838" w:orient="portrait"/>
      <w:pgMar w:top="1440" w:right="1440" w:bottom="1440" w:left="1440" w:header="708" w:footer="708" w:gutter="0"/>
      <w:lnNumType w:countBy="1" w:start="1" w:restart="newPage" w:distance="36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4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bfc607900b9a85d01c3b1e894d2fa2aff432191.png"/><Relationship Id="rId9" Type="http://schemas.openxmlformats.org/officeDocument/2006/relationships/image" Target="media/49fc5b166b5cfe049eb2531b7390f2df459a9632.png"/><Relationship Id="rId10" Type="http://schemas.openxmlformats.org/officeDocument/2006/relationships/image" Target="media/ed68a59a2a28f0f644647ee02fb1470a19c0495f.png"/><Relationship Id="rId11" Type="http://schemas.openxmlformats.org/officeDocument/2006/relationships/image" Target="media/877013effdff3ca754456b03b11485e5139ef1b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BMC Genomics Research Article draft — author input required</dc:title>
  <dc:creator>Project manuscript build</dc:creator>
  <dc:description>Evidence-bounded BMC Genomics manuscript draft; not submission-ready.</dc:description>
  <cp:lastModifiedBy>Un-named</cp:lastModifiedBy>
  <cp:revision>1</cp:revision>
  <dcterms:created xsi:type="dcterms:W3CDTF">2026-10-16T08:11:13.353Z</dcterms:created>
  <dcterms:modified xsi:type="dcterms:W3CDTF">2026-10-16T08:11:13.355Z</dcterms:modified>
</cp:coreProperties>
</file>

<file path=docProps/custom.xml><?xml version="1.0" encoding="utf-8"?>
<Properties xmlns="http://schemas.openxmlformats.org/officeDocument/2006/custom-properties" xmlns:vt="http://schemas.openxmlformats.org/officeDocument/2006/docPropsVTypes"/>
</file>