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Information page: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Each tree species with maybe a photo or artistic rendering, that viewers can click on to learn a few basic things:</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Mycorrhizal association</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Geographic range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Designate the species as currently prominent in vermont (i.e. QURU, ACRU), declining in Vermont (i.e. ACSA), potentially expanding (i.e. PRSE, TIAM), or potentially range expanding (found further south, i.e. NYSY, BELE)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commentRangeStart w:id="0"/>
      <w:r w:rsidDel="00000000" w:rsidR="00000000" w:rsidRPr="00000000">
        <w:rPr>
          <w:rtl w:val="0"/>
        </w:rPr>
        <w:t xml:space="preserve">Some kind of photo thing to swipe through, showing the field site and people working there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Basic information about who is involved, institutions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Interactive components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Visualize data graphically with options to choose years and variables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Dependent variables include seedling growth, survival, 15N signature (only 2021)</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Independent variables include soil nutrients (nitrate and orthophosphate), soil moisture, soil scarification, slash, mycorrhizal plot legacy, seedling mycorrhizal association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Optimize conditions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Input certain data as a forest practitioner, the minimum information being basal area of species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The output would be recommendations of certain species to plant</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Capabilities to also include other information like soil fertility (based on our soil nutrient data), logged gap size (based on Eva’s 15N values)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Visualize seedling survival using photos/renderings of each tree species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Each species would be grouped by mycorrhizal type, and have varying heights that represent percent survival</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It also might make more sense to have a different visual difference, such as transparency, while height could be used to represent height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elia Fitch" w:id="0" w:date="2023-01-20T17:27:5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@eva.o.legge.22@dartmouth.edu could you add some photos to the folder. Thanks!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Eva Legge_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