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Synopsis of Power BI Project: Florida Housing and Population Trends</w:t>
      </w:r>
    </w:p>
    <w:p w:rsidR="00000000" w:rsidDel="00000000" w:rsidP="00000000" w:rsidRDefault="00000000" w:rsidRPr="00000000" w14:paraId="00000002">
      <w:pPr>
        <w:spacing w:line="36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Power BI report examines the relationship between population growth, housing supply, affordability, and homelessness in Florida. It integrates data from the U.S. Census Bureau and the Annual U.S. Homeless Statistics Reports Database to provide a multi-faceted analysis of the state’s housing challenges from 2010 to 2023, with projections through 2028.</w:t>
      </w:r>
    </w:p>
    <w:p w:rsidR="00000000" w:rsidDel="00000000" w:rsidP="00000000" w:rsidRDefault="00000000" w:rsidRPr="00000000" w14:paraId="00000003">
      <w:pPr>
        <w:pStyle w:val="Heading3"/>
        <w:keepNext w:val="0"/>
        <w:keepLines w:val="0"/>
        <w:spacing w:after="0" w:before="0" w:line="360" w:lineRule="auto"/>
        <w:jc w:val="both"/>
        <w:rPr>
          <w:rFonts w:ascii="Times New Roman" w:cs="Times New Roman" w:eastAsia="Times New Roman" w:hAnsi="Times New Roman"/>
          <w:b w:val="1"/>
          <w:color w:val="0e101a"/>
          <w:sz w:val="24"/>
          <w:szCs w:val="24"/>
        </w:rPr>
      </w:pPr>
      <w:bookmarkStart w:colFirst="0" w:colLast="0" w:name="_pr75lnlixcch" w:id="0"/>
      <w:bookmarkEnd w:id="0"/>
      <w:r w:rsidDel="00000000" w:rsidR="00000000" w:rsidRPr="00000000">
        <w:rPr>
          <w:rtl w:val="0"/>
        </w:rPr>
      </w:r>
    </w:p>
    <w:p w:rsidR="00000000" w:rsidDel="00000000" w:rsidP="00000000" w:rsidRDefault="00000000" w:rsidRPr="00000000" w14:paraId="00000004">
      <w:pPr>
        <w:pStyle w:val="Heading3"/>
        <w:keepNext w:val="0"/>
        <w:keepLines w:val="0"/>
        <w:spacing w:after="0" w:before="0" w:line="360" w:lineRule="auto"/>
        <w:jc w:val="both"/>
        <w:rPr>
          <w:rFonts w:ascii="Times New Roman" w:cs="Times New Roman" w:eastAsia="Times New Roman" w:hAnsi="Times New Roman"/>
          <w:b w:val="1"/>
          <w:color w:val="0e101a"/>
          <w:sz w:val="24"/>
          <w:szCs w:val="24"/>
        </w:rPr>
      </w:pPr>
      <w:bookmarkStart w:colFirst="0" w:colLast="0" w:name="_jtoizy3kka3h" w:id="1"/>
      <w:bookmarkEnd w:id="1"/>
      <w:r w:rsidDel="00000000" w:rsidR="00000000" w:rsidRPr="00000000">
        <w:rPr>
          <w:rFonts w:ascii="Times New Roman" w:cs="Times New Roman" w:eastAsia="Times New Roman" w:hAnsi="Times New Roman"/>
          <w:b w:val="1"/>
          <w:color w:val="0e101a"/>
          <w:sz w:val="24"/>
          <w:szCs w:val="24"/>
          <w:rtl w:val="0"/>
        </w:rPr>
        <w:t xml:space="preserve">Key Insights</w:t>
      </w:r>
    </w:p>
    <w:p w:rsidR="00000000" w:rsidDel="00000000" w:rsidP="00000000" w:rsidRDefault="00000000" w:rsidRPr="00000000" w14:paraId="0000000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101a"/>
          <w:sz w:val="24"/>
          <w:szCs w:val="24"/>
          <w:rtl w:val="0"/>
        </w:rPr>
        <w:t xml:space="preserve">Population Growth vs. Housing Development</w:t>
      </w:r>
    </w:p>
    <w:p w:rsidR="00000000" w:rsidDel="00000000" w:rsidP="00000000" w:rsidRDefault="00000000" w:rsidRPr="00000000" w14:paraId="00000006">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Florida’s population grew by over 3.5 million from 2010 to 2023 and is projected to continue increasing.</w:t>
      </w:r>
    </w:p>
    <w:p w:rsidR="00000000" w:rsidDel="00000000" w:rsidP="00000000" w:rsidRDefault="00000000" w:rsidRPr="00000000" w14:paraId="00000007">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Year-over-year trends show that population growth frequently outpaces housing development, particularly in 2015 and 2021.</w:t>
      </w:r>
    </w:p>
    <w:p w:rsidR="00000000" w:rsidDel="00000000" w:rsidP="00000000" w:rsidRDefault="00000000" w:rsidRPr="00000000" w14:paraId="00000008">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Despite an average of ~460 homes per 1,000 people (above the U.S. benchmark of 430), inconsistencies in yearly housing supply may lead to rising costs and availability issues.</w:t>
      </w:r>
    </w:p>
    <w:p w:rsidR="00000000" w:rsidDel="00000000" w:rsidP="00000000" w:rsidRDefault="00000000" w:rsidRPr="00000000" w14:paraId="0000000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101a"/>
          <w:sz w:val="24"/>
          <w:szCs w:val="24"/>
          <w:rtl w:val="0"/>
        </w:rPr>
        <w:t xml:space="preserve">Homelessness and Housing Vacancy</w:t>
      </w:r>
    </w:p>
    <w:p w:rsidR="00000000" w:rsidDel="00000000" w:rsidP="00000000" w:rsidRDefault="00000000" w:rsidRPr="00000000" w14:paraId="0000000A">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The number of homeless individuals fluctuated significantly, from a high of 37,584 in 2011 to a low of 12,502 in 2021, before increasing again to 22,925 in 2023.</w:t>
      </w:r>
    </w:p>
    <w:p w:rsidR="00000000" w:rsidDel="00000000" w:rsidP="00000000" w:rsidRDefault="00000000" w:rsidRPr="00000000" w14:paraId="0000000B">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Florida’s home vacancy rate has steadily declined, suggesting fewer underutilized housing units.</w:t>
      </w:r>
    </w:p>
    <w:p w:rsidR="00000000" w:rsidDel="00000000" w:rsidP="00000000" w:rsidRDefault="00000000" w:rsidRPr="00000000" w14:paraId="0000000C">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KPI metrics highlight that a higher vacant housing-to-homeless ratio indicates untapped opportunities to address homelessness through existing housing stock.</w:t>
      </w:r>
    </w:p>
    <w:p w:rsidR="00000000" w:rsidDel="00000000" w:rsidP="00000000" w:rsidRDefault="00000000" w:rsidRPr="00000000" w14:paraId="0000000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101a"/>
          <w:sz w:val="24"/>
          <w:szCs w:val="24"/>
          <w:rtl w:val="0"/>
        </w:rPr>
        <w:t xml:space="preserve">Home Sales and Income Trends</w:t>
      </w:r>
    </w:p>
    <w:p w:rsidR="00000000" w:rsidDel="00000000" w:rsidP="00000000" w:rsidRDefault="00000000" w:rsidRPr="00000000" w14:paraId="0000000E">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Analysis of new home sales by price range shows that homes under $300,000 have decreased sharply, limiting affordability.</w:t>
      </w:r>
    </w:p>
    <w:p w:rsidR="00000000" w:rsidDel="00000000" w:rsidP="00000000" w:rsidRDefault="00000000" w:rsidRPr="00000000" w14:paraId="0000000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Most sales occur in the $300,000–$399,999 range, with overall sales declining after 2020.</w:t>
      </w:r>
    </w:p>
    <w:p w:rsidR="00000000" w:rsidDel="00000000" w:rsidP="00000000" w:rsidRDefault="00000000" w:rsidRPr="00000000" w14:paraId="00000010">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Median household income dropped in 2022, coinciding with a fall in home sales, likely due to the economic impacts of COVID-19.</w:t>
      </w:r>
    </w:p>
    <w:p w:rsidR="00000000" w:rsidDel="00000000" w:rsidP="00000000" w:rsidRDefault="00000000" w:rsidRPr="00000000" w14:paraId="00000011">
      <w:pPr>
        <w:pStyle w:val="Heading3"/>
        <w:keepNext w:val="0"/>
        <w:keepLines w:val="0"/>
        <w:spacing w:after="0" w:before="0" w:line="360" w:lineRule="auto"/>
        <w:jc w:val="both"/>
        <w:rPr>
          <w:rFonts w:ascii="Times New Roman" w:cs="Times New Roman" w:eastAsia="Times New Roman" w:hAnsi="Times New Roman"/>
          <w:b w:val="1"/>
          <w:color w:val="0e101a"/>
          <w:sz w:val="24"/>
          <w:szCs w:val="24"/>
        </w:rPr>
      </w:pPr>
      <w:bookmarkStart w:colFirst="0" w:colLast="0" w:name="_7dn3fpjj56tm" w:id="2"/>
      <w:bookmarkEnd w:id="2"/>
      <w:r w:rsidDel="00000000" w:rsidR="00000000" w:rsidRPr="00000000">
        <w:rPr>
          <w:rtl w:val="0"/>
        </w:rPr>
      </w:r>
    </w:p>
    <w:p w:rsidR="00000000" w:rsidDel="00000000" w:rsidP="00000000" w:rsidRDefault="00000000" w:rsidRPr="00000000" w14:paraId="00000012">
      <w:pPr>
        <w:pStyle w:val="Heading3"/>
        <w:keepNext w:val="0"/>
        <w:keepLines w:val="0"/>
        <w:spacing w:after="0" w:before="0" w:line="360" w:lineRule="auto"/>
        <w:jc w:val="both"/>
        <w:rPr>
          <w:rFonts w:ascii="Times New Roman" w:cs="Times New Roman" w:eastAsia="Times New Roman" w:hAnsi="Times New Roman"/>
          <w:b w:val="1"/>
          <w:color w:val="0e101a"/>
          <w:sz w:val="24"/>
          <w:szCs w:val="24"/>
        </w:rPr>
      </w:pPr>
      <w:bookmarkStart w:colFirst="0" w:colLast="0" w:name="_it29apyzr3gm" w:id="3"/>
      <w:bookmarkEnd w:id="3"/>
      <w:r w:rsidDel="00000000" w:rsidR="00000000" w:rsidRPr="00000000">
        <w:rPr>
          <w:rFonts w:ascii="Times New Roman" w:cs="Times New Roman" w:eastAsia="Times New Roman" w:hAnsi="Times New Roman"/>
          <w:b w:val="1"/>
          <w:color w:val="0e101a"/>
          <w:sz w:val="24"/>
          <w:szCs w:val="24"/>
          <w:rtl w:val="0"/>
        </w:rPr>
        <w:t xml:space="preserve">Overall Implications</w:t>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color w:val="0e101a"/>
          <w:sz w:val="24"/>
          <w:szCs w:val="24"/>
          <w:rtl w:val="0"/>
        </w:rPr>
        <w:t xml:space="preserve">Supply Gap:</w:t>
      </w:r>
      <w:r w:rsidDel="00000000" w:rsidR="00000000" w:rsidRPr="00000000">
        <w:rPr>
          <w:rFonts w:ascii="Times New Roman" w:cs="Times New Roman" w:eastAsia="Times New Roman" w:hAnsi="Times New Roman"/>
          <w:color w:val="0e101a"/>
          <w:sz w:val="24"/>
          <w:szCs w:val="24"/>
          <w:rtl w:val="0"/>
        </w:rPr>
        <w:t xml:space="preserve"> Florida must accelerate housing development to match population growth, with a focus on affordable and regionally distributed homes.</w:t>
      </w:r>
    </w:p>
    <w:p w:rsidR="00000000" w:rsidDel="00000000" w:rsidP="00000000" w:rsidRDefault="00000000" w:rsidRPr="00000000" w14:paraId="00000014">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color w:val="0e101a"/>
          <w:sz w:val="24"/>
          <w:szCs w:val="24"/>
          <w:rtl w:val="0"/>
        </w:rPr>
        <w:t xml:space="preserve">Affordability Risk:</w:t>
      </w:r>
      <w:r w:rsidDel="00000000" w:rsidR="00000000" w:rsidRPr="00000000">
        <w:rPr>
          <w:rFonts w:ascii="Times New Roman" w:cs="Times New Roman" w:eastAsia="Times New Roman" w:hAnsi="Times New Roman"/>
          <w:color w:val="0e101a"/>
          <w:sz w:val="24"/>
          <w:szCs w:val="24"/>
          <w:rtl w:val="0"/>
        </w:rPr>
        <w:t xml:space="preserve"> Rising home prices and fewer affordable units under $300,000 place financial strain on lower-income households.</w:t>
      </w:r>
    </w:p>
    <w:p w:rsidR="00000000" w:rsidDel="00000000" w:rsidP="00000000" w:rsidRDefault="00000000" w:rsidRPr="00000000" w14:paraId="00000015">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color w:val="0e101a"/>
          <w:sz w:val="24"/>
          <w:szCs w:val="24"/>
          <w:rtl w:val="0"/>
        </w:rPr>
        <w:t xml:space="preserve">Policy Considerations:</w:t>
      </w:r>
      <w:r w:rsidDel="00000000" w:rsidR="00000000" w:rsidRPr="00000000">
        <w:rPr>
          <w:rFonts w:ascii="Times New Roman" w:cs="Times New Roman" w:eastAsia="Times New Roman" w:hAnsi="Times New Roman"/>
          <w:color w:val="0e101a"/>
          <w:sz w:val="24"/>
          <w:szCs w:val="24"/>
          <w:rtl w:val="0"/>
        </w:rPr>
        <w:t xml:space="preserve"> Leveraging vacant housing to reduce homelessness and implementing policies to expand affordable housing options are critical to prevent future shortages, cost increases, and accessibility issues.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