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6268B" w14:textId="7B78CC6C" w:rsidR="1F279642" w:rsidRDefault="70CB6287" w:rsidP="0C86C642">
      <w:pPr>
        <w:spacing w:line="360" w:lineRule="auto"/>
        <w:jc w:val="center"/>
        <w:rPr>
          <w:rFonts w:ascii="Times New Roman" w:eastAsia="Times New Roman" w:hAnsi="Times New Roman" w:cs="Times New Roman"/>
          <w:b/>
          <w:bCs/>
          <w:sz w:val="40"/>
          <w:szCs w:val="40"/>
        </w:rPr>
      </w:pPr>
      <w:r w:rsidRPr="0C86C642">
        <w:rPr>
          <w:rFonts w:ascii="Times New Roman" w:eastAsia="Times New Roman" w:hAnsi="Times New Roman" w:cs="Times New Roman"/>
          <w:b/>
          <w:bCs/>
          <w:sz w:val="40"/>
          <w:szCs w:val="40"/>
        </w:rPr>
        <w:t>Risk Analysis</w:t>
      </w:r>
    </w:p>
    <w:p w14:paraId="7B281919" w14:textId="602122C9" w:rsidR="1F279642" w:rsidRDefault="1F279642" w:rsidP="3E34CFC8">
      <w:pPr>
        <w:spacing w:line="360" w:lineRule="auto"/>
        <w:jc w:val="center"/>
        <w:rPr>
          <w:rFonts w:ascii="Times New Roman" w:eastAsia="Times New Roman" w:hAnsi="Times New Roman" w:cs="Times New Roman"/>
        </w:rPr>
      </w:pPr>
      <w:r w:rsidRPr="0C86C642">
        <w:rPr>
          <w:rFonts w:ascii="Times New Roman" w:eastAsia="Times New Roman" w:hAnsi="Times New Roman" w:cs="Times New Roman"/>
        </w:rPr>
        <w:t>Data Report</w:t>
      </w:r>
    </w:p>
    <w:p w14:paraId="4BD29CF6" w14:textId="77777777" w:rsidR="00ED3400" w:rsidRDefault="00ED3400" w:rsidP="0C86C642">
      <w:pPr>
        <w:spacing w:line="360" w:lineRule="auto"/>
        <w:jc w:val="center"/>
        <w:rPr>
          <w:rFonts w:ascii="Times New Roman" w:eastAsia="Times New Roman" w:hAnsi="Times New Roman" w:cs="Times New Roman"/>
        </w:rPr>
      </w:pPr>
    </w:p>
    <w:p w14:paraId="6909F4B3" w14:textId="2AD5902A" w:rsidR="1F279642" w:rsidRDefault="70CB6287" w:rsidP="3E34CFC8">
      <w:pPr>
        <w:spacing w:line="360" w:lineRule="auto"/>
        <w:jc w:val="center"/>
        <w:rPr>
          <w:rFonts w:ascii="Times New Roman" w:eastAsia="Times New Roman" w:hAnsi="Times New Roman" w:cs="Times New Roman"/>
        </w:rPr>
      </w:pPr>
      <w:r w:rsidRPr="0C86C642">
        <w:rPr>
          <w:rFonts w:ascii="Times New Roman" w:eastAsia="Times New Roman" w:hAnsi="Times New Roman" w:cs="Times New Roman"/>
        </w:rPr>
        <w:t>Noah Morland, Mehgan Paulino-Alejandro</w:t>
      </w:r>
      <w:r w:rsidR="0EAC5A80" w:rsidRPr="0C86C642">
        <w:rPr>
          <w:rFonts w:ascii="Times New Roman" w:eastAsia="Times New Roman" w:hAnsi="Times New Roman" w:cs="Times New Roman"/>
        </w:rPr>
        <w:t>, Rashid Hamid</w:t>
      </w:r>
    </w:p>
    <w:p w14:paraId="31E312B2" w14:textId="77777777" w:rsidR="00ED3400" w:rsidRDefault="00ED3400" w:rsidP="3E34CFC8">
      <w:pPr>
        <w:spacing w:line="360" w:lineRule="auto"/>
        <w:jc w:val="center"/>
        <w:rPr>
          <w:rFonts w:ascii="Times New Roman" w:eastAsia="Times New Roman" w:hAnsi="Times New Roman" w:cs="Times New Roman"/>
        </w:rPr>
      </w:pPr>
    </w:p>
    <w:p w14:paraId="277EE485" w14:textId="2BE601E2" w:rsidR="1F279642" w:rsidRDefault="1F279642" w:rsidP="0C86C642">
      <w:pPr>
        <w:spacing w:line="360" w:lineRule="auto"/>
        <w:jc w:val="center"/>
        <w:rPr>
          <w:rFonts w:ascii="Times New Roman" w:eastAsia="Times New Roman" w:hAnsi="Times New Roman" w:cs="Times New Roman"/>
        </w:rPr>
      </w:pPr>
      <w:r w:rsidRPr="0C86C642">
        <w:rPr>
          <w:rFonts w:ascii="Times New Roman" w:eastAsia="Times New Roman" w:hAnsi="Times New Roman" w:cs="Times New Roman"/>
        </w:rPr>
        <w:t>Department of Civil &amp; Environmental Engineering, University of Nebraska-Lincoln</w:t>
      </w:r>
    </w:p>
    <w:p w14:paraId="10248261" w14:textId="77777777" w:rsidR="00ED3400" w:rsidRDefault="00ED3400" w:rsidP="3E34CFC8">
      <w:pPr>
        <w:spacing w:line="360" w:lineRule="auto"/>
        <w:jc w:val="center"/>
        <w:rPr>
          <w:rFonts w:ascii="Times New Roman" w:eastAsia="Times New Roman" w:hAnsi="Times New Roman" w:cs="Times New Roman"/>
        </w:rPr>
      </w:pPr>
    </w:p>
    <w:p w14:paraId="78754608" w14:textId="6F50F71A" w:rsidR="1F279642" w:rsidRDefault="1F279642" w:rsidP="0C86C642">
      <w:pPr>
        <w:spacing w:line="360" w:lineRule="auto"/>
        <w:jc w:val="center"/>
        <w:rPr>
          <w:rFonts w:ascii="Times New Roman" w:eastAsia="Times New Roman" w:hAnsi="Times New Roman" w:cs="Times New Roman"/>
        </w:rPr>
      </w:pPr>
      <w:r w:rsidRPr="0C86C642">
        <w:rPr>
          <w:rFonts w:ascii="Times New Roman" w:eastAsia="Times New Roman" w:hAnsi="Times New Roman" w:cs="Times New Roman"/>
        </w:rPr>
        <w:t>CIVE 202: Civil Engineering Analysis II</w:t>
      </w:r>
    </w:p>
    <w:p w14:paraId="1FEF0141" w14:textId="77777777" w:rsidR="00ED3400" w:rsidRDefault="00ED3400" w:rsidP="3E34CFC8">
      <w:pPr>
        <w:spacing w:line="360" w:lineRule="auto"/>
        <w:jc w:val="center"/>
        <w:rPr>
          <w:rFonts w:ascii="Times New Roman" w:eastAsia="Times New Roman" w:hAnsi="Times New Roman" w:cs="Times New Roman"/>
        </w:rPr>
      </w:pPr>
    </w:p>
    <w:p w14:paraId="7A3ADC6B" w14:textId="63AA864C" w:rsidR="1F279642" w:rsidRDefault="1F279642" w:rsidP="0C86C642">
      <w:pPr>
        <w:spacing w:line="360" w:lineRule="auto"/>
        <w:jc w:val="center"/>
        <w:rPr>
          <w:rFonts w:ascii="Times New Roman" w:eastAsia="Times New Roman" w:hAnsi="Times New Roman" w:cs="Times New Roman"/>
        </w:rPr>
      </w:pPr>
      <w:r w:rsidRPr="0C86C642">
        <w:rPr>
          <w:rFonts w:ascii="Times New Roman" w:eastAsia="Times New Roman" w:hAnsi="Times New Roman" w:cs="Times New Roman"/>
        </w:rPr>
        <w:t>Dr. Kaycie Lane</w:t>
      </w:r>
    </w:p>
    <w:p w14:paraId="1016AF5A" w14:textId="77777777" w:rsidR="00ED3400" w:rsidRDefault="00ED3400" w:rsidP="3E34CFC8">
      <w:pPr>
        <w:spacing w:line="360" w:lineRule="auto"/>
        <w:jc w:val="center"/>
        <w:rPr>
          <w:rFonts w:ascii="Times New Roman" w:eastAsia="Times New Roman" w:hAnsi="Times New Roman" w:cs="Times New Roman"/>
        </w:rPr>
      </w:pPr>
    </w:p>
    <w:p w14:paraId="2D5A29F8" w14:textId="2F0FE6D1" w:rsidR="1F279642" w:rsidRDefault="408EF90D" w:rsidP="3E34CFC8">
      <w:pPr>
        <w:spacing w:line="360" w:lineRule="auto"/>
        <w:jc w:val="center"/>
        <w:rPr>
          <w:rFonts w:ascii="Times New Roman" w:eastAsia="Times New Roman" w:hAnsi="Times New Roman" w:cs="Times New Roman"/>
        </w:rPr>
      </w:pPr>
      <w:r w:rsidRPr="0C86C642">
        <w:rPr>
          <w:rFonts w:ascii="Times New Roman" w:eastAsia="Times New Roman" w:hAnsi="Times New Roman" w:cs="Times New Roman"/>
        </w:rPr>
        <w:t>April 21</w:t>
      </w:r>
      <w:r w:rsidR="1F279642" w:rsidRPr="0C86C642">
        <w:rPr>
          <w:rFonts w:ascii="Times New Roman" w:eastAsia="Times New Roman" w:hAnsi="Times New Roman" w:cs="Times New Roman"/>
        </w:rPr>
        <w:t>, 2026</w:t>
      </w:r>
    </w:p>
    <w:p w14:paraId="2E86BA62" w14:textId="6F1C161C" w:rsidR="003364C6" w:rsidRDefault="003364C6" w:rsidP="3E34CFC8">
      <w:pPr>
        <w:spacing w:line="360" w:lineRule="auto"/>
      </w:pPr>
      <w:r>
        <w:br w:type="page"/>
      </w:r>
    </w:p>
    <w:sdt>
      <w:sdtPr>
        <w:rPr>
          <w:rFonts w:asciiTheme="minorHAnsi" w:eastAsiaTheme="minorEastAsia" w:hAnsiTheme="minorHAnsi" w:cstheme="minorBidi"/>
          <w:color w:val="auto"/>
          <w:sz w:val="24"/>
          <w:szCs w:val="24"/>
          <w:lang w:eastAsia="ja-JP"/>
        </w:rPr>
        <w:id w:val="-327443465"/>
        <w:docPartObj>
          <w:docPartGallery w:val="Table of Contents"/>
          <w:docPartUnique/>
        </w:docPartObj>
      </w:sdtPr>
      <w:sdtEndPr>
        <w:rPr>
          <w:b/>
          <w:bCs/>
          <w:noProof/>
        </w:rPr>
      </w:sdtEndPr>
      <w:sdtContent>
        <w:p w14:paraId="37A62381" w14:textId="000C62FD" w:rsidR="005F4054" w:rsidRDefault="005F4054" w:rsidP="306AEB03">
          <w:pPr>
            <w:pStyle w:val="TOCHeading"/>
            <w:spacing w:line="360" w:lineRule="auto"/>
          </w:pPr>
          <w:r>
            <w:t>Table of Contents</w:t>
          </w:r>
        </w:p>
        <w:p w14:paraId="23F004FB" w14:textId="539BB64D" w:rsidR="005F4054" w:rsidRDefault="005F4054" w:rsidP="3C48B331">
          <w:pPr>
            <w:pStyle w:val="TOC2"/>
            <w:tabs>
              <w:tab w:val="right" w:leader="dot" w:pos="9345"/>
            </w:tabs>
            <w:rPr>
              <w:noProof/>
              <w:lang w:eastAsia="en-US"/>
            </w:rPr>
          </w:pPr>
          <w:r>
            <w:fldChar w:fldCharType="begin"/>
          </w:r>
          <w:r>
            <w:instrText>TOC \o "1-3" \z \u \h</w:instrText>
          </w:r>
          <w:r>
            <w:fldChar w:fldCharType="separate"/>
          </w:r>
          <w:hyperlink w:anchor="_Toc2107097824">
            <w:r w:rsidR="3C48B331" w:rsidRPr="3C48B331">
              <w:rPr>
                <w:rStyle w:val="Hyperlink"/>
                <w:noProof/>
              </w:rPr>
              <w:t>Introduction and Background</w:t>
            </w:r>
            <w:r>
              <w:rPr>
                <w:noProof/>
              </w:rPr>
              <w:tab/>
            </w:r>
            <w:r>
              <w:rPr>
                <w:noProof/>
              </w:rPr>
              <w:fldChar w:fldCharType="begin"/>
            </w:r>
            <w:r>
              <w:rPr>
                <w:noProof/>
              </w:rPr>
              <w:instrText>PAGEREF _Toc2107097824 \h</w:instrText>
            </w:r>
            <w:r>
              <w:rPr>
                <w:noProof/>
              </w:rPr>
            </w:r>
            <w:r>
              <w:rPr>
                <w:noProof/>
              </w:rPr>
              <w:fldChar w:fldCharType="separate"/>
            </w:r>
            <w:r w:rsidR="00FB3765">
              <w:rPr>
                <w:noProof/>
              </w:rPr>
              <w:t>3</w:t>
            </w:r>
            <w:r>
              <w:rPr>
                <w:noProof/>
              </w:rPr>
              <w:fldChar w:fldCharType="end"/>
            </w:r>
          </w:hyperlink>
        </w:p>
        <w:p w14:paraId="49FBC4CF" w14:textId="4C901026" w:rsidR="005F4054" w:rsidRDefault="3C48B331" w:rsidP="3C48B331">
          <w:pPr>
            <w:pStyle w:val="TOC2"/>
            <w:tabs>
              <w:tab w:val="right" w:leader="dot" w:pos="9345"/>
            </w:tabs>
            <w:rPr>
              <w:noProof/>
              <w:lang w:eastAsia="en-US"/>
            </w:rPr>
          </w:pPr>
          <w:hyperlink w:anchor="_Toc1029848299">
            <w:r w:rsidRPr="3C48B331">
              <w:rPr>
                <w:rStyle w:val="Hyperlink"/>
                <w:noProof/>
              </w:rPr>
              <w:t>Summary</w:t>
            </w:r>
            <w:r w:rsidR="005F4054">
              <w:rPr>
                <w:noProof/>
              </w:rPr>
              <w:tab/>
            </w:r>
            <w:r w:rsidR="005F4054">
              <w:rPr>
                <w:noProof/>
              </w:rPr>
              <w:fldChar w:fldCharType="begin"/>
            </w:r>
            <w:r w:rsidR="005F4054">
              <w:rPr>
                <w:noProof/>
              </w:rPr>
              <w:instrText>PAGEREF _Toc1029848299 \h</w:instrText>
            </w:r>
            <w:r w:rsidR="005F4054">
              <w:rPr>
                <w:noProof/>
              </w:rPr>
            </w:r>
            <w:r w:rsidR="005F4054">
              <w:rPr>
                <w:noProof/>
              </w:rPr>
              <w:fldChar w:fldCharType="separate"/>
            </w:r>
            <w:r w:rsidR="00FB3765">
              <w:rPr>
                <w:noProof/>
              </w:rPr>
              <w:t>4</w:t>
            </w:r>
            <w:r w:rsidR="005F4054">
              <w:rPr>
                <w:noProof/>
              </w:rPr>
              <w:fldChar w:fldCharType="end"/>
            </w:r>
          </w:hyperlink>
        </w:p>
        <w:p w14:paraId="5ABA18CE" w14:textId="5D1428F9" w:rsidR="005F4054" w:rsidRDefault="3C48B331" w:rsidP="3C48B331">
          <w:pPr>
            <w:pStyle w:val="TOC2"/>
            <w:tabs>
              <w:tab w:val="right" w:leader="dot" w:pos="9345"/>
            </w:tabs>
            <w:rPr>
              <w:noProof/>
              <w:lang w:eastAsia="en-US"/>
            </w:rPr>
          </w:pPr>
          <w:hyperlink w:anchor="_Toc808943432">
            <w:r w:rsidRPr="3C48B331">
              <w:rPr>
                <w:rStyle w:val="Hyperlink"/>
                <w:noProof/>
              </w:rPr>
              <w:t>Methods</w:t>
            </w:r>
            <w:r w:rsidR="005F4054">
              <w:rPr>
                <w:noProof/>
              </w:rPr>
              <w:tab/>
            </w:r>
            <w:r w:rsidR="005F4054">
              <w:rPr>
                <w:noProof/>
              </w:rPr>
              <w:fldChar w:fldCharType="begin"/>
            </w:r>
            <w:r w:rsidR="005F4054">
              <w:rPr>
                <w:noProof/>
              </w:rPr>
              <w:instrText>PAGEREF _Toc808943432 \h</w:instrText>
            </w:r>
            <w:r w:rsidR="005F4054">
              <w:rPr>
                <w:noProof/>
              </w:rPr>
            </w:r>
            <w:r w:rsidR="005F4054">
              <w:rPr>
                <w:noProof/>
              </w:rPr>
              <w:fldChar w:fldCharType="separate"/>
            </w:r>
            <w:r w:rsidR="00FB3765">
              <w:rPr>
                <w:noProof/>
              </w:rPr>
              <w:t>4</w:t>
            </w:r>
            <w:r w:rsidR="005F4054">
              <w:rPr>
                <w:noProof/>
              </w:rPr>
              <w:fldChar w:fldCharType="end"/>
            </w:r>
          </w:hyperlink>
        </w:p>
        <w:p w14:paraId="30568E59" w14:textId="6F85C3B6" w:rsidR="005F4054" w:rsidRDefault="3C48B331" w:rsidP="3C48B331">
          <w:pPr>
            <w:pStyle w:val="TOC2"/>
            <w:tabs>
              <w:tab w:val="right" w:leader="dot" w:pos="9345"/>
            </w:tabs>
            <w:rPr>
              <w:noProof/>
              <w:lang w:eastAsia="en-US"/>
            </w:rPr>
          </w:pPr>
          <w:hyperlink w:anchor="_Toc473532818">
            <w:r w:rsidRPr="3C48B331">
              <w:rPr>
                <w:rStyle w:val="Hyperlink"/>
                <w:noProof/>
              </w:rPr>
              <w:t>Comparing New Risk Definition to National Risk Index (NRI):</w:t>
            </w:r>
            <w:r w:rsidR="005F4054">
              <w:rPr>
                <w:noProof/>
              </w:rPr>
              <w:tab/>
            </w:r>
            <w:r w:rsidR="005F4054">
              <w:rPr>
                <w:noProof/>
              </w:rPr>
              <w:fldChar w:fldCharType="begin"/>
            </w:r>
            <w:r w:rsidR="005F4054">
              <w:rPr>
                <w:noProof/>
              </w:rPr>
              <w:instrText>PAGEREF _Toc473532818 \h</w:instrText>
            </w:r>
            <w:r w:rsidR="005F4054">
              <w:rPr>
                <w:noProof/>
              </w:rPr>
            </w:r>
            <w:r w:rsidR="005F4054">
              <w:rPr>
                <w:noProof/>
              </w:rPr>
              <w:fldChar w:fldCharType="separate"/>
            </w:r>
            <w:r w:rsidR="00FB3765">
              <w:rPr>
                <w:noProof/>
              </w:rPr>
              <w:t>6</w:t>
            </w:r>
            <w:r w:rsidR="005F4054">
              <w:rPr>
                <w:noProof/>
              </w:rPr>
              <w:fldChar w:fldCharType="end"/>
            </w:r>
          </w:hyperlink>
        </w:p>
        <w:p w14:paraId="039FBB4F" w14:textId="5D66ED4C" w:rsidR="005F4054" w:rsidRDefault="3C48B331" w:rsidP="3C48B331">
          <w:pPr>
            <w:pStyle w:val="TOC2"/>
            <w:tabs>
              <w:tab w:val="right" w:leader="dot" w:pos="9345"/>
            </w:tabs>
            <w:rPr>
              <w:noProof/>
              <w:lang w:eastAsia="en-US"/>
            </w:rPr>
          </w:pPr>
          <w:hyperlink w:anchor="_Toc1294287395">
            <w:r w:rsidRPr="3C48B331">
              <w:rPr>
                <w:rStyle w:val="Hyperlink"/>
                <w:noProof/>
              </w:rPr>
              <w:t>Conclusion</w:t>
            </w:r>
            <w:r w:rsidR="005F4054">
              <w:rPr>
                <w:noProof/>
              </w:rPr>
              <w:tab/>
            </w:r>
            <w:r w:rsidR="005F4054">
              <w:rPr>
                <w:noProof/>
              </w:rPr>
              <w:fldChar w:fldCharType="begin"/>
            </w:r>
            <w:r w:rsidR="005F4054">
              <w:rPr>
                <w:noProof/>
              </w:rPr>
              <w:instrText>PAGEREF _Toc1294287395 \h</w:instrText>
            </w:r>
            <w:r w:rsidR="005F4054">
              <w:rPr>
                <w:noProof/>
              </w:rPr>
            </w:r>
            <w:r w:rsidR="005F4054">
              <w:rPr>
                <w:noProof/>
              </w:rPr>
              <w:fldChar w:fldCharType="separate"/>
            </w:r>
            <w:r w:rsidR="00FB3765">
              <w:rPr>
                <w:noProof/>
              </w:rPr>
              <w:t>14</w:t>
            </w:r>
            <w:r w:rsidR="005F4054">
              <w:rPr>
                <w:noProof/>
              </w:rPr>
              <w:fldChar w:fldCharType="end"/>
            </w:r>
          </w:hyperlink>
        </w:p>
        <w:p w14:paraId="36CE0081" w14:textId="119FF96B" w:rsidR="3C48B331" w:rsidRDefault="3C48B331" w:rsidP="3C48B331">
          <w:pPr>
            <w:pStyle w:val="TOC2"/>
            <w:tabs>
              <w:tab w:val="right" w:leader="dot" w:pos="9345"/>
            </w:tabs>
            <w:rPr>
              <w:noProof/>
            </w:rPr>
          </w:pPr>
          <w:hyperlink w:anchor="_Toc1747259071">
            <w:r w:rsidRPr="3C48B331">
              <w:rPr>
                <w:rStyle w:val="Hyperlink"/>
                <w:noProof/>
              </w:rPr>
              <w:t>References</w:t>
            </w:r>
            <w:r>
              <w:rPr>
                <w:noProof/>
              </w:rPr>
              <w:tab/>
            </w:r>
            <w:r>
              <w:rPr>
                <w:noProof/>
              </w:rPr>
              <w:fldChar w:fldCharType="begin"/>
            </w:r>
            <w:r>
              <w:rPr>
                <w:noProof/>
              </w:rPr>
              <w:instrText>PAGEREF _Toc1747259071 \h</w:instrText>
            </w:r>
            <w:r>
              <w:rPr>
                <w:noProof/>
              </w:rPr>
            </w:r>
            <w:r>
              <w:rPr>
                <w:noProof/>
              </w:rPr>
              <w:fldChar w:fldCharType="separate"/>
            </w:r>
            <w:r w:rsidR="00FB3765">
              <w:rPr>
                <w:noProof/>
              </w:rPr>
              <w:t>16</w:t>
            </w:r>
            <w:r>
              <w:rPr>
                <w:noProof/>
              </w:rPr>
              <w:fldChar w:fldCharType="end"/>
            </w:r>
          </w:hyperlink>
        </w:p>
        <w:p w14:paraId="7BACDE82" w14:textId="1620B6AA" w:rsidR="005F4054" w:rsidRDefault="005F4054" w:rsidP="306AEB03">
          <w:pPr>
            <w:spacing w:line="360" w:lineRule="auto"/>
          </w:pPr>
          <w:r>
            <w:rPr>
              <w:b/>
              <w:bCs/>
              <w:noProof/>
            </w:rPr>
            <w:fldChar w:fldCharType="end"/>
          </w:r>
        </w:p>
      </w:sdtContent>
    </w:sdt>
    <w:p w14:paraId="63C1446D" w14:textId="43492EC5" w:rsidR="003364C6" w:rsidRDefault="003364C6" w:rsidP="3E34CFC8">
      <w:pPr>
        <w:spacing w:line="360" w:lineRule="auto"/>
        <w:jc w:val="center"/>
        <w:rPr>
          <w:rFonts w:ascii="Times New Roman" w:eastAsia="Times New Roman" w:hAnsi="Times New Roman" w:cs="Times New Roman"/>
        </w:rPr>
      </w:pPr>
    </w:p>
    <w:p w14:paraId="4FACEAFB" w14:textId="50C1AA59" w:rsidR="63F1B5D6" w:rsidRDefault="63F1B5D6" w:rsidP="3E34CFC8">
      <w:pPr>
        <w:spacing w:line="360" w:lineRule="auto"/>
      </w:pPr>
    </w:p>
    <w:p w14:paraId="3CA94936" w14:textId="1075F261" w:rsidR="63F1B5D6" w:rsidRDefault="63F1B5D6" w:rsidP="3E34CFC8">
      <w:pPr>
        <w:spacing w:line="360" w:lineRule="auto"/>
        <w:rPr>
          <w:rFonts w:ascii="Times New Roman" w:eastAsia="Times New Roman" w:hAnsi="Times New Roman" w:cs="Times New Roman"/>
        </w:rPr>
      </w:pPr>
    </w:p>
    <w:p w14:paraId="5C821979" w14:textId="4DA4E2EE" w:rsidR="470C9709" w:rsidRPr="00432322" w:rsidRDefault="470C9709" w:rsidP="3E34CFC8">
      <w:pPr>
        <w:pStyle w:val="Heading2"/>
        <w:spacing w:line="360" w:lineRule="auto"/>
      </w:pPr>
    </w:p>
    <w:p w14:paraId="3B918131" w14:textId="1C2475CD" w:rsidR="470C9709" w:rsidRPr="00432322" w:rsidRDefault="470C9709" w:rsidP="0C86C642">
      <w:pPr>
        <w:spacing w:line="360" w:lineRule="auto"/>
      </w:pPr>
      <w:r>
        <w:br w:type="page"/>
      </w:r>
    </w:p>
    <w:p w14:paraId="17678628" w14:textId="15EDA6BF" w:rsidR="470C9709" w:rsidRPr="00432322" w:rsidRDefault="470C9709" w:rsidP="3E34CFC8">
      <w:pPr>
        <w:pStyle w:val="Heading2"/>
        <w:spacing w:line="360" w:lineRule="auto"/>
        <w:rPr>
          <w:rFonts w:ascii="Times New Roman" w:eastAsia="Times New Roman" w:hAnsi="Times New Roman" w:cs="Times New Roman"/>
          <w:b/>
          <w:bCs/>
        </w:rPr>
      </w:pPr>
      <w:bookmarkStart w:id="0" w:name="_Toc2107097824"/>
      <w:r w:rsidRPr="0C86C642">
        <w:rPr>
          <w:rFonts w:ascii="Times New Roman" w:eastAsia="Times New Roman" w:hAnsi="Times New Roman" w:cs="Times New Roman"/>
        </w:rPr>
        <w:t>Introduction and Background</w:t>
      </w:r>
      <w:bookmarkEnd w:id="0"/>
    </w:p>
    <w:p w14:paraId="63424DF6" w14:textId="57C3C56A" w:rsidR="64FD2E2F" w:rsidRDefault="64FD2E2F" w:rsidP="3EF57880">
      <w:pPr>
        <w:spacing w:line="360" w:lineRule="auto"/>
        <w:rPr>
          <w:rFonts w:ascii="Times New Roman" w:eastAsia="Times New Roman" w:hAnsi="Times New Roman" w:cs="Times New Roman"/>
        </w:rPr>
      </w:pPr>
      <w:r w:rsidRPr="0C86C642">
        <w:rPr>
          <w:rFonts w:ascii="Times New Roman" w:eastAsia="Times New Roman" w:hAnsi="Times New Roman" w:cs="Times New Roman"/>
        </w:rPr>
        <w:t>Natural disasters affect housing, transportation systems, utilities, agriculture, businesses, and public facilities. Because mitigation funding and planning resources are limited, agencies rely on quantitative risk models to identify areas with higher relative need. These models influence emergency planning, infrastructure prioritization, and grant allocation decisions.</w:t>
      </w:r>
    </w:p>
    <w:p w14:paraId="387AA753" w14:textId="30F21CF8" w:rsidR="64FD2E2F" w:rsidRDefault="64FD2E2F" w:rsidP="3EF57880">
      <w:pPr>
        <w:spacing w:line="360" w:lineRule="auto"/>
        <w:rPr>
          <w:rFonts w:ascii="Times New Roman" w:eastAsia="Times New Roman" w:hAnsi="Times New Roman" w:cs="Times New Roman"/>
        </w:rPr>
      </w:pPr>
      <w:r w:rsidRPr="0C86C642">
        <w:rPr>
          <w:rFonts w:ascii="Times New Roman" w:eastAsia="Times New Roman" w:hAnsi="Times New Roman" w:cs="Times New Roman"/>
        </w:rPr>
        <w:t xml:space="preserve">One of the most widely used national tools is </w:t>
      </w:r>
      <w:r w:rsidR="62B11DBB" w:rsidRPr="0C86C642">
        <w:rPr>
          <w:rFonts w:ascii="Times New Roman" w:eastAsia="Times New Roman" w:hAnsi="Times New Roman" w:cs="Times New Roman"/>
        </w:rPr>
        <w:t>the FEMA’s</w:t>
      </w:r>
      <w:r w:rsidRPr="0C86C642">
        <w:rPr>
          <w:rFonts w:ascii="Times New Roman" w:eastAsia="Times New Roman" w:hAnsi="Times New Roman" w:cs="Times New Roman"/>
        </w:rPr>
        <w:t xml:space="preserve"> National Risk Index</w:t>
      </w:r>
      <w:r w:rsidR="5AB5972D" w:rsidRPr="0C86C642">
        <w:rPr>
          <w:rFonts w:ascii="Times New Roman" w:eastAsia="Times New Roman" w:hAnsi="Times New Roman" w:cs="Times New Roman"/>
        </w:rPr>
        <w:t xml:space="preserve"> (FEMA, n.d.-a)</w:t>
      </w:r>
      <w:r w:rsidRPr="0C86C642">
        <w:rPr>
          <w:rFonts w:ascii="Times New Roman" w:eastAsia="Times New Roman" w:hAnsi="Times New Roman" w:cs="Times New Roman"/>
        </w:rPr>
        <w:t>. The National Risk Index measures relative natural hazard risk across the United States using expected annual loss, social vulnerability, and community resilience. Expected annual loss estimates average yearly damage caused by natural hazards. Social vulnerability measures demographic and economic characteristics associated with greater disaster impacts. Community resilience measures the capacity of a community to prepare for, respond to, and recover from disruptive events.</w:t>
      </w:r>
    </w:p>
    <w:p w14:paraId="12C08452" w14:textId="56A8EF58" w:rsidR="64FD2E2F" w:rsidRDefault="64FD2E2F" w:rsidP="3EF57880">
      <w:pPr>
        <w:spacing w:line="360" w:lineRule="auto"/>
        <w:rPr>
          <w:rFonts w:ascii="Times New Roman" w:eastAsia="Times New Roman" w:hAnsi="Times New Roman" w:cs="Times New Roman"/>
        </w:rPr>
      </w:pPr>
      <w:r w:rsidRPr="0C86C642">
        <w:rPr>
          <w:rFonts w:ascii="Times New Roman" w:eastAsia="Times New Roman" w:hAnsi="Times New Roman" w:cs="Times New Roman"/>
        </w:rPr>
        <w:t>Risk Averse, LLC requested an independent sensitivity analysis to evaluate whether a different definition of risk produces different rankings. Sensitivity analysis changes model inputs or assumptions and measures the effect on outputs. In this project, the alternative risk definition was based on wildfire and tornado hazards only. The purpose was to compare FEMA’s broader risk framework with a hazard loss framework and determine whether categorical differences appear between the two approaches.</w:t>
      </w:r>
    </w:p>
    <w:p w14:paraId="2FEE8096" w14:textId="58AE2B08" w:rsidR="64FD2E2F" w:rsidRDefault="64FD2E2F" w:rsidP="3EF57880">
      <w:pPr>
        <w:spacing w:line="360" w:lineRule="auto"/>
        <w:rPr>
          <w:rFonts w:ascii="Times New Roman" w:eastAsia="Times New Roman" w:hAnsi="Times New Roman" w:cs="Times New Roman"/>
        </w:rPr>
      </w:pPr>
      <w:r w:rsidRPr="0C86C642">
        <w:rPr>
          <w:rFonts w:ascii="Times New Roman" w:eastAsia="Times New Roman" w:hAnsi="Times New Roman" w:cs="Times New Roman"/>
        </w:rPr>
        <w:t>Iowa and Oklahoma were selected because both states experience tornado hazards, while Oklahoma also has substantial wildfire exposure. The code used Iowa census tract data and Oklahoma county data from FEMA’s National Risk Index</w:t>
      </w:r>
      <w:r w:rsidR="444F6B81" w:rsidRPr="0C86C642">
        <w:rPr>
          <w:rFonts w:ascii="Times New Roman" w:eastAsia="Times New Roman" w:hAnsi="Times New Roman" w:cs="Times New Roman"/>
        </w:rPr>
        <w:t xml:space="preserve"> (FEMA, n.d.-b)</w:t>
      </w:r>
      <w:r w:rsidRPr="0C86C642">
        <w:rPr>
          <w:rFonts w:ascii="Times New Roman" w:eastAsia="Times New Roman" w:hAnsi="Times New Roman" w:cs="Times New Roman"/>
        </w:rPr>
        <w:t xml:space="preserve">. Iowa contained 896 records, while the merged Oklahoma dataset contained 1205 records after joining the FEMA county data with the Social Vulnerability Index data. Because the two states were represented at different geographic scales, direct comparison between them must be interpreted carefully. County level records represent larger geographic </w:t>
      </w:r>
      <w:r w:rsidR="44D664A2" w:rsidRPr="0C86C642">
        <w:rPr>
          <w:rFonts w:ascii="Times New Roman" w:eastAsia="Times New Roman" w:hAnsi="Times New Roman" w:cs="Times New Roman"/>
        </w:rPr>
        <w:t>areas,</w:t>
      </w:r>
      <w:r w:rsidRPr="0C86C642">
        <w:rPr>
          <w:rFonts w:ascii="Times New Roman" w:eastAsia="Times New Roman" w:hAnsi="Times New Roman" w:cs="Times New Roman"/>
        </w:rPr>
        <w:t xml:space="preserve"> and larger aggregated values than tract level records.</w:t>
      </w:r>
    </w:p>
    <w:p w14:paraId="67417163" w14:textId="2EC8008B" w:rsidR="64FD2E2F" w:rsidRPr="00432322" w:rsidRDefault="64FD2E2F" w:rsidP="0C86C642">
      <w:pPr>
        <w:spacing w:before="240" w:after="240" w:line="360" w:lineRule="auto"/>
        <w:rPr>
          <w:rFonts w:ascii="Times New Roman" w:eastAsia="Times New Roman" w:hAnsi="Times New Roman" w:cs="Times New Roman"/>
          <w:b/>
          <w:bCs/>
        </w:rPr>
      </w:pPr>
      <w:bookmarkStart w:id="1" w:name="_Toc1029848299"/>
      <w:r w:rsidRPr="0C86C642">
        <w:rPr>
          <w:rStyle w:val="Heading2Char"/>
          <w:rFonts w:ascii="Times New Roman" w:eastAsia="Times New Roman" w:hAnsi="Times New Roman" w:cs="Times New Roman"/>
        </w:rPr>
        <w:t>Summary</w:t>
      </w:r>
      <w:bookmarkEnd w:id="1"/>
    </w:p>
    <w:p w14:paraId="3CA9E661" w14:textId="230AA861" w:rsidR="64FD2E2F" w:rsidRDefault="64FD2E2F" w:rsidP="0C86C642">
      <w:pPr>
        <w:spacing w:before="240" w:after="240" w:line="360" w:lineRule="auto"/>
        <w:rPr>
          <w:rFonts w:ascii="Times New Roman" w:eastAsia="Times New Roman" w:hAnsi="Times New Roman" w:cs="Times New Roman"/>
        </w:rPr>
      </w:pPr>
      <w:r w:rsidRPr="0C86C642">
        <w:rPr>
          <w:rFonts w:ascii="Times New Roman" w:eastAsia="Times New Roman" w:hAnsi="Times New Roman" w:cs="Times New Roman"/>
        </w:rPr>
        <w:t>This project compared FEMA’s National Risk Index with a custom risk model based on wildfire and tornado hazards. The custom model followed the classical definition of risk as probability multiplied by consequence. Wildfire risk was calculated by multiplying wildfire annual frequency by wildfire expected annual loss. Tornado risk was calculated by multiplying tornado annual frequency by tornado expected annual loss. These two values were then added together to create a combined custom risk score.</w:t>
      </w:r>
    </w:p>
    <w:p w14:paraId="1AD02A2A" w14:textId="16BFAD3B" w:rsidR="64FD2E2F" w:rsidRDefault="64FD2E2F" w:rsidP="0C86C642">
      <w:pPr>
        <w:spacing w:before="240" w:after="240" w:line="360" w:lineRule="auto"/>
        <w:rPr>
          <w:rFonts w:ascii="Times New Roman" w:eastAsia="Times New Roman" w:hAnsi="Times New Roman" w:cs="Times New Roman"/>
        </w:rPr>
      </w:pPr>
      <w:r w:rsidRPr="0C86C642">
        <w:rPr>
          <w:rFonts w:ascii="Times New Roman" w:eastAsia="Times New Roman" w:hAnsi="Times New Roman" w:cs="Times New Roman"/>
        </w:rPr>
        <w:t>The code output shows that Oklahoma had higher values than Iowa under both the FEMA framework and the custom framework. Iowa’s mean FEMA risk value was 941,212.38 and its mean custom risk score was 21,614.46. Oklahoma’s mean FEMA risk value was 75,924,751.96 and its mean custom risk score was 15,799,898.59. These differences reflect both hazard exposure and the fact that the Oklahoma data were joined in a way that repeated county level FEMA values across multiple records in the merged dataset.</w:t>
      </w:r>
    </w:p>
    <w:p w14:paraId="3C7F8FB8" w14:textId="5FCC9973" w:rsidR="3EF57880" w:rsidRDefault="64FD2E2F" w:rsidP="3C48B331">
      <w:pPr>
        <w:spacing w:before="240" w:after="240" w:line="360" w:lineRule="auto"/>
        <w:rPr>
          <w:rFonts w:ascii="Times New Roman" w:eastAsia="Times New Roman" w:hAnsi="Times New Roman" w:cs="Times New Roman"/>
        </w:rPr>
      </w:pPr>
      <w:r w:rsidRPr="0C86C642">
        <w:rPr>
          <w:rFonts w:ascii="Times New Roman" w:eastAsia="Times New Roman" w:hAnsi="Times New Roman" w:cs="Times New Roman"/>
        </w:rPr>
        <w:t xml:space="preserve">Iowa custom scores were driven primarily by tornado risk, while wildfire risk remained very small across most records. Oklahoma custom scores were also driven </w:t>
      </w:r>
      <w:r w:rsidR="00CD1D93" w:rsidRPr="0C86C642">
        <w:rPr>
          <w:rFonts w:ascii="Times New Roman" w:eastAsia="Times New Roman" w:hAnsi="Times New Roman" w:cs="Times New Roman"/>
        </w:rPr>
        <w:t>by</w:t>
      </w:r>
      <w:r w:rsidRPr="0C86C642">
        <w:rPr>
          <w:rFonts w:ascii="Times New Roman" w:eastAsia="Times New Roman" w:hAnsi="Times New Roman" w:cs="Times New Roman"/>
        </w:rPr>
        <w:t xml:space="preserve"> tornado risk, although wildfire contributed more than it did in Iowa. The results show that rankings are influenced by model definition, hazard selection, and geographic reporting scale.</w:t>
      </w:r>
    </w:p>
    <w:p w14:paraId="0B30B84F" w14:textId="18CE4E80" w:rsidR="64FD2E2F" w:rsidRPr="00432322" w:rsidRDefault="64FD2E2F" w:rsidP="3E34CFC8">
      <w:pPr>
        <w:pStyle w:val="Heading2"/>
        <w:spacing w:line="360" w:lineRule="auto"/>
        <w:rPr>
          <w:rFonts w:ascii="Times New Roman" w:eastAsia="Times New Roman" w:hAnsi="Times New Roman" w:cs="Times New Roman"/>
          <w:b/>
          <w:bCs/>
        </w:rPr>
      </w:pPr>
      <w:bookmarkStart w:id="2" w:name="_Toc808943432"/>
      <w:r w:rsidRPr="0C86C642">
        <w:rPr>
          <w:rFonts w:ascii="Times New Roman" w:eastAsia="Times New Roman" w:hAnsi="Times New Roman" w:cs="Times New Roman"/>
        </w:rPr>
        <w:t>Methods</w:t>
      </w:r>
      <w:bookmarkEnd w:id="2"/>
    </w:p>
    <w:p w14:paraId="254A8343" w14:textId="53E88B2E" w:rsidR="64FD2E2F" w:rsidRPr="005B2271" w:rsidRDefault="64FD2E2F" w:rsidP="3EF57880">
      <w:pPr>
        <w:spacing w:line="360" w:lineRule="auto"/>
        <w:rPr>
          <w:rFonts w:ascii="Times New Roman" w:eastAsia="Times New Roman" w:hAnsi="Times New Roman" w:cs="Times New Roman"/>
        </w:rPr>
      </w:pPr>
      <w:r w:rsidRPr="0C86C642">
        <w:rPr>
          <w:rFonts w:ascii="Times New Roman" w:eastAsia="Times New Roman" w:hAnsi="Times New Roman" w:cs="Times New Roman"/>
        </w:rPr>
        <w:t>Data for this project were obtained from FEMA’s National Risk Index census tract and county files</w:t>
      </w:r>
      <w:r w:rsidR="6311C416" w:rsidRPr="0C86C642">
        <w:rPr>
          <w:rFonts w:ascii="Times New Roman" w:eastAsia="Times New Roman" w:hAnsi="Times New Roman" w:cs="Times New Roman"/>
        </w:rPr>
        <w:t xml:space="preserve"> (FEMA, n.d.-b).</w:t>
      </w:r>
      <w:r w:rsidRPr="0C86C642">
        <w:rPr>
          <w:rFonts w:ascii="Times New Roman" w:eastAsia="Times New Roman" w:hAnsi="Times New Roman" w:cs="Times New Roman"/>
        </w:rPr>
        <w:t xml:space="preserve"> the FEMA data dictionary, and Social Vulnerability Index datasets for Iowa and Oklahoma</w:t>
      </w:r>
      <w:r w:rsidR="3AD32FDB" w:rsidRPr="0C86C642">
        <w:rPr>
          <w:rFonts w:ascii="Times New Roman" w:eastAsia="Times New Roman" w:hAnsi="Times New Roman" w:cs="Times New Roman"/>
        </w:rPr>
        <w:t xml:space="preserve"> (ATSDR, n.d.)</w:t>
      </w:r>
      <w:r w:rsidRPr="0C86C642">
        <w:rPr>
          <w:rFonts w:ascii="Times New Roman" w:eastAsia="Times New Roman" w:hAnsi="Times New Roman" w:cs="Times New Roman"/>
        </w:rPr>
        <w:t>. Python was used for data cleaning, statistical analysis, summary tables, figure creation, and map production.</w:t>
      </w:r>
    </w:p>
    <w:p w14:paraId="3F8399AE" w14:textId="7CFAD779" w:rsidR="64FD2E2F" w:rsidRPr="005B2271" w:rsidRDefault="64FD2E2F" w:rsidP="3EF57880">
      <w:pPr>
        <w:spacing w:line="360" w:lineRule="auto"/>
        <w:rPr>
          <w:rFonts w:ascii="Times New Roman" w:eastAsia="Times New Roman" w:hAnsi="Times New Roman" w:cs="Times New Roman"/>
        </w:rPr>
      </w:pPr>
      <w:r w:rsidRPr="0C86C642">
        <w:rPr>
          <w:rFonts w:ascii="Times New Roman" w:eastAsia="Times New Roman" w:hAnsi="Times New Roman" w:cs="Times New Roman"/>
        </w:rPr>
        <w:t xml:space="preserve">The Iowa NRI file contained 896 census tract records. The Oklahoma NRI file contained 77 county records. The Iowa and Oklahoma Social Vulnerability Index files were merged with the FEMA data using geographic identifiers. For Iowa, the </w:t>
      </w:r>
      <w:r w:rsidR="00202396" w:rsidRPr="0C86C642">
        <w:rPr>
          <w:rFonts w:ascii="Times New Roman" w:eastAsia="Times New Roman" w:hAnsi="Times New Roman" w:cs="Times New Roman"/>
        </w:rPr>
        <w:t>merge</w:t>
      </w:r>
      <w:r w:rsidRPr="0C86C642">
        <w:rPr>
          <w:rFonts w:ascii="Times New Roman" w:eastAsia="Times New Roman" w:hAnsi="Times New Roman" w:cs="Times New Roman"/>
        </w:rPr>
        <w:t xml:space="preserve"> was completed using tract level identifiers. For Oklahoma, the </w:t>
      </w:r>
      <w:r w:rsidR="00202396" w:rsidRPr="0C86C642">
        <w:rPr>
          <w:rFonts w:ascii="Times New Roman" w:eastAsia="Times New Roman" w:hAnsi="Times New Roman" w:cs="Times New Roman"/>
        </w:rPr>
        <w:t>merge</w:t>
      </w:r>
      <w:r w:rsidRPr="0C86C642">
        <w:rPr>
          <w:rFonts w:ascii="Times New Roman" w:eastAsia="Times New Roman" w:hAnsi="Times New Roman" w:cs="Times New Roman"/>
        </w:rPr>
        <w:t xml:space="preserve"> was completed using county identifiers in the FEMA file and county identifiers in the SVI file. This merge expanded the Oklahoma dataset to 1205 rows because the county level FEMA values were repeated across multiple records from the external dataset. That difference in structure is important because it affects averages and comparisons.</w:t>
      </w:r>
    </w:p>
    <w:p w14:paraId="47AA80B0" w14:textId="5FFBFC47" w:rsidR="64FD2E2F" w:rsidRPr="005B2271" w:rsidRDefault="64FD2E2F" w:rsidP="3EF57880">
      <w:pPr>
        <w:spacing w:line="360" w:lineRule="auto"/>
        <w:rPr>
          <w:rFonts w:ascii="Times New Roman" w:eastAsia="Times New Roman" w:hAnsi="Times New Roman" w:cs="Times New Roman"/>
        </w:rPr>
      </w:pPr>
      <w:r w:rsidRPr="0C86C642">
        <w:rPr>
          <w:rFonts w:ascii="Times New Roman" w:eastAsia="Times New Roman" w:hAnsi="Times New Roman" w:cs="Times New Roman"/>
        </w:rPr>
        <w:t xml:space="preserve">Missing values coded as negative placeholder values were converted to null values. Numeric columns were then filled with zero where missing values appeared in hazard variables used for this analysis. This approach preserved all records for comparison and allowed </w:t>
      </w:r>
      <w:r w:rsidR="007B7D76" w:rsidRPr="0C86C642">
        <w:rPr>
          <w:rFonts w:ascii="Times New Roman" w:eastAsia="Times New Roman" w:hAnsi="Times New Roman" w:cs="Times New Roman"/>
        </w:rPr>
        <w:t>custom</w:t>
      </w:r>
      <w:r w:rsidRPr="0C86C642">
        <w:rPr>
          <w:rFonts w:ascii="Times New Roman" w:eastAsia="Times New Roman" w:hAnsi="Times New Roman" w:cs="Times New Roman"/>
        </w:rPr>
        <w:t xml:space="preserve"> risk calculations to run without errors. The custom risk model used only wildfire and tornado variables from the FEMA data. Social vulnerability and resilience variables were not included in the custom formula.</w:t>
      </w:r>
    </w:p>
    <w:p w14:paraId="64948258" w14:textId="70352BFF" w:rsidR="64FD2E2F" w:rsidRPr="005B2271" w:rsidRDefault="64FD2E2F" w:rsidP="3EF57880">
      <w:pPr>
        <w:spacing w:line="360" w:lineRule="auto"/>
        <w:rPr>
          <w:rFonts w:ascii="Times New Roman" w:eastAsia="Times New Roman" w:hAnsi="Times New Roman" w:cs="Times New Roman"/>
        </w:rPr>
      </w:pPr>
      <w:r w:rsidRPr="0C86C642">
        <w:rPr>
          <w:rFonts w:ascii="Times New Roman" w:eastAsia="Times New Roman" w:hAnsi="Times New Roman" w:cs="Times New Roman"/>
        </w:rPr>
        <w:t>The methodology is repeatable using the same sequence of steps. First, import the NRI, SVI, and NRI data dictionary files. Second, replace the FEMA missing value code of negative 9999 with null values. Third, create tract level identifiers by removing the leading character from NRI_ID for Iowa and match Oklahoma using county identifiers. Fourth, merge the NRI and SVI datasets using the geographic keys already present in the code. Fifth, preserve the original STATE and COUNTY fields after merging if the merge creates suffixed versions. Sixth, fill missing numeric values with zero. Seventh, convert identifier fields to string so the merge and spatial joins remain consistent. Eighth, calculate wildfire risk by multiplying WFIR_AFREQ by WFIR_EALT. Ninth, calculate tornado risk by multiplying TRND_AFREQ by TRND_EALT. Tenth, add wildfire risk and tornado risk to create custom_risk_score. Eleventh, group the cleaned data by COUNTY and calculate mean values for the FEMA risk score and custom risk score. Twelfth, generate the county level bar charts and the state level comparison chart. Thirteenth, load the census tract shapefile, reset the coordinate reference system to EPSG 3857, project the data to ESRI 102003, filter by state, and merge the custom risk scores back into the spatial data using TRACTFIPS.</w:t>
      </w:r>
    </w:p>
    <w:p w14:paraId="33511783" w14:textId="558EAA8B" w:rsidR="64FD2E2F" w:rsidRDefault="64FD2E2F" w:rsidP="3EF57880">
      <w:pPr>
        <w:spacing w:line="360" w:lineRule="auto"/>
        <w:rPr>
          <w:rFonts w:ascii="Times New Roman" w:eastAsia="Times New Roman" w:hAnsi="Times New Roman" w:cs="Times New Roman"/>
          <w:color w:val="000000" w:themeColor="text1"/>
        </w:rPr>
      </w:pPr>
      <w:r w:rsidRPr="0C86C642">
        <w:rPr>
          <w:rFonts w:ascii="Times New Roman" w:eastAsia="Times New Roman" w:hAnsi="Times New Roman" w:cs="Times New Roman"/>
        </w:rPr>
        <w:t>County level summary tables were created by grouping the data by county and averaging the available values. Figures were generated to compare wildfire and tornado components, compare FEMA risk values with normalized custom risk values, and compare state level averages. Geographic maps were created with GeoPandas using the NRI census tract shapefile. For Iowa, the custom risk score was joined back to the tract shapefile using tract FIPS values. For Oklahoma, the same method produced a complete spatial match, and the output confirmed that there were zero missing matches in the custom risk map join.</w:t>
      </w:r>
    </w:p>
    <w:p w14:paraId="4F10903A" w14:textId="0799D501" w:rsidR="2B63BA2C" w:rsidRDefault="57BD66EC" w:rsidP="3EF57880">
      <w:pPr>
        <w:spacing w:line="360" w:lineRule="auto"/>
        <w:rPr>
          <w:rFonts w:ascii="Times New Roman" w:eastAsia="Times New Roman" w:hAnsi="Times New Roman" w:cs="Times New Roman"/>
          <w:color w:val="000000" w:themeColor="text1"/>
        </w:rPr>
      </w:pPr>
      <w:bookmarkStart w:id="3" w:name="_Toc473532818"/>
      <w:r w:rsidRPr="0C86C642">
        <w:rPr>
          <w:rStyle w:val="Heading2Char"/>
          <w:rFonts w:ascii="Times New Roman" w:eastAsia="Times New Roman" w:hAnsi="Times New Roman" w:cs="Times New Roman"/>
        </w:rPr>
        <w:t>Comparing New Risk Definition to National Risk Index (NRI):</w:t>
      </w:r>
      <w:bookmarkEnd w:id="3"/>
      <w:r>
        <w:br/>
      </w:r>
      <w:r w:rsidR="67EA06DE" w:rsidRPr="0C86C642">
        <w:rPr>
          <w:rFonts w:ascii="Times New Roman" w:eastAsia="Times New Roman" w:hAnsi="Times New Roman" w:cs="Times New Roman"/>
        </w:rPr>
        <w:t xml:space="preserve">Our </w:t>
      </w:r>
      <w:r w:rsidR="54841EBE" w:rsidRPr="0C86C642">
        <w:rPr>
          <w:rFonts w:ascii="Times New Roman" w:eastAsia="Times New Roman" w:hAnsi="Times New Roman" w:cs="Times New Roman"/>
        </w:rPr>
        <w:t>teams'</w:t>
      </w:r>
      <w:r w:rsidR="67EA06DE" w:rsidRPr="0C86C642">
        <w:rPr>
          <w:rFonts w:ascii="Times New Roman" w:eastAsia="Times New Roman" w:hAnsi="Times New Roman" w:cs="Times New Roman"/>
        </w:rPr>
        <w:t xml:space="preserve"> custom risk definition </w:t>
      </w:r>
      <w:r w:rsidR="00953601" w:rsidRPr="0C86C642">
        <w:rPr>
          <w:rFonts w:ascii="Times New Roman" w:eastAsia="Times New Roman" w:hAnsi="Times New Roman" w:cs="Times New Roman"/>
        </w:rPr>
        <w:t>was</w:t>
      </w:r>
      <w:r w:rsidR="67EA06DE" w:rsidRPr="0C86C642">
        <w:rPr>
          <w:rFonts w:ascii="Times New Roman" w:eastAsia="Times New Roman" w:hAnsi="Times New Roman" w:cs="Times New Roman"/>
        </w:rPr>
        <w:t xml:space="preserve"> calculated differently </w:t>
      </w:r>
      <w:r w:rsidR="58CB92A9" w:rsidRPr="0C86C642">
        <w:rPr>
          <w:rFonts w:ascii="Times New Roman" w:eastAsia="Times New Roman" w:hAnsi="Times New Roman" w:cs="Times New Roman"/>
        </w:rPr>
        <w:t>compared to the methodology used by the NRI.</w:t>
      </w:r>
      <w:r w:rsidR="14C2BA37" w:rsidRPr="0C86C642">
        <w:rPr>
          <w:rFonts w:ascii="Times New Roman" w:eastAsia="Times New Roman" w:hAnsi="Times New Roman" w:cs="Times New Roman"/>
        </w:rPr>
        <w:t xml:space="preserve"> </w:t>
      </w:r>
      <w:r w:rsidR="4D87DF0E" w:rsidRPr="0C86C642">
        <w:rPr>
          <w:rFonts w:ascii="Times New Roman" w:eastAsia="Times New Roman" w:hAnsi="Times New Roman" w:cs="Times New Roman"/>
          <w:color w:val="000000" w:themeColor="text1"/>
        </w:rPr>
        <w:t>The NRI uses Expected Annual Loss, Social vulnerability, and Community Resilience to calculate natural hazard risks in communities</w:t>
      </w:r>
      <w:r w:rsidR="5072F9AB" w:rsidRPr="0C86C642">
        <w:rPr>
          <w:rFonts w:ascii="Times New Roman" w:eastAsia="Times New Roman" w:hAnsi="Times New Roman" w:cs="Times New Roman"/>
          <w:color w:val="000000" w:themeColor="text1"/>
        </w:rPr>
        <w:t xml:space="preserve"> </w:t>
      </w:r>
      <w:r w:rsidR="5072F9AB" w:rsidRPr="0C86C642">
        <w:rPr>
          <w:rFonts w:ascii="Times New Roman" w:eastAsia="Times New Roman" w:hAnsi="Times New Roman" w:cs="Times New Roman"/>
        </w:rPr>
        <w:t>(FEMA, n.d.-a)</w:t>
      </w:r>
      <w:r w:rsidR="4D87DF0E" w:rsidRPr="0C86C642">
        <w:rPr>
          <w:rFonts w:ascii="Times New Roman" w:eastAsia="Times New Roman" w:hAnsi="Times New Roman" w:cs="Times New Roman"/>
          <w:color w:val="000000" w:themeColor="text1"/>
        </w:rPr>
        <w:t xml:space="preserve">. This measures how vulnerable a population can be and how a community </w:t>
      </w:r>
      <w:r w:rsidR="001E7416" w:rsidRPr="0C86C642">
        <w:rPr>
          <w:rFonts w:ascii="Times New Roman" w:eastAsia="Times New Roman" w:hAnsi="Times New Roman" w:cs="Times New Roman"/>
          <w:color w:val="000000" w:themeColor="text1"/>
        </w:rPr>
        <w:t>can</w:t>
      </w:r>
      <w:r w:rsidR="4D87DF0E" w:rsidRPr="0C86C642">
        <w:rPr>
          <w:rFonts w:ascii="Times New Roman" w:eastAsia="Times New Roman" w:hAnsi="Times New Roman" w:cs="Times New Roman"/>
          <w:color w:val="000000" w:themeColor="text1"/>
        </w:rPr>
        <w:t xml:space="preserve"> respond to a natural disaster.</w:t>
      </w:r>
    </w:p>
    <w:p w14:paraId="4CD9B172" w14:textId="1F8AC45A" w:rsidR="2B63BA2C" w:rsidRDefault="037BBB46" w:rsidP="3EF57880">
      <w:pPr>
        <w:spacing w:line="360" w:lineRule="auto"/>
        <w:rPr>
          <w:rFonts w:ascii="Times New Roman" w:eastAsia="Times New Roman" w:hAnsi="Times New Roman" w:cs="Times New Roman"/>
        </w:rPr>
      </w:pPr>
      <w:r w:rsidRPr="0C86C642">
        <w:rPr>
          <w:rFonts w:ascii="Times New Roman" w:eastAsia="Times New Roman" w:hAnsi="Times New Roman" w:cs="Times New Roman"/>
        </w:rPr>
        <w:t>Results and Discussion</w:t>
      </w:r>
    </w:p>
    <w:p w14:paraId="26F400C8" w14:textId="526B954B" w:rsidR="2B63BA2C" w:rsidRDefault="037BBB46" w:rsidP="0C86C642">
      <w:pPr>
        <w:spacing w:line="360" w:lineRule="auto"/>
        <w:rPr>
          <w:rFonts w:ascii="Times New Roman" w:eastAsia="Times New Roman" w:hAnsi="Times New Roman" w:cs="Times New Roman"/>
        </w:rPr>
      </w:pPr>
      <w:r w:rsidRPr="0C86C642">
        <w:rPr>
          <w:rFonts w:ascii="Times New Roman" w:eastAsia="Times New Roman" w:hAnsi="Times New Roman" w:cs="Times New Roman"/>
        </w:rPr>
        <w:t xml:space="preserve">The Iowa data show that the custom risk score was driven primarily by tornado exposure. Wildfire risk values were much smaller than tornado risk values across the highest ranked records. The top Iowa counties by mean custom risk </w:t>
      </w:r>
      <w:r w:rsidR="00F35274" w:rsidRPr="0C86C642">
        <w:rPr>
          <w:rFonts w:ascii="Times New Roman" w:eastAsia="Times New Roman" w:hAnsi="Times New Roman" w:cs="Times New Roman"/>
        </w:rPr>
        <w:t>scores</w:t>
      </w:r>
      <w:r w:rsidRPr="0C86C642">
        <w:rPr>
          <w:rFonts w:ascii="Times New Roman" w:eastAsia="Times New Roman" w:hAnsi="Times New Roman" w:cs="Times New Roman"/>
        </w:rPr>
        <w:t xml:space="preserve"> were Guthrie, Davis, Lyon, Shelby, and Franklin.</w:t>
      </w:r>
    </w:p>
    <w:p w14:paraId="68A7558E" w14:textId="77777777" w:rsidR="002919A8" w:rsidRDefault="008F77CF" w:rsidP="00382E23">
      <w:pPr>
        <w:keepNext/>
        <w:spacing w:line="360" w:lineRule="auto"/>
        <w:jc w:val="center"/>
      </w:pPr>
      <w:r>
        <w:rPr>
          <w:noProof/>
        </w:rPr>
        <w:drawing>
          <wp:inline distT="0" distB="0" distL="0" distR="0" wp14:anchorId="79A55EE0" wp14:editId="313DB8D0">
            <wp:extent cx="6355080" cy="2761488"/>
            <wp:effectExtent l="0" t="0" r="7620" b="1270"/>
            <wp:docPr id="163708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55080" cy="2761488"/>
                    </a:xfrm>
                    <a:prstGeom prst="rect">
                      <a:avLst/>
                    </a:prstGeom>
                  </pic:spPr>
                </pic:pic>
              </a:graphicData>
            </a:graphic>
          </wp:inline>
        </w:drawing>
      </w:r>
    </w:p>
    <w:p w14:paraId="5B9CFD64" w14:textId="5E642A1E" w:rsidR="008F77CF" w:rsidRDefault="002919A8" w:rsidP="3E34CFC8">
      <w:pPr>
        <w:pStyle w:val="Caption"/>
        <w:spacing w:line="360" w:lineRule="auto"/>
        <w:jc w:val="center"/>
        <w:rPr>
          <w:rFonts w:ascii="Times New Roman" w:eastAsia="Times New Roman" w:hAnsi="Times New Roman" w:cs="Times New Roman"/>
          <w:b/>
          <w:bCs/>
        </w:rPr>
      </w:pPr>
      <w:r>
        <w:t xml:space="preserve">Figure </w:t>
      </w:r>
      <w:r>
        <w:fldChar w:fldCharType="begin"/>
      </w:r>
      <w:r>
        <w:instrText xml:space="preserve"> SEQ Figure \* ARABIC </w:instrText>
      </w:r>
      <w:r>
        <w:fldChar w:fldCharType="separate"/>
      </w:r>
      <w:r w:rsidR="00A31130">
        <w:rPr>
          <w:noProof/>
        </w:rPr>
        <w:t>1</w:t>
      </w:r>
      <w:r>
        <w:fldChar w:fldCharType="end"/>
      </w:r>
      <w:r>
        <w:t xml:space="preserve"> - </w:t>
      </w:r>
      <w:r w:rsidRPr="00267980">
        <w:t>Iowa Wildfire Risk Compared with Tornado Risk</w:t>
      </w:r>
    </w:p>
    <w:p w14:paraId="34CA702A" w14:textId="45A545A1" w:rsidR="43855C6A" w:rsidRDefault="32DE69D9" w:rsidP="43855C6A">
      <w:r w:rsidRPr="7E3C889D">
        <w:rPr>
          <w:rFonts w:ascii="Times New Roman" w:eastAsia="Times New Roman" w:hAnsi="Times New Roman" w:cs="Times New Roman"/>
        </w:rPr>
        <w:t xml:space="preserve">Figure 1 compares wildfire risk and tornado risk for the top 20 Iowa counties. The tornado component is substantially larger than the wildfire component in </w:t>
      </w:r>
      <w:r w:rsidR="003C00CC" w:rsidRPr="7E3C889D">
        <w:rPr>
          <w:rFonts w:ascii="Times New Roman" w:eastAsia="Times New Roman" w:hAnsi="Times New Roman" w:cs="Times New Roman"/>
        </w:rPr>
        <w:t>all</w:t>
      </w:r>
      <w:r w:rsidRPr="7E3C889D">
        <w:rPr>
          <w:rFonts w:ascii="Times New Roman" w:eastAsia="Times New Roman" w:hAnsi="Times New Roman" w:cs="Times New Roman"/>
        </w:rPr>
        <w:t xml:space="preserve"> the highest ranked counties. This indicates that tornado hazard losses dominated the custom risk model in Iowa.</w:t>
      </w:r>
    </w:p>
    <w:p w14:paraId="3CC89AD5" w14:textId="54D5AD53" w:rsidR="2B63BA2C" w:rsidRDefault="2B63BA2C" w:rsidP="3EF57880">
      <w:pPr>
        <w:spacing w:line="360" w:lineRule="auto"/>
        <w:rPr>
          <w:rFonts w:ascii="Times New Roman" w:eastAsia="Times New Roman" w:hAnsi="Times New Roman" w:cs="Times New Roman"/>
          <w:b/>
          <w:bCs/>
        </w:rPr>
      </w:pPr>
    </w:p>
    <w:p w14:paraId="70064681" w14:textId="18A73BC5" w:rsidR="001F117A" w:rsidRDefault="008C1201" w:rsidP="001F117A">
      <w:pPr>
        <w:keepNext/>
        <w:spacing w:line="360" w:lineRule="auto"/>
        <w:jc w:val="center"/>
      </w:pPr>
      <w:r>
        <w:rPr>
          <w:noProof/>
        </w:rPr>
        <w:drawing>
          <wp:inline distT="0" distB="0" distL="0" distR="0" wp14:anchorId="3E97EE55" wp14:editId="10F27B43">
            <wp:extent cx="5943600" cy="2580640"/>
            <wp:effectExtent l="0" t="0" r="0" b="0"/>
            <wp:docPr id="19844374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580640"/>
                    </a:xfrm>
                    <a:prstGeom prst="rect">
                      <a:avLst/>
                    </a:prstGeom>
                    <a:noFill/>
                    <a:ln>
                      <a:noFill/>
                    </a:ln>
                  </pic:spPr>
                </pic:pic>
              </a:graphicData>
            </a:graphic>
          </wp:inline>
        </w:drawing>
      </w:r>
    </w:p>
    <w:p w14:paraId="66F2A69A" w14:textId="3274C296" w:rsidR="001F117A" w:rsidRDefault="001F117A" w:rsidP="3E34CFC8">
      <w:pPr>
        <w:pStyle w:val="Caption"/>
        <w:spacing w:line="360" w:lineRule="auto"/>
        <w:jc w:val="center"/>
        <w:rPr>
          <w:rFonts w:ascii="Times New Roman" w:eastAsia="Times New Roman" w:hAnsi="Times New Roman" w:cs="Times New Roman"/>
          <w:b/>
          <w:bCs/>
        </w:rPr>
      </w:pPr>
      <w:r>
        <w:t xml:space="preserve">Figure </w:t>
      </w:r>
      <w:r>
        <w:fldChar w:fldCharType="begin"/>
      </w:r>
      <w:r>
        <w:instrText xml:space="preserve"> SEQ Figure \* ARABIC </w:instrText>
      </w:r>
      <w:r>
        <w:fldChar w:fldCharType="separate"/>
      </w:r>
      <w:r w:rsidR="00A31130">
        <w:rPr>
          <w:noProof/>
        </w:rPr>
        <w:t>2</w:t>
      </w:r>
      <w:r>
        <w:fldChar w:fldCharType="end"/>
      </w:r>
      <w:r>
        <w:t xml:space="preserve"> - </w:t>
      </w:r>
      <w:r w:rsidRPr="00E542F1">
        <w:t>Iowa FEMA Risk Compared with Normalized Custom Risk</w:t>
      </w:r>
    </w:p>
    <w:p w14:paraId="20C9EAB5" w14:textId="6B4230AD" w:rsidR="2B63BA2C" w:rsidRDefault="1705012A" w:rsidP="3EF57880">
      <w:pPr>
        <w:spacing w:line="360" w:lineRule="auto"/>
      </w:pPr>
      <w:r w:rsidRPr="0C86C642">
        <w:rPr>
          <w:rFonts w:ascii="Times New Roman" w:eastAsia="Times New Roman" w:hAnsi="Times New Roman" w:cs="Times New Roman"/>
        </w:rPr>
        <w:t>Figure 2 compares FEMA risk values with normalized custom risk values for the top 20 Iowa counties. The figure shows that county rankings differ between FEMA’s methodology and the custom methodology. This difference occurs because FEMA includes social vulnerability and community resilience, while the custom model includes only wildfire and tornado hazard loss.</w:t>
      </w:r>
    </w:p>
    <w:p w14:paraId="411942FB" w14:textId="6FF8EDE5" w:rsidR="00C0535F" w:rsidRDefault="00385F5B" w:rsidP="0C86C642">
      <w:pPr>
        <w:keepNext/>
        <w:spacing w:line="360" w:lineRule="auto"/>
        <w:jc w:val="center"/>
        <w:rPr>
          <w:rFonts w:ascii="Times New Roman" w:eastAsia="Times New Roman" w:hAnsi="Times New Roman" w:cs="Times New Roman"/>
        </w:rPr>
      </w:pPr>
      <w:r>
        <w:rPr>
          <w:noProof/>
        </w:rPr>
        <w:drawing>
          <wp:inline distT="0" distB="0" distL="0" distR="0" wp14:anchorId="5EC20E78" wp14:editId="6BA4AF9E">
            <wp:extent cx="5394960" cy="4866415"/>
            <wp:effectExtent l="0" t="0" r="0" b="0"/>
            <wp:docPr id="7581481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4475" cy="4874998"/>
                    </a:xfrm>
                    <a:prstGeom prst="rect">
                      <a:avLst/>
                    </a:prstGeom>
                    <a:noFill/>
                    <a:ln>
                      <a:noFill/>
                    </a:ln>
                  </pic:spPr>
                </pic:pic>
              </a:graphicData>
            </a:graphic>
          </wp:inline>
        </w:drawing>
      </w:r>
    </w:p>
    <w:p w14:paraId="4DFCE04D" w14:textId="7B89ED8B" w:rsidR="00BC402C" w:rsidRPr="00BC402C" w:rsidRDefault="00C0535F" w:rsidP="0C86C642">
      <w:pPr>
        <w:pStyle w:val="Caption"/>
        <w:spacing w:line="360" w:lineRule="auto"/>
        <w:jc w:val="center"/>
        <w:rPr>
          <w:rFonts w:ascii="Times New Roman" w:eastAsia="Times New Roman" w:hAnsi="Times New Roman" w:cs="Times New Roman"/>
        </w:rPr>
      </w:pPr>
      <w:r w:rsidRPr="0C86C642">
        <w:rPr>
          <w:rFonts w:ascii="Times New Roman" w:eastAsia="Times New Roman" w:hAnsi="Times New Roman" w:cs="Times New Roman"/>
        </w:rPr>
        <w:t xml:space="preserve">Figure </w:t>
      </w:r>
      <w:r>
        <w:fldChar w:fldCharType="begin"/>
      </w:r>
      <w:r>
        <w:instrText xml:space="preserve"> SEQ Figure \* ARABIC </w:instrText>
      </w:r>
      <w:r>
        <w:fldChar w:fldCharType="separate"/>
      </w:r>
      <w:r w:rsidR="00A31130" w:rsidRPr="0C86C642">
        <w:rPr>
          <w:noProof/>
        </w:rPr>
        <w:t>3</w:t>
      </w:r>
      <w:r>
        <w:fldChar w:fldCharType="end"/>
      </w:r>
      <w:r w:rsidRPr="0C86C642">
        <w:rPr>
          <w:rFonts w:ascii="Times New Roman" w:eastAsia="Times New Roman" w:hAnsi="Times New Roman" w:cs="Times New Roman"/>
        </w:rPr>
        <w:t xml:space="preserve"> - Iowa FEMA NRI Risk Score by Census Tract</w:t>
      </w:r>
    </w:p>
    <w:p w14:paraId="52E51872" w14:textId="3FD073A9" w:rsidR="00BC402C" w:rsidRDefault="000421A9" w:rsidP="0C86C642">
      <w:pPr>
        <w:keepNext/>
        <w:spacing w:line="360" w:lineRule="auto"/>
        <w:jc w:val="center"/>
        <w:rPr>
          <w:rFonts w:ascii="Times New Roman" w:eastAsia="Times New Roman" w:hAnsi="Times New Roman" w:cs="Times New Roman"/>
        </w:rPr>
      </w:pPr>
      <w:r>
        <w:rPr>
          <w:noProof/>
        </w:rPr>
        <w:drawing>
          <wp:inline distT="0" distB="0" distL="0" distR="0" wp14:anchorId="058276CF" wp14:editId="0B91B35F">
            <wp:extent cx="4831080" cy="4190033"/>
            <wp:effectExtent l="0" t="0" r="7620" b="1270"/>
            <wp:docPr id="19321662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43359" cy="4200683"/>
                    </a:xfrm>
                    <a:prstGeom prst="rect">
                      <a:avLst/>
                    </a:prstGeom>
                    <a:noFill/>
                    <a:ln>
                      <a:noFill/>
                    </a:ln>
                  </pic:spPr>
                </pic:pic>
              </a:graphicData>
            </a:graphic>
          </wp:inline>
        </w:drawing>
      </w:r>
    </w:p>
    <w:p w14:paraId="08509CFB" w14:textId="746A1136" w:rsidR="00BC402C" w:rsidRDefault="00BC402C" w:rsidP="3E34CFC8">
      <w:pPr>
        <w:pStyle w:val="Caption"/>
        <w:spacing w:line="360" w:lineRule="auto"/>
        <w:jc w:val="center"/>
        <w:rPr>
          <w:rFonts w:ascii="Times New Roman" w:eastAsia="Times New Roman" w:hAnsi="Times New Roman" w:cs="Times New Roman"/>
          <w:b/>
          <w:bCs/>
        </w:rPr>
      </w:pPr>
      <w:r w:rsidRPr="0C86C642">
        <w:rPr>
          <w:rFonts w:ascii="Times New Roman" w:eastAsia="Times New Roman" w:hAnsi="Times New Roman" w:cs="Times New Roman"/>
        </w:rPr>
        <w:t xml:space="preserve">Figure </w:t>
      </w:r>
      <w:r>
        <w:fldChar w:fldCharType="begin"/>
      </w:r>
      <w:r>
        <w:instrText xml:space="preserve"> SEQ Figure \* ARABIC </w:instrText>
      </w:r>
      <w:r>
        <w:fldChar w:fldCharType="separate"/>
      </w:r>
      <w:r w:rsidR="00A31130" w:rsidRPr="0C86C642">
        <w:rPr>
          <w:noProof/>
        </w:rPr>
        <w:t>4</w:t>
      </w:r>
      <w:r>
        <w:fldChar w:fldCharType="end"/>
      </w:r>
      <w:r w:rsidRPr="0C86C642">
        <w:rPr>
          <w:rFonts w:ascii="Times New Roman" w:eastAsia="Times New Roman" w:hAnsi="Times New Roman" w:cs="Times New Roman"/>
        </w:rPr>
        <w:t xml:space="preserve"> - Iowa Custom Wildfire and Tornado Risk by Census Tract</w:t>
      </w:r>
    </w:p>
    <w:p w14:paraId="790CADCB" w14:textId="42988B3C" w:rsidR="2B63BA2C" w:rsidRDefault="037BBB46" w:rsidP="0C86C642">
      <w:pPr>
        <w:spacing w:line="360" w:lineRule="auto"/>
        <w:rPr>
          <w:rFonts w:ascii="Times New Roman" w:eastAsia="Times New Roman" w:hAnsi="Times New Roman" w:cs="Times New Roman"/>
        </w:rPr>
      </w:pPr>
      <w:r w:rsidRPr="0C86C642">
        <w:rPr>
          <w:rFonts w:ascii="Times New Roman" w:eastAsia="Times New Roman" w:hAnsi="Times New Roman" w:cs="Times New Roman"/>
        </w:rPr>
        <w:t xml:space="preserve">The Iowa </w:t>
      </w:r>
      <w:r w:rsidR="23715C4A" w:rsidRPr="0C86C642">
        <w:rPr>
          <w:rFonts w:ascii="Times New Roman" w:eastAsia="Times New Roman" w:hAnsi="Times New Roman" w:cs="Times New Roman"/>
        </w:rPr>
        <w:t>NRI</w:t>
      </w:r>
      <w:r w:rsidRPr="0C86C642">
        <w:rPr>
          <w:rFonts w:ascii="Times New Roman" w:eastAsia="Times New Roman" w:hAnsi="Times New Roman" w:cs="Times New Roman"/>
        </w:rPr>
        <w:t xml:space="preserve"> </w:t>
      </w:r>
      <w:r w:rsidR="67E1E064" w:rsidRPr="0C86C642">
        <w:rPr>
          <w:rFonts w:ascii="Times New Roman" w:eastAsia="Times New Roman" w:hAnsi="Times New Roman" w:cs="Times New Roman"/>
        </w:rPr>
        <w:t xml:space="preserve">risk </w:t>
      </w:r>
      <w:r w:rsidRPr="0C86C642">
        <w:rPr>
          <w:rFonts w:ascii="Times New Roman" w:eastAsia="Times New Roman" w:hAnsi="Times New Roman" w:cs="Times New Roman"/>
        </w:rPr>
        <w:t xml:space="preserve">map and custom map </w:t>
      </w:r>
      <w:r w:rsidR="527FF9AF" w:rsidRPr="0C86C642">
        <w:rPr>
          <w:rFonts w:ascii="Times New Roman" w:eastAsia="Times New Roman" w:hAnsi="Times New Roman" w:cs="Times New Roman"/>
        </w:rPr>
        <w:t xml:space="preserve">are shown in figures 3 and 4. They </w:t>
      </w:r>
      <w:r w:rsidRPr="0C86C642">
        <w:rPr>
          <w:rFonts w:ascii="Times New Roman" w:eastAsia="Times New Roman" w:hAnsi="Times New Roman" w:cs="Times New Roman"/>
        </w:rPr>
        <w:t xml:space="preserve">show different spatial patterns because they measure different components of risk. </w:t>
      </w:r>
      <w:r w:rsidR="29D53BA6" w:rsidRPr="0C86C642">
        <w:rPr>
          <w:rFonts w:ascii="Times New Roman" w:eastAsia="Times New Roman" w:hAnsi="Times New Roman" w:cs="Times New Roman"/>
        </w:rPr>
        <w:t>Risk</w:t>
      </w:r>
      <w:r w:rsidRPr="0C86C642">
        <w:rPr>
          <w:rFonts w:ascii="Times New Roman" w:eastAsia="Times New Roman" w:hAnsi="Times New Roman" w:cs="Times New Roman"/>
        </w:rPr>
        <w:t xml:space="preserve"> scores include vulnerability and resilience indicators, while the custom map reflects only wildfire and tornado losses.</w:t>
      </w:r>
    </w:p>
    <w:p w14:paraId="54A720D3" w14:textId="243DC664" w:rsidR="2B63BA2C" w:rsidRDefault="037BBB46" w:rsidP="0C86C642">
      <w:pPr>
        <w:spacing w:line="360" w:lineRule="auto"/>
        <w:rPr>
          <w:rFonts w:ascii="Times New Roman" w:eastAsia="Times New Roman" w:hAnsi="Times New Roman" w:cs="Times New Roman"/>
        </w:rPr>
      </w:pPr>
      <w:r w:rsidRPr="0C86C642">
        <w:rPr>
          <w:rFonts w:ascii="Times New Roman" w:eastAsia="Times New Roman" w:hAnsi="Times New Roman" w:cs="Times New Roman"/>
        </w:rPr>
        <w:t>The Oklahoma data produced much larger raw values than Iowa under both frameworks. The top Oklahoma counties by mean custom risk score were Oklahoma, Tulsa, Canadian, Comanche, and Osage. In the Oklahoma output, tornado risk again dominated the custom score, while wildfire risk remained smaller but still measurable.</w:t>
      </w:r>
    </w:p>
    <w:p w14:paraId="53451C02" w14:textId="43D8640E" w:rsidR="2B63BA2C" w:rsidRDefault="2B63BA2C" w:rsidP="3EF57880">
      <w:pPr>
        <w:spacing w:line="360" w:lineRule="auto"/>
        <w:rPr>
          <w:rFonts w:ascii="Times New Roman" w:eastAsia="Times New Roman" w:hAnsi="Times New Roman" w:cs="Times New Roman"/>
          <w:b/>
          <w:bCs/>
        </w:rPr>
      </w:pPr>
    </w:p>
    <w:p w14:paraId="6C8063E1" w14:textId="77777777" w:rsidR="00214BB0" w:rsidRDefault="00214BB0" w:rsidP="0C86C642">
      <w:pPr>
        <w:keepNext/>
        <w:spacing w:line="360" w:lineRule="auto"/>
        <w:jc w:val="center"/>
        <w:rPr>
          <w:rFonts w:ascii="Times New Roman" w:eastAsia="Times New Roman" w:hAnsi="Times New Roman" w:cs="Times New Roman"/>
        </w:rPr>
      </w:pPr>
      <w:r>
        <w:rPr>
          <w:noProof/>
        </w:rPr>
        <w:drawing>
          <wp:inline distT="0" distB="0" distL="0" distR="0" wp14:anchorId="5B1E2259" wp14:editId="7FB48999">
            <wp:extent cx="6511050" cy="2827020"/>
            <wp:effectExtent l="0" t="0" r="4445" b="0"/>
            <wp:docPr id="14690895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15029" cy="2828748"/>
                    </a:xfrm>
                    <a:prstGeom prst="rect">
                      <a:avLst/>
                    </a:prstGeom>
                    <a:noFill/>
                    <a:ln>
                      <a:noFill/>
                    </a:ln>
                  </pic:spPr>
                </pic:pic>
              </a:graphicData>
            </a:graphic>
          </wp:inline>
        </w:drawing>
      </w:r>
    </w:p>
    <w:p w14:paraId="5EC59767" w14:textId="2976B2B6" w:rsidR="00BC402C" w:rsidRDefault="00214BB0" w:rsidP="0C86C642">
      <w:pPr>
        <w:pStyle w:val="Caption"/>
        <w:spacing w:line="360" w:lineRule="auto"/>
        <w:jc w:val="center"/>
        <w:rPr>
          <w:rFonts w:ascii="Times New Roman" w:eastAsia="Times New Roman" w:hAnsi="Times New Roman" w:cs="Times New Roman"/>
        </w:rPr>
      </w:pPr>
      <w:r w:rsidRPr="0C86C642">
        <w:rPr>
          <w:rFonts w:ascii="Times New Roman" w:eastAsia="Times New Roman" w:hAnsi="Times New Roman" w:cs="Times New Roman"/>
        </w:rPr>
        <w:t xml:space="preserve">Figure </w:t>
      </w:r>
      <w:r>
        <w:fldChar w:fldCharType="begin"/>
      </w:r>
      <w:r>
        <w:instrText xml:space="preserve"> SEQ Figure \* ARABIC </w:instrText>
      </w:r>
      <w:r>
        <w:fldChar w:fldCharType="separate"/>
      </w:r>
      <w:r w:rsidR="00A31130" w:rsidRPr="0C86C642">
        <w:rPr>
          <w:noProof/>
        </w:rPr>
        <w:t>5</w:t>
      </w:r>
      <w:r>
        <w:fldChar w:fldCharType="end"/>
      </w:r>
      <w:r w:rsidRPr="0C86C642">
        <w:rPr>
          <w:rFonts w:ascii="Times New Roman" w:eastAsia="Times New Roman" w:hAnsi="Times New Roman" w:cs="Times New Roman"/>
        </w:rPr>
        <w:t xml:space="preserve"> - Oklahoma Wildfire Risk Compared with Tornado Risk</w:t>
      </w:r>
    </w:p>
    <w:p w14:paraId="217414CE" w14:textId="17FF82C5" w:rsidR="00214BB0" w:rsidRPr="00214BB0" w:rsidRDefault="2B30C335" w:rsidP="0C86C642">
      <w:pPr>
        <w:spacing w:line="360" w:lineRule="auto"/>
        <w:rPr>
          <w:rFonts w:ascii="Times New Roman" w:eastAsia="Times New Roman" w:hAnsi="Times New Roman" w:cs="Times New Roman"/>
        </w:rPr>
      </w:pPr>
      <w:r w:rsidRPr="0C86C642">
        <w:rPr>
          <w:rFonts w:ascii="Times New Roman" w:eastAsia="Times New Roman" w:hAnsi="Times New Roman" w:cs="Times New Roman"/>
        </w:rPr>
        <w:t>Figure 5 compares wildfire risk and tornado risk for the top 20 Oklahoma counties. Tornado risk is the largest component in the leading counties, and wildfire risk is secondary.</w:t>
      </w:r>
    </w:p>
    <w:p w14:paraId="47A57E0D" w14:textId="77777777" w:rsidR="00850108" w:rsidRDefault="00850108" w:rsidP="0C86C642">
      <w:pPr>
        <w:keepNext/>
        <w:spacing w:line="360" w:lineRule="auto"/>
        <w:jc w:val="center"/>
        <w:rPr>
          <w:rFonts w:ascii="Times New Roman" w:eastAsia="Times New Roman" w:hAnsi="Times New Roman" w:cs="Times New Roman"/>
        </w:rPr>
      </w:pPr>
      <w:r>
        <w:rPr>
          <w:noProof/>
        </w:rPr>
        <w:drawing>
          <wp:inline distT="0" distB="0" distL="0" distR="0" wp14:anchorId="43F809CB" wp14:editId="53A18EC4">
            <wp:extent cx="6440851" cy="2796540"/>
            <wp:effectExtent l="0" t="0" r="0" b="3810"/>
            <wp:docPr id="20264835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50405" cy="2800688"/>
                    </a:xfrm>
                    <a:prstGeom prst="rect">
                      <a:avLst/>
                    </a:prstGeom>
                    <a:noFill/>
                    <a:ln>
                      <a:noFill/>
                    </a:ln>
                  </pic:spPr>
                </pic:pic>
              </a:graphicData>
            </a:graphic>
          </wp:inline>
        </w:drawing>
      </w:r>
    </w:p>
    <w:p w14:paraId="560D3AE3" w14:textId="3A8182C0" w:rsidR="00214BB0" w:rsidRDefault="00850108" w:rsidP="0C86C642">
      <w:pPr>
        <w:pStyle w:val="Caption"/>
        <w:spacing w:line="360" w:lineRule="auto"/>
        <w:jc w:val="center"/>
        <w:rPr>
          <w:rFonts w:ascii="Times New Roman" w:eastAsia="Times New Roman" w:hAnsi="Times New Roman" w:cs="Times New Roman"/>
        </w:rPr>
      </w:pPr>
      <w:r w:rsidRPr="0C86C642">
        <w:rPr>
          <w:rFonts w:ascii="Times New Roman" w:eastAsia="Times New Roman" w:hAnsi="Times New Roman" w:cs="Times New Roman"/>
        </w:rPr>
        <w:t xml:space="preserve">Figure </w:t>
      </w:r>
      <w:r>
        <w:fldChar w:fldCharType="begin"/>
      </w:r>
      <w:r>
        <w:instrText xml:space="preserve"> SEQ Figure \* ARABIC </w:instrText>
      </w:r>
      <w:r>
        <w:fldChar w:fldCharType="separate"/>
      </w:r>
      <w:r w:rsidR="00A31130" w:rsidRPr="0C86C642">
        <w:rPr>
          <w:noProof/>
        </w:rPr>
        <w:t>6</w:t>
      </w:r>
      <w:r>
        <w:fldChar w:fldCharType="end"/>
      </w:r>
      <w:r w:rsidRPr="0C86C642">
        <w:rPr>
          <w:rFonts w:ascii="Times New Roman" w:eastAsia="Times New Roman" w:hAnsi="Times New Roman" w:cs="Times New Roman"/>
        </w:rPr>
        <w:t xml:space="preserve"> - Oklahoma FEMA Risk Compared with Normalized Custom Risk</w:t>
      </w:r>
    </w:p>
    <w:p w14:paraId="4DF4C571" w14:textId="4C2A7996" w:rsidR="4BF5DF02" w:rsidRDefault="4BF5DF02" w:rsidP="0C86C642">
      <w:pPr>
        <w:rPr>
          <w:rFonts w:ascii="Times New Roman" w:eastAsia="Times New Roman" w:hAnsi="Times New Roman" w:cs="Times New Roman"/>
        </w:rPr>
      </w:pPr>
      <w:r w:rsidRPr="0C86C642">
        <w:rPr>
          <w:rFonts w:ascii="Times New Roman" w:eastAsia="Times New Roman" w:hAnsi="Times New Roman" w:cs="Times New Roman"/>
        </w:rPr>
        <w:t>Figure 6 compares FEMA risk values with normalized custom risk values for the top 20 Oklahoma counties. Several counties rank highly under both systems, but the order changes because the FEMA model includes social vulnerability and community resilience while the custom model does not.</w:t>
      </w:r>
    </w:p>
    <w:p w14:paraId="23E224D3" w14:textId="77777777" w:rsidR="00A123BC" w:rsidRPr="00A123BC" w:rsidRDefault="00A123BC" w:rsidP="0C86C642">
      <w:pPr>
        <w:spacing w:line="360" w:lineRule="auto"/>
        <w:rPr>
          <w:rFonts w:ascii="Times New Roman" w:eastAsia="Times New Roman" w:hAnsi="Times New Roman" w:cs="Times New Roman"/>
        </w:rPr>
      </w:pPr>
    </w:p>
    <w:p w14:paraId="73E9CADE" w14:textId="77777777" w:rsidR="00A123BC" w:rsidRDefault="00A123BC" w:rsidP="0C86C642">
      <w:pPr>
        <w:keepNext/>
        <w:spacing w:line="360" w:lineRule="auto"/>
        <w:jc w:val="center"/>
        <w:rPr>
          <w:rFonts w:ascii="Times New Roman" w:eastAsia="Times New Roman" w:hAnsi="Times New Roman" w:cs="Times New Roman"/>
        </w:rPr>
      </w:pPr>
      <w:r>
        <w:rPr>
          <w:noProof/>
        </w:rPr>
        <w:drawing>
          <wp:inline distT="0" distB="0" distL="0" distR="0" wp14:anchorId="1CA9E0EA" wp14:editId="1C5E8340">
            <wp:extent cx="5074920" cy="4577730"/>
            <wp:effectExtent l="0" t="0" r="0" b="0"/>
            <wp:docPr id="19506853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81196" cy="4583391"/>
                    </a:xfrm>
                    <a:prstGeom prst="rect">
                      <a:avLst/>
                    </a:prstGeom>
                    <a:noFill/>
                    <a:ln>
                      <a:noFill/>
                    </a:ln>
                  </pic:spPr>
                </pic:pic>
              </a:graphicData>
            </a:graphic>
          </wp:inline>
        </w:drawing>
      </w:r>
    </w:p>
    <w:p w14:paraId="1520C23A" w14:textId="79A19180" w:rsidR="00A123BC" w:rsidRDefault="00A123BC" w:rsidP="3E34CFC8">
      <w:pPr>
        <w:pStyle w:val="Caption"/>
        <w:spacing w:line="360" w:lineRule="auto"/>
        <w:jc w:val="center"/>
        <w:rPr>
          <w:rFonts w:ascii="Times New Roman" w:eastAsia="Times New Roman" w:hAnsi="Times New Roman" w:cs="Times New Roman"/>
          <w:b/>
          <w:bCs/>
        </w:rPr>
      </w:pPr>
      <w:r w:rsidRPr="0C86C642">
        <w:rPr>
          <w:rFonts w:ascii="Times New Roman" w:eastAsia="Times New Roman" w:hAnsi="Times New Roman" w:cs="Times New Roman"/>
        </w:rPr>
        <w:t xml:space="preserve">Figure </w:t>
      </w:r>
      <w:r>
        <w:fldChar w:fldCharType="begin"/>
      </w:r>
      <w:r>
        <w:instrText xml:space="preserve"> SEQ Figure \* ARABIC </w:instrText>
      </w:r>
      <w:r>
        <w:fldChar w:fldCharType="separate"/>
      </w:r>
      <w:r w:rsidR="00A31130" w:rsidRPr="0C86C642">
        <w:rPr>
          <w:noProof/>
        </w:rPr>
        <w:t>7</w:t>
      </w:r>
      <w:r>
        <w:fldChar w:fldCharType="end"/>
      </w:r>
      <w:r w:rsidRPr="0C86C642">
        <w:rPr>
          <w:rFonts w:ascii="Times New Roman" w:eastAsia="Times New Roman" w:hAnsi="Times New Roman" w:cs="Times New Roman"/>
        </w:rPr>
        <w:t xml:space="preserve"> - Oklahoma FEMA NRI Risk Score by Census Tract</w:t>
      </w:r>
    </w:p>
    <w:p w14:paraId="65C2F161" w14:textId="254DDA9C" w:rsidR="2B63BA2C" w:rsidRDefault="2B63BA2C" w:rsidP="3EF57880">
      <w:pPr>
        <w:spacing w:line="360" w:lineRule="auto"/>
        <w:rPr>
          <w:rFonts w:ascii="Times New Roman" w:eastAsia="Times New Roman" w:hAnsi="Times New Roman" w:cs="Times New Roman"/>
          <w:b/>
          <w:bCs/>
        </w:rPr>
      </w:pPr>
    </w:p>
    <w:p w14:paraId="25721EBC" w14:textId="77777777" w:rsidR="004C5AB0" w:rsidRDefault="004C5AB0" w:rsidP="0C86C642">
      <w:pPr>
        <w:keepNext/>
        <w:spacing w:line="360" w:lineRule="auto"/>
        <w:jc w:val="center"/>
        <w:rPr>
          <w:rFonts w:ascii="Times New Roman" w:eastAsia="Times New Roman" w:hAnsi="Times New Roman" w:cs="Times New Roman"/>
        </w:rPr>
      </w:pPr>
      <w:r>
        <w:rPr>
          <w:noProof/>
        </w:rPr>
        <w:drawing>
          <wp:inline distT="0" distB="0" distL="0" distR="0" wp14:anchorId="548312C3" wp14:editId="38916DE0">
            <wp:extent cx="4709160" cy="4307674"/>
            <wp:effectExtent l="0" t="0" r="0" b="0"/>
            <wp:docPr id="8820471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18022" cy="4315781"/>
                    </a:xfrm>
                    <a:prstGeom prst="rect">
                      <a:avLst/>
                    </a:prstGeom>
                    <a:noFill/>
                    <a:ln>
                      <a:noFill/>
                    </a:ln>
                  </pic:spPr>
                </pic:pic>
              </a:graphicData>
            </a:graphic>
          </wp:inline>
        </w:drawing>
      </w:r>
    </w:p>
    <w:p w14:paraId="6D8493A7" w14:textId="6E56556A" w:rsidR="00A123BC" w:rsidRDefault="004C5AB0" w:rsidP="0C86C642">
      <w:pPr>
        <w:pStyle w:val="Caption"/>
        <w:spacing w:line="360" w:lineRule="auto"/>
        <w:jc w:val="center"/>
        <w:rPr>
          <w:rFonts w:ascii="Times New Roman" w:eastAsia="Times New Roman" w:hAnsi="Times New Roman" w:cs="Times New Roman"/>
        </w:rPr>
      </w:pPr>
      <w:r w:rsidRPr="0C86C642">
        <w:rPr>
          <w:rFonts w:ascii="Times New Roman" w:eastAsia="Times New Roman" w:hAnsi="Times New Roman" w:cs="Times New Roman"/>
        </w:rPr>
        <w:t xml:space="preserve">Figure </w:t>
      </w:r>
      <w:r>
        <w:fldChar w:fldCharType="begin"/>
      </w:r>
      <w:r>
        <w:instrText xml:space="preserve"> SEQ Figure \* ARABIC </w:instrText>
      </w:r>
      <w:r>
        <w:fldChar w:fldCharType="separate"/>
      </w:r>
      <w:r w:rsidR="00A31130" w:rsidRPr="0C86C642">
        <w:rPr>
          <w:noProof/>
        </w:rPr>
        <w:t>8</w:t>
      </w:r>
      <w:r>
        <w:fldChar w:fldCharType="end"/>
      </w:r>
      <w:r w:rsidRPr="0C86C642">
        <w:rPr>
          <w:rFonts w:ascii="Times New Roman" w:eastAsia="Times New Roman" w:hAnsi="Times New Roman" w:cs="Times New Roman"/>
        </w:rPr>
        <w:t xml:space="preserve"> - Oklahoma Custom Wildfire and Tornado Risk by Census Tract</w:t>
      </w:r>
    </w:p>
    <w:p w14:paraId="02C5CC53" w14:textId="77777777" w:rsidR="008F29CF" w:rsidRPr="008F29CF" w:rsidRDefault="008F29CF" w:rsidP="0C86C642">
      <w:pPr>
        <w:spacing w:line="360" w:lineRule="auto"/>
        <w:rPr>
          <w:rFonts w:ascii="Times New Roman" w:eastAsia="Times New Roman" w:hAnsi="Times New Roman" w:cs="Times New Roman"/>
        </w:rPr>
      </w:pPr>
    </w:p>
    <w:p w14:paraId="5E8186B9" w14:textId="72A04596" w:rsidR="2B63BA2C" w:rsidRDefault="2B63BA2C" w:rsidP="3EF57880">
      <w:pPr>
        <w:spacing w:line="360" w:lineRule="auto"/>
        <w:rPr>
          <w:rFonts w:ascii="Times New Roman" w:eastAsia="Times New Roman" w:hAnsi="Times New Roman" w:cs="Times New Roman"/>
        </w:rPr>
      </w:pPr>
    </w:p>
    <w:p w14:paraId="14D0FF54" w14:textId="67BDD9DD" w:rsidR="2B63BA2C" w:rsidRDefault="10061D89" w:rsidP="3EF57880">
      <w:pPr>
        <w:spacing w:line="360" w:lineRule="auto"/>
        <w:rPr>
          <w:rFonts w:ascii="Times New Roman" w:eastAsia="Times New Roman" w:hAnsi="Times New Roman" w:cs="Times New Roman"/>
        </w:rPr>
      </w:pPr>
      <w:r w:rsidRPr="0C86C642">
        <w:rPr>
          <w:rFonts w:ascii="Times New Roman" w:eastAsia="Times New Roman" w:hAnsi="Times New Roman" w:cs="Times New Roman"/>
        </w:rPr>
        <w:t xml:space="preserve">Figures 7 and 8 show both the NRI’s and the custom risk scores respectively. </w:t>
      </w:r>
      <w:r w:rsidR="037BBB46" w:rsidRPr="0C86C642">
        <w:rPr>
          <w:rFonts w:ascii="Times New Roman" w:eastAsia="Times New Roman" w:hAnsi="Times New Roman" w:cs="Times New Roman"/>
        </w:rPr>
        <w:t>The Oklahoma maps identify spatial concentrations of higher risk values in major population centers and counties with stronger tornadoes and wildfire exposure.</w:t>
      </w:r>
    </w:p>
    <w:p w14:paraId="07A2E599" w14:textId="40E047AC" w:rsidR="2B63BA2C" w:rsidRDefault="037BBB46" w:rsidP="0C86C642">
      <w:pPr>
        <w:spacing w:line="360" w:lineRule="auto"/>
        <w:rPr>
          <w:rFonts w:ascii="Times New Roman" w:eastAsia="Times New Roman" w:hAnsi="Times New Roman" w:cs="Times New Roman"/>
        </w:rPr>
      </w:pPr>
      <w:r w:rsidRPr="0C86C642">
        <w:rPr>
          <w:rFonts w:ascii="Times New Roman" w:eastAsia="Times New Roman" w:hAnsi="Times New Roman" w:cs="Times New Roman"/>
        </w:rPr>
        <w:t xml:space="preserve">At the state level, Oklahoma scored higher than Iowa under both systems. The code output normalized the state means so the two frameworks could be plotted on the same axis. Oklahoma was the reference state at </w:t>
      </w:r>
      <w:r w:rsidR="00F94342" w:rsidRPr="0C86C642">
        <w:rPr>
          <w:rFonts w:ascii="Times New Roman" w:eastAsia="Times New Roman" w:hAnsi="Times New Roman" w:cs="Times New Roman"/>
        </w:rPr>
        <w:t>one hundred</w:t>
      </w:r>
      <w:r w:rsidRPr="0C86C642">
        <w:rPr>
          <w:rFonts w:ascii="Times New Roman" w:eastAsia="Times New Roman" w:hAnsi="Times New Roman" w:cs="Times New Roman"/>
        </w:rPr>
        <w:t xml:space="preserve"> for both normalized comparisons, while Iowa was 1.24 for the normalized FEMA risk comparison and 0.14 for the normalized custom risk comparison.</w:t>
      </w:r>
    </w:p>
    <w:p w14:paraId="7D58FC8C" w14:textId="250DBAEF" w:rsidR="2B63BA2C" w:rsidRDefault="2B63BA2C" w:rsidP="3EF57880">
      <w:pPr>
        <w:spacing w:line="360" w:lineRule="auto"/>
        <w:rPr>
          <w:rFonts w:ascii="Times New Roman" w:eastAsia="Times New Roman" w:hAnsi="Times New Roman" w:cs="Times New Roman"/>
          <w:b/>
          <w:bCs/>
        </w:rPr>
      </w:pPr>
    </w:p>
    <w:p w14:paraId="27C217FE" w14:textId="77777777" w:rsidR="00A31130" w:rsidRDefault="00A31130" w:rsidP="0C86C642">
      <w:pPr>
        <w:keepNext/>
        <w:spacing w:line="360" w:lineRule="auto"/>
        <w:jc w:val="center"/>
        <w:rPr>
          <w:rFonts w:ascii="Times New Roman" w:eastAsia="Times New Roman" w:hAnsi="Times New Roman" w:cs="Times New Roman"/>
        </w:rPr>
      </w:pPr>
      <w:r>
        <w:rPr>
          <w:noProof/>
        </w:rPr>
        <w:drawing>
          <wp:inline distT="0" distB="0" distL="0" distR="0" wp14:anchorId="0950D6A7" wp14:editId="3A89BABC">
            <wp:extent cx="5943600" cy="3545205"/>
            <wp:effectExtent l="0" t="0" r="0" b="0"/>
            <wp:docPr id="8983431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545205"/>
                    </a:xfrm>
                    <a:prstGeom prst="rect">
                      <a:avLst/>
                    </a:prstGeom>
                    <a:noFill/>
                    <a:ln>
                      <a:noFill/>
                    </a:ln>
                  </pic:spPr>
                </pic:pic>
              </a:graphicData>
            </a:graphic>
          </wp:inline>
        </w:drawing>
      </w:r>
    </w:p>
    <w:p w14:paraId="18590A0B" w14:textId="42EC11C0" w:rsidR="008F29CF" w:rsidRDefault="00A31130" w:rsidP="3E34CFC8">
      <w:pPr>
        <w:pStyle w:val="Caption"/>
        <w:spacing w:line="360" w:lineRule="auto"/>
        <w:jc w:val="center"/>
        <w:rPr>
          <w:rFonts w:ascii="Times New Roman" w:eastAsia="Times New Roman" w:hAnsi="Times New Roman" w:cs="Times New Roman"/>
          <w:b/>
          <w:bCs/>
        </w:rPr>
      </w:pPr>
      <w:r w:rsidRPr="0C86C642">
        <w:rPr>
          <w:rFonts w:ascii="Times New Roman" w:eastAsia="Times New Roman" w:hAnsi="Times New Roman" w:cs="Times New Roman"/>
        </w:rPr>
        <w:t xml:space="preserve">Figure </w:t>
      </w:r>
      <w:r>
        <w:fldChar w:fldCharType="begin"/>
      </w:r>
      <w:r>
        <w:instrText xml:space="preserve"> SEQ Figure \* ARABIC </w:instrText>
      </w:r>
      <w:r>
        <w:fldChar w:fldCharType="separate"/>
      </w:r>
      <w:r w:rsidRPr="0C86C642">
        <w:rPr>
          <w:noProof/>
        </w:rPr>
        <w:t>9</w:t>
      </w:r>
      <w:r>
        <w:fldChar w:fldCharType="end"/>
      </w:r>
      <w:r w:rsidRPr="0C86C642">
        <w:rPr>
          <w:rFonts w:ascii="Times New Roman" w:eastAsia="Times New Roman" w:hAnsi="Times New Roman" w:cs="Times New Roman"/>
        </w:rPr>
        <w:t xml:space="preserve"> - Iowa Versus Oklahoma State Comparison</w:t>
      </w:r>
    </w:p>
    <w:p w14:paraId="69B3378D" w14:textId="6EBEEBE2" w:rsidR="2B63BA2C" w:rsidRDefault="0FF58E1C" w:rsidP="3EF57880">
      <w:pPr>
        <w:spacing w:line="360" w:lineRule="auto"/>
        <w:rPr>
          <w:rFonts w:ascii="Times New Roman" w:eastAsia="Times New Roman" w:hAnsi="Times New Roman" w:cs="Times New Roman"/>
        </w:rPr>
      </w:pPr>
      <w:r w:rsidRPr="0C86C642">
        <w:rPr>
          <w:rFonts w:ascii="Times New Roman" w:eastAsia="Times New Roman" w:hAnsi="Times New Roman" w:cs="Times New Roman"/>
        </w:rPr>
        <w:t>Figure 9 shows the comparison of the 2 states</w:t>
      </w:r>
      <w:r w:rsidR="037BBB46" w:rsidRPr="0C86C642">
        <w:rPr>
          <w:rFonts w:ascii="Times New Roman" w:eastAsia="Times New Roman" w:hAnsi="Times New Roman" w:cs="Times New Roman"/>
        </w:rPr>
        <w:t xml:space="preserve"> </w:t>
      </w:r>
      <w:r w:rsidRPr="0C86C642">
        <w:rPr>
          <w:rFonts w:ascii="Times New Roman" w:eastAsia="Times New Roman" w:hAnsi="Times New Roman" w:cs="Times New Roman"/>
        </w:rPr>
        <w:t>for both the custom risk score and the NRI risk score.</w:t>
      </w:r>
      <w:r w:rsidR="037BBB46" w:rsidRPr="0C86C642">
        <w:rPr>
          <w:rFonts w:ascii="Times New Roman" w:eastAsia="Times New Roman" w:hAnsi="Times New Roman" w:cs="Times New Roman"/>
        </w:rPr>
        <w:t xml:space="preserve"> </w:t>
      </w:r>
      <w:r w:rsidR="69972347" w:rsidRPr="0C86C642">
        <w:rPr>
          <w:rFonts w:ascii="Times New Roman" w:eastAsia="Times New Roman" w:hAnsi="Times New Roman" w:cs="Times New Roman"/>
        </w:rPr>
        <w:t>This</w:t>
      </w:r>
      <w:r w:rsidR="037BBB46" w:rsidRPr="0C86C642">
        <w:rPr>
          <w:rFonts w:ascii="Times New Roman" w:eastAsia="Times New Roman" w:hAnsi="Times New Roman" w:cs="Times New Roman"/>
        </w:rPr>
        <w:t xml:space="preserve"> must be interpreted carefully because the two states were not represented at the same geographic scale. Iowa data was at the tract level, while Oklahoma data was at the county level and were repeated across multiple merged records. That structural difference can influence averages independently of hazard conditions. </w:t>
      </w:r>
      <w:r w:rsidR="57E80DC3" w:rsidRPr="0C86C642">
        <w:rPr>
          <w:rFonts w:ascii="Times New Roman" w:eastAsia="Times New Roman" w:hAnsi="Times New Roman" w:cs="Times New Roman"/>
        </w:rPr>
        <w:t>S</w:t>
      </w:r>
      <w:r w:rsidR="037BBB46" w:rsidRPr="0C86C642">
        <w:rPr>
          <w:rFonts w:ascii="Times New Roman" w:eastAsia="Times New Roman" w:hAnsi="Times New Roman" w:cs="Times New Roman"/>
        </w:rPr>
        <w:t>ome of the observed differences between the states reflect data aggregation rather than only underlying disaster risk.</w:t>
      </w:r>
    </w:p>
    <w:p w14:paraId="45F86CCF" w14:textId="682695CB" w:rsidR="2B63BA2C" w:rsidRDefault="037BBB46" w:rsidP="0C86C642">
      <w:pPr>
        <w:spacing w:line="360" w:lineRule="auto"/>
        <w:rPr>
          <w:rFonts w:ascii="Times New Roman" w:eastAsia="Times New Roman" w:hAnsi="Times New Roman" w:cs="Times New Roman"/>
        </w:rPr>
      </w:pPr>
      <w:r w:rsidRPr="0C86C642">
        <w:rPr>
          <w:rFonts w:ascii="Times New Roman" w:eastAsia="Times New Roman" w:hAnsi="Times New Roman" w:cs="Times New Roman"/>
        </w:rPr>
        <w:t>The comparison between FEMA’s framework and the custom framework also has ethical implications. FEMA’s method accounts for social vulnerability and resilience, which means communities with fewer resources may receive higher risk values even if hazard exposure is similar. The custom method removes those social factors and focuses only on hazard frequency and expected annual loss. This creates a different distribution of risk values and may change which communities appear most in need of funding.</w:t>
      </w:r>
    </w:p>
    <w:p w14:paraId="1469C792" w14:textId="6DF0AE7C" w:rsidR="2B63BA2C" w:rsidRDefault="037BBB46" w:rsidP="0C86C642">
      <w:pPr>
        <w:spacing w:line="360" w:lineRule="auto"/>
        <w:rPr>
          <w:rFonts w:ascii="Times New Roman" w:eastAsia="Times New Roman" w:hAnsi="Times New Roman" w:cs="Times New Roman"/>
        </w:rPr>
      </w:pPr>
      <w:r w:rsidRPr="0C86C642">
        <w:rPr>
          <w:rFonts w:ascii="Times New Roman" w:eastAsia="Times New Roman" w:hAnsi="Times New Roman" w:cs="Times New Roman"/>
        </w:rPr>
        <w:t>This difference matters for future funding decisions because risk rankings can shape mitigation priorities. A community ranked high under FEMA may be prioritized for support because of vulnerability and limited recovery capacity. The same community may rank lower under the custom method if hazard losses are smaller. Communities and state agencies may interpret the results differently depending on whether the goal is hazard reduction, social protection, or recovery support.</w:t>
      </w:r>
    </w:p>
    <w:p w14:paraId="5A2A3749" w14:textId="1067D438" w:rsidR="2B63BA2C" w:rsidRDefault="037BBB46" w:rsidP="3EF57880">
      <w:pPr>
        <w:spacing w:line="360" w:lineRule="auto"/>
        <w:rPr>
          <w:rFonts w:ascii="Times New Roman" w:eastAsia="Times New Roman" w:hAnsi="Times New Roman" w:cs="Times New Roman"/>
        </w:rPr>
      </w:pPr>
      <w:r w:rsidRPr="0C86C642">
        <w:rPr>
          <w:rFonts w:ascii="Times New Roman" w:eastAsia="Times New Roman" w:hAnsi="Times New Roman" w:cs="Times New Roman"/>
        </w:rPr>
        <w:t xml:space="preserve">The results also show that geographic scales can create a form of categorical bias in risk assessment. </w:t>
      </w:r>
      <w:r w:rsidR="60848684" w:rsidRPr="0C86C642">
        <w:rPr>
          <w:rFonts w:ascii="Times New Roman" w:eastAsia="Times New Roman" w:hAnsi="Times New Roman" w:cs="Times New Roman"/>
        </w:rPr>
        <w:t xml:space="preserve">Differences in geographic scale and model structure introduce potential systematic bias in risk classification, which may lead to unequal allocation of mitigation funding across similarly exposed communities. </w:t>
      </w:r>
      <w:r w:rsidRPr="0C86C642">
        <w:rPr>
          <w:rFonts w:ascii="Times New Roman" w:eastAsia="Times New Roman" w:hAnsi="Times New Roman" w:cs="Times New Roman"/>
        </w:rPr>
        <w:t>County level records and tract level records are not directly equivalent, even when the same variables are used. Larger geographic units can produce larger totals and can shift the apparent severity of risk. For future comparative studies, the most reliable approach is to standardize both states to the same geographic unit before calculating rankings.</w:t>
      </w:r>
    </w:p>
    <w:p w14:paraId="3700EAAD" w14:textId="5FBE10CC" w:rsidR="4A493041" w:rsidRDefault="4A493041" w:rsidP="0C86C642">
      <w:pPr>
        <w:pStyle w:val="Heading2"/>
        <w:spacing w:line="360" w:lineRule="auto"/>
        <w:rPr>
          <w:rFonts w:ascii="Times New Roman" w:eastAsia="Times New Roman" w:hAnsi="Times New Roman" w:cs="Times New Roman"/>
        </w:rPr>
      </w:pPr>
      <w:bookmarkStart w:id="4" w:name="_Toc1294287395"/>
      <w:r w:rsidRPr="0C86C642">
        <w:rPr>
          <w:rFonts w:ascii="Times New Roman" w:eastAsia="Times New Roman" w:hAnsi="Times New Roman" w:cs="Times New Roman"/>
        </w:rPr>
        <w:t>Conclusion</w:t>
      </w:r>
      <w:bookmarkEnd w:id="4"/>
    </w:p>
    <w:p w14:paraId="019894C5" w14:textId="1C0E60AD" w:rsidR="4A493041" w:rsidRDefault="4A493041" w:rsidP="3E34CFC8">
      <w:pPr>
        <w:spacing w:line="360" w:lineRule="auto"/>
        <w:rPr>
          <w:rFonts w:ascii="Times New Roman" w:eastAsia="Times New Roman" w:hAnsi="Times New Roman" w:cs="Times New Roman"/>
        </w:rPr>
      </w:pPr>
      <w:r w:rsidRPr="0C86C642">
        <w:rPr>
          <w:rFonts w:ascii="Times New Roman" w:eastAsia="Times New Roman" w:hAnsi="Times New Roman" w:cs="Times New Roman"/>
        </w:rPr>
        <w:t>This report compared FEMA’s National Risk Index with a custom risk model based on wildfire and tornado hazard loss across Iowa and Oklahoma. The analysis showed that the two frameworks produce different risk distributions because they are built from different components. FEMA’s model incorporates expected annual loss, social vulnerability, and community resilience, while the custom model is based only on hazard frequency and expected annual loss for wildfire and tornado events. As a result, the FEMA outputs reflect both physical hazard exposure and socioeconomic conditions, while the custom outputs reflect hazard-driven impacts alone.</w:t>
      </w:r>
    </w:p>
    <w:p w14:paraId="0FD35B31" w14:textId="18A50712" w:rsidR="4A493041" w:rsidRDefault="4A493041" w:rsidP="3E34CFC8">
      <w:pPr>
        <w:spacing w:line="360" w:lineRule="auto"/>
        <w:rPr>
          <w:rFonts w:ascii="Times New Roman" w:eastAsia="Times New Roman" w:hAnsi="Times New Roman" w:cs="Times New Roman"/>
        </w:rPr>
      </w:pPr>
      <w:r w:rsidRPr="0C86C642">
        <w:rPr>
          <w:rFonts w:ascii="Times New Roman" w:eastAsia="Times New Roman" w:hAnsi="Times New Roman" w:cs="Times New Roman"/>
        </w:rPr>
        <w:t>Across both states, tornado risk was the dominant contributor to the custom risk score, while wildfire risk contributed less overall, particularly in Iowa. The comparison between Figures 1 and 5 shows this pattern consistently for both states. Differences between FEMA and custom rankings are shown in Figures 2 and 6, where the inclusion of social vulnerability and resilience in the FEMA framework changes the relative ordering of counties compared to the hazard-only approach. The spatial distributions shown in Figures 3, 4, 7, and 8 further illustrate that the two models identify different patterns of high-risk areas, even when based on the same underlying hazard data.</w:t>
      </w:r>
    </w:p>
    <w:p w14:paraId="37E4D6A6" w14:textId="1B71DAE8" w:rsidR="4A493041" w:rsidRDefault="4A493041" w:rsidP="3E34CFC8">
      <w:pPr>
        <w:spacing w:line="360" w:lineRule="auto"/>
        <w:rPr>
          <w:rFonts w:ascii="Times New Roman" w:eastAsia="Times New Roman" w:hAnsi="Times New Roman" w:cs="Times New Roman"/>
        </w:rPr>
      </w:pPr>
      <w:r w:rsidRPr="0C86C642">
        <w:rPr>
          <w:rFonts w:ascii="Times New Roman" w:eastAsia="Times New Roman" w:hAnsi="Times New Roman" w:cs="Times New Roman"/>
        </w:rPr>
        <w:t>The state-level comparison in Figure 9 indicates higher aggregated risk values for Oklahoma under both frameworks. However, the analysis also shows that differences in geographic scale between Iowa (census tract level) and Oklahoma (county level) affect aggregated results and limit direct comparability between the two states. This demonstrates that both model definition and spatial resolution influence risk outcomes.</w:t>
      </w:r>
    </w:p>
    <w:p w14:paraId="2FB8EFD4" w14:textId="2E5CCBE0" w:rsidR="4A493041" w:rsidRDefault="4A493041" w:rsidP="3E34CFC8">
      <w:pPr>
        <w:spacing w:line="360" w:lineRule="auto"/>
        <w:rPr>
          <w:rFonts w:ascii="Times New Roman" w:eastAsia="Times New Roman" w:hAnsi="Times New Roman" w:cs="Times New Roman"/>
        </w:rPr>
      </w:pPr>
      <w:r w:rsidRPr="0C86C642">
        <w:rPr>
          <w:rFonts w:ascii="Times New Roman" w:eastAsia="Times New Roman" w:hAnsi="Times New Roman" w:cs="Times New Roman"/>
        </w:rPr>
        <w:t>Overall, the results show that risk rankings are sensitive to both the structure of the risk model and the geographic scale of the input data. The FEMA framework and the custom hazard-based framework produce systematically different results, and the inclusion or exclusion of social and resilience variables changes both magnitude and spatial distribution of risk values.</w:t>
      </w:r>
    </w:p>
    <w:p w14:paraId="3A45AA53" w14:textId="7B9E7E84" w:rsidR="2B63BA2C" w:rsidRDefault="2B63BA2C" w:rsidP="0C86C642">
      <w:pPr>
        <w:spacing w:line="360" w:lineRule="auto"/>
        <w:rPr>
          <w:rFonts w:ascii="Times New Roman" w:eastAsia="Times New Roman" w:hAnsi="Times New Roman" w:cs="Times New Roman"/>
        </w:rPr>
      </w:pPr>
      <w:r w:rsidRPr="0C86C642">
        <w:rPr>
          <w:rFonts w:ascii="Times New Roman" w:eastAsia="Times New Roman" w:hAnsi="Times New Roman" w:cs="Times New Roman"/>
        </w:rPr>
        <w:br w:type="page"/>
      </w:r>
    </w:p>
    <w:p w14:paraId="1A8A84D3" w14:textId="574EC9DB" w:rsidR="2B63BA2C" w:rsidRDefault="7304CB4B" w:rsidP="0C86C642">
      <w:pPr>
        <w:pStyle w:val="Heading2"/>
        <w:rPr>
          <w:rFonts w:ascii="Times New Roman" w:eastAsia="Times New Roman" w:hAnsi="Times New Roman" w:cs="Times New Roman"/>
        </w:rPr>
      </w:pPr>
      <w:bookmarkStart w:id="5" w:name="_Toc1747259071"/>
      <w:r w:rsidRPr="0C86C642">
        <w:rPr>
          <w:rFonts w:ascii="Times New Roman" w:eastAsia="Times New Roman" w:hAnsi="Times New Roman" w:cs="Times New Roman"/>
        </w:rPr>
        <w:t>References</w:t>
      </w:r>
      <w:bookmarkEnd w:id="5"/>
    </w:p>
    <w:p w14:paraId="27EA57E9" w14:textId="3E4BD8FF" w:rsidR="2B63BA2C" w:rsidRDefault="7304CB4B" w:rsidP="0C86C642">
      <w:pPr>
        <w:spacing w:before="240" w:after="240" w:line="360" w:lineRule="auto"/>
        <w:ind w:left="720" w:hanging="720"/>
        <w:rPr>
          <w:rFonts w:ascii="Times New Roman" w:eastAsia="Times New Roman" w:hAnsi="Times New Roman" w:cs="Times New Roman"/>
        </w:rPr>
      </w:pPr>
      <w:r w:rsidRPr="0C86C642">
        <w:rPr>
          <w:rFonts w:ascii="Times New Roman" w:eastAsia="Times New Roman" w:hAnsi="Times New Roman" w:cs="Times New Roman"/>
        </w:rPr>
        <w:t xml:space="preserve">Federal Emergency Management Agency. (n.d.-a). </w:t>
      </w:r>
      <w:r w:rsidRPr="0C86C642">
        <w:rPr>
          <w:rFonts w:ascii="Times New Roman" w:eastAsia="Times New Roman" w:hAnsi="Times New Roman" w:cs="Times New Roman"/>
          <w:i/>
          <w:iCs/>
        </w:rPr>
        <w:t>National Risk Index: Understanding scores and ratings</w:t>
      </w:r>
      <w:r w:rsidRPr="0C86C642">
        <w:rPr>
          <w:rFonts w:ascii="Times New Roman" w:eastAsia="Times New Roman" w:hAnsi="Times New Roman" w:cs="Times New Roman"/>
        </w:rPr>
        <w:t>. https://hazards.fema.gov/nri/understanding-scores-ratings</w:t>
      </w:r>
    </w:p>
    <w:p w14:paraId="058B0A49" w14:textId="215A1E6B" w:rsidR="2B63BA2C" w:rsidRDefault="7304CB4B" w:rsidP="0C86C642">
      <w:pPr>
        <w:spacing w:before="240" w:after="240" w:line="360" w:lineRule="auto"/>
        <w:ind w:left="720" w:hanging="720"/>
        <w:rPr>
          <w:rFonts w:ascii="Times New Roman" w:eastAsia="Times New Roman" w:hAnsi="Times New Roman" w:cs="Times New Roman"/>
        </w:rPr>
      </w:pPr>
      <w:r w:rsidRPr="0C86C642">
        <w:rPr>
          <w:rFonts w:ascii="Times New Roman" w:eastAsia="Times New Roman" w:hAnsi="Times New Roman" w:cs="Times New Roman"/>
        </w:rPr>
        <w:t xml:space="preserve">Federal Emergency Management Agency. (n.d.-b). </w:t>
      </w:r>
      <w:r w:rsidRPr="0C86C642">
        <w:rPr>
          <w:rFonts w:ascii="Times New Roman" w:eastAsia="Times New Roman" w:hAnsi="Times New Roman" w:cs="Times New Roman"/>
          <w:i/>
          <w:iCs/>
        </w:rPr>
        <w:t>National Risk Index data resources</w:t>
      </w:r>
      <w:r w:rsidRPr="0C86C642">
        <w:rPr>
          <w:rFonts w:ascii="Times New Roman" w:eastAsia="Times New Roman" w:hAnsi="Times New Roman" w:cs="Times New Roman"/>
        </w:rPr>
        <w:t>. https://hazards.fema.gov/nri/data-resources</w:t>
      </w:r>
    </w:p>
    <w:p w14:paraId="0011E58C" w14:textId="1013EAA6" w:rsidR="2B63BA2C" w:rsidRDefault="7304CB4B" w:rsidP="0C86C642">
      <w:pPr>
        <w:spacing w:before="240" w:after="240" w:line="360" w:lineRule="auto"/>
        <w:ind w:left="720" w:hanging="720"/>
        <w:rPr>
          <w:rFonts w:ascii="Times New Roman" w:eastAsia="Times New Roman" w:hAnsi="Times New Roman" w:cs="Times New Roman"/>
        </w:rPr>
      </w:pPr>
      <w:r w:rsidRPr="0C86C642">
        <w:rPr>
          <w:rFonts w:ascii="Times New Roman" w:eastAsia="Times New Roman" w:hAnsi="Times New Roman" w:cs="Times New Roman"/>
        </w:rPr>
        <w:t xml:space="preserve">Agency for Toxic Substances and Disease Registry. (n.d.). </w:t>
      </w:r>
      <w:r w:rsidRPr="0C86C642">
        <w:rPr>
          <w:rFonts w:ascii="Times New Roman" w:eastAsia="Times New Roman" w:hAnsi="Times New Roman" w:cs="Times New Roman"/>
          <w:i/>
          <w:iCs/>
        </w:rPr>
        <w:t>Social vulnerability index (SVI) data documentation and download</w:t>
      </w:r>
      <w:r w:rsidRPr="0C86C642">
        <w:rPr>
          <w:rFonts w:ascii="Times New Roman" w:eastAsia="Times New Roman" w:hAnsi="Times New Roman" w:cs="Times New Roman"/>
        </w:rPr>
        <w:t>. Centers for Disease Control and Prevention. https://www.atsdr.cdc.gov/place-health/php/svi/svi-data-documentation-download.html</w:t>
      </w:r>
    </w:p>
    <w:p w14:paraId="3FED04FC" w14:textId="5B53BE5A" w:rsidR="2B63BA2C" w:rsidRDefault="2B63BA2C" w:rsidP="3E34CFC8">
      <w:pPr>
        <w:spacing w:line="360" w:lineRule="auto"/>
        <w:rPr>
          <w:rFonts w:ascii="Times New Roman" w:eastAsia="Times New Roman" w:hAnsi="Times New Roman" w:cs="Times New Roman"/>
        </w:rPr>
      </w:pPr>
    </w:p>
    <w:sectPr w:rsidR="2B63BA2C">
      <w:headerReference w:type="default" r:id="rId16"/>
      <w:footerReference w:type="default" r:id="rId17"/>
      <w:headerReference w:type="first" r:id="rId18"/>
      <w:footerReference w:type="firs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D0DE" w14:textId="77777777" w:rsidR="00E00913" w:rsidRDefault="00E00913" w:rsidP="00903D04">
      <w:pPr>
        <w:spacing w:after="0" w:line="240" w:lineRule="auto"/>
      </w:pPr>
      <w:r>
        <w:separator/>
      </w:r>
    </w:p>
  </w:endnote>
  <w:endnote w:type="continuationSeparator" w:id="0">
    <w:p w14:paraId="269D584B" w14:textId="77777777" w:rsidR="00E00913" w:rsidRDefault="00E00913" w:rsidP="00903D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97FCB1C" w14:paraId="2B547676" w14:textId="77777777" w:rsidTr="0C86C642">
      <w:trPr>
        <w:trHeight w:val="300"/>
      </w:trPr>
      <w:tc>
        <w:tcPr>
          <w:tcW w:w="3120" w:type="dxa"/>
        </w:tcPr>
        <w:p w14:paraId="5D71CD02" w14:textId="286A8B15" w:rsidR="397FCB1C" w:rsidRDefault="397FCB1C" w:rsidP="397FCB1C">
          <w:pPr>
            <w:pStyle w:val="Header"/>
            <w:ind w:left="-115"/>
          </w:pPr>
        </w:p>
      </w:tc>
      <w:tc>
        <w:tcPr>
          <w:tcW w:w="3120" w:type="dxa"/>
        </w:tcPr>
        <w:p w14:paraId="23151425" w14:textId="1F6E1197" w:rsidR="397FCB1C" w:rsidRDefault="397FCB1C" w:rsidP="397FCB1C">
          <w:pPr>
            <w:pStyle w:val="Header"/>
            <w:jc w:val="center"/>
          </w:pPr>
          <w:r>
            <w:fldChar w:fldCharType="begin"/>
          </w:r>
          <w:r>
            <w:instrText>PAGE</w:instrText>
          </w:r>
          <w:r>
            <w:fldChar w:fldCharType="separate"/>
          </w:r>
          <w:r>
            <w:fldChar w:fldCharType="end"/>
          </w:r>
        </w:p>
      </w:tc>
      <w:tc>
        <w:tcPr>
          <w:tcW w:w="3120" w:type="dxa"/>
        </w:tcPr>
        <w:p w14:paraId="44325A96" w14:textId="0C4365FB" w:rsidR="397FCB1C" w:rsidRDefault="397FCB1C" w:rsidP="397FCB1C">
          <w:pPr>
            <w:pStyle w:val="Header"/>
            <w:ind w:right="-115"/>
            <w:jc w:val="right"/>
          </w:pPr>
        </w:p>
      </w:tc>
    </w:tr>
  </w:tbl>
  <w:sdt>
    <w:sdtPr>
      <w:id w:val="500933566"/>
      <w:showingPlcHdr/>
      <w:docPartObj>
        <w:docPartGallery w:val="Page Numbers (Bottom of Page)"/>
        <w:docPartUnique/>
      </w:docPartObj>
    </w:sdtPr>
    <w:sdtEndPr>
      <w:rPr>
        <w:noProof/>
      </w:rPr>
    </w:sdtEndPr>
    <w:sdtContent>
      <w:p w14:paraId="60339E1F" w14:textId="7FE7E9A0" w:rsidR="00903D04" w:rsidRDefault="0C86C642" w:rsidP="0C86C642">
        <w:pPr>
          <w:pStyle w:val="Footer"/>
          <w:rPr>
            <w:noProof/>
          </w:rPr>
        </w:pPr>
        <w:r>
          <w:t xml:space="preserve">     </w:t>
        </w:r>
      </w:p>
    </w:sdtContent>
  </w:sdt>
  <w:p w14:paraId="0FC87CBC" w14:textId="4F6A266D" w:rsidR="00903D04" w:rsidRDefault="00903D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C86C642" w14:paraId="7192E8BE" w14:textId="77777777" w:rsidTr="0C86C642">
      <w:trPr>
        <w:trHeight w:val="300"/>
      </w:trPr>
      <w:tc>
        <w:tcPr>
          <w:tcW w:w="3120" w:type="dxa"/>
        </w:tcPr>
        <w:p w14:paraId="0235BEA1" w14:textId="4A43FB93" w:rsidR="0C86C642" w:rsidRDefault="0C86C642" w:rsidP="0C86C642">
          <w:pPr>
            <w:pStyle w:val="Header"/>
            <w:ind w:left="-115"/>
          </w:pPr>
        </w:p>
      </w:tc>
      <w:tc>
        <w:tcPr>
          <w:tcW w:w="3120" w:type="dxa"/>
        </w:tcPr>
        <w:p w14:paraId="6650AA65" w14:textId="6030B3BD" w:rsidR="0C86C642" w:rsidRDefault="0C86C642" w:rsidP="0C86C642">
          <w:pPr>
            <w:pStyle w:val="Header"/>
            <w:jc w:val="center"/>
          </w:pPr>
        </w:p>
      </w:tc>
      <w:tc>
        <w:tcPr>
          <w:tcW w:w="3120" w:type="dxa"/>
        </w:tcPr>
        <w:p w14:paraId="370ECC90" w14:textId="6EE4ABEE" w:rsidR="0C86C642" w:rsidRDefault="0C86C642" w:rsidP="0C86C642">
          <w:pPr>
            <w:pStyle w:val="Header"/>
            <w:ind w:right="-115"/>
            <w:jc w:val="right"/>
          </w:pPr>
        </w:p>
      </w:tc>
    </w:tr>
  </w:tbl>
  <w:p w14:paraId="3074B3AC" w14:textId="26B40DBC" w:rsidR="0C86C642" w:rsidRDefault="0C86C642" w:rsidP="0C86C6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5280F" w14:textId="77777777" w:rsidR="00E00913" w:rsidRDefault="00E00913" w:rsidP="00903D04">
      <w:pPr>
        <w:spacing w:after="0" w:line="240" w:lineRule="auto"/>
      </w:pPr>
      <w:r>
        <w:separator/>
      </w:r>
    </w:p>
  </w:footnote>
  <w:footnote w:type="continuationSeparator" w:id="0">
    <w:p w14:paraId="504351E5" w14:textId="77777777" w:rsidR="00E00913" w:rsidRDefault="00E00913" w:rsidP="00903D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97FCB1C" w14:paraId="246682E9" w14:textId="77777777" w:rsidTr="397FCB1C">
      <w:trPr>
        <w:trHeight w:val="300"/>
      </w:trPr>
      <w:tc>
        <w:tcPr>
          <w:tcW w:w="3120" w:type="dxa"/>
        </w:tcPr>
        <w:p w14:paraId="144C1008" w14:textId="554F77F6" w:rsidR="397FCB1C" w:rsidRDefault="397FCB1C" w:rsidP="397FCB1C">
          <w:pPr>
            <w:pStyle w:val="Header"/>
            <w:ind w:left="-115"/>
          </w:pPr>
        </w:p>
      </w:tc>
      <w:tc>
        <w:tcPr>
          <w:tcW w:w="3120" w:type="dxa"/>
        </w:tcPr>
        <w:p w14:paraId="3A157FEF" w14:textId="013F5921" w:rsidR="397FCB1C" w:rsidRDefault="397FCB1C" w:rsidP="397FCB1C">
          <w:pPr>
            <w:pStyle w:val="Header"/>
            <w:jc w:val="center"/>
          </w:pPr>
        </w:p>
      </w:tc>
      <w:tc>
        <w:tcPr>
          <w:tcW w:w="3120" w:type="dxa"/>
        </w:tcPr>
        <w:p w14:paraId="2C57D08C" w14:textId="4C7D3229" w:rsidR="397FCB1C" w:rsidRDefault="397FCB1C" w:rsidP="397FCB1C">
          <w:pPr>
            <w:pStyle w:val="Header"/>
            <w:ind w:right="-115"/>
            <w:jc w:val="right"/>
          </w:pPr>
        </w:p>
      </w:tc>
    </w:tr>
  </w:tbl>
  <w:p w14:paraId="4551C5C2" w14:textId="66AF0254" w:rsidR="00167061" w:rsidRDefault="001670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C86C642" w14:paraId="0A664AC4" w14:textId="77777777" w:rsidTr="0C86C642">
      <w:trPr>
        <w:trHeight w:val="300"/>
      </w:trPr>
      <w:tc>
        <w:tcPr>
          <w:tcW w:w="3120" w:type="dxa"/>
        </w:tcPr>
        <w:p w14:paraId="769DB7D3" w14:textId="1CB2619B" w:rsidR="0C86C642" w:rsidRDefault="0C86C642" w:rsidP="0C86C642">
          <w:pPr>
            <w:pStyle w:val="Header"/>
            <w:ind w:left="-115"/>
          </w:pPr>
        </w:p>
      </w:tc>
      <w:tc>
        <w:tcPr>
          <w:tcW w:w="3120" w:type="dxa"/>
        </w:tcPr>
        <w:p w14:paraId="0FA806DC" w14:textId="70B2B487" w:rsidR="0C86C642" w:rsidRDefault="0C86C642" w:rsidP="0C86C642">
          <w:pPr>
            <w:pStyle w:val="Header"/>
            <w:jc w:val="center"/>
          </w:pPr>
        </w:p>
      </w:tc>
      <w:tc>
        <w:tcPr>
          <w:tcW w:w="3120" w:type="dxa"/>
        </w:tcPr>
        <w:p w14:paraId="249DF28E" w14:textId="37DF9C21" w:rsidR="0C86C642" w:rsidRDefault="0C86C642" w:rsidP="0C86C642">
          <w:pPr>
            <w:pStyle w:val="Header"/>
            <w:ind w:right="-115"/>
            <w:jc w:val="right"/>
          </w:pPr>
        </w:p>
      </w:tc>
    </w:tr>
  </w:tbl>
  <w:p w14:paraId="330334ED" w14:textId="6FB58F3D" w:rsidR="0C86C642" w:rsidRDefault="0C86C642" w:rsidP="0C86C64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D390E2"/>
    <w:rsid w:val="00004100"/>
    <w:rsid w:val="00036C4D"/>
    <w:rsid w:val="000421A9"/>
    <w:rsid w:val="00062E36"/>
    <w:rsid w:val="000708EE"/>
    <w:rsid w:val="00083704"/>
    <w:rsid w:val="000A40FF"/>
    <w:rsid w:val="000A539A"/>
    <w:rsid w:val="000B40BF"/>
    <w:rsid w:val="000D1471"/>
    <w:rsid w:val="000D3726"/>
    <w:rsid w:val="000D7203"/>
    <w:rsid w:val="00127263"/>
    <w:rsid w:val="001518C5"/>
    <w:rsid w:val="00151A1C"/>
    <w:rsid w:val="001614D6"/>
    <w:rsid w:val="00167061"/>
    <w:rsid w:val="00196574"/>
    <w:rsid w:val="001D01B2"/>
    <w:rsid w:val="001E7416"/>
    <w:rsid w:val="001F117A"/>
    <w:rsid w:val="001F179B"/>
    <w:rsid w:val="00202396"/>
    <w:rsid w:val="00214BB0"/>
    <w:rsid w:val="00236AFC"/>
    <w:rsid w:val="002511CB"/>
    <w:rsid w:val="00284E43"/>
    <w:rsid w:val="00284F66"/>
    <w:rsid w:val="0028672C"/>
    <w:rsid w:val="00287C90"/>
    <w:rsid w:val="002919A8"/>
    <w:rsid w:val="00296234"/>
    <w:rsid w:val="002A2C32"/>
    <w:rsid w:val="002A3692"/>
    <w:rsid w:val="002B5DA8"/>
    <w:rsid w:val="002F2A2B"/>
    <w:rsid w:val="002F5607"/>
    <w:rsid w:val="002F7FC8"/>
    <w:rsid w:val="00306E0B"/>
    <w:rsid w:val="00322763"/>
    <w:rsid w:val="003364C6"/>
    <w:rsid w:val="003548F2"/>
    <w:rsid w:val="00364850"/>
    <w:rsid w:val="003706D3"/>
    <w:rsid w:val="003754EC"/>
    <w:rsid w:val="00380395"/>
    <w:rsid w:val="00382E23"/>
    <w:rsid w:val="0038301F"/>
    <w:rsid w:val="00383B20"/>
    <w:rsid w:val="00385F5B"/>
    <w:rsid w:val="003C00CC"/>
    <w:rsid w:val="003C0457"/>
    <w:rsid w:val="00407922"/>
    <w:rsid w:val="0042159E"/>
    <w:rsid w:val="004252FA"/>
    <w:rsid w:val="00432322"/>
    <w:rsid w:val="0044328D"/>
    <w:rsid w:val="00443F4D"/>
    <w:rsid w:val="0045477D"/>
    <w:rsid w:val="0046513E"/>
    <w:rsid w:val="00487883"/>
    <w:rsid w:val="004939AA"/>
    <w:rsid w:val="004C4A36"/>
    <w:rsid w:val="004C5AB0"/>
    <w:rsid w:val="004E2E71"/>
    <w:rsid w:val="004F30FD"/>
    <w:rsid w:val="005450C6"/>
    <w:rsid w:val="005509F0"/>
    <w:rsid w:val="00592165"/>
    <w:rsid w:val="005A009F"/>
    <w:rsid w:val="005B2271"/>
    <w:rsid w:val="005E2789"/>
    <w:rsid w:val="005E325A"/>
    <w:rsid w:val="005F4054"/>
    <w:rsid w:val="00600E50"/>
    <w:rsid w:val="00600F22"/>
    <w:rsid w:val="00610EE9"/>
    <w:rsid w:val="006121FC"/>
    <w:rsid w:val="00617B58"/>
    <w:rsid w:val="00626DA7"/>
    <w:rsid w:val="00631747"/>
    <w:rsid w:val="006420B6"/>
    <w:rsid w:val="006449B6"/>
    <w:rsid w:val="00692CD6"/>
    <w:rsid w:val="006A48DF"/>
    <w:rsid w:val="006B3626"/>
    <w:rsid w:val="006D204E"/>
    <w:rsid w:val="006E7B48"/>
    <w:rsid w:val="006F1169"/>
    <w:rsid w:val="006F4E44"/>
    <w:rsid w:val="006F7E27"/>
    <w:rsid w:val="0074341E"/>
    <w:rsid w:val="0075532D"/>
    <w:rsid w:val="00787026"/>
    <w:rsid w:val="00794628"/>
    <w:rsid w:val="00796655"/>
    <w:rsid w:val="00797E97"/>
    <w:rsid w:val="007A5F47"/>
    <w:rsid w:val="007B7D76"/>
    <w:rsid w:val="007C4D88"/>
    <w:rsid w:val="007E013C"/>
    <w:rsid w:val="007E4E8E"/>
    <w:rsid w:val="007F69A8"/>
    <w:rsid w:val="008005B7"/>
    <w:rsid w:val="00814D1F"/>
    <w:rsid w:val="00847CFA"/>
    <w:rsid w:val="00850108"/>
    <w:rsid w:val="0086001B"/>
    <w:rsid w:val="00871C93"/>
    <w:rsid w:val="008777E5"/>
    <w:rsid w:val="00881586"/>
    <w:rsid w:val="008A3CCD"/>
    <w:rsid w:val="008B2765"/>
    <w:rsid w:val="008C1201"/>
    <w:rsid w:val="008C3D9A"/>
    <w:rsid w:val="008D4BBE"/>
    <w:rsid w:val="008D4CA1"/>
    <w:rsid w:val="008E2A63"/>
    <w:rsid w:val="008E525F"/>
    <w:rsid w:val="008F29CF"/>
    <w:rsid w:val="008F4FDC"/>
    <w:rsid w:val="008F77CF"/>
    <w:rsid w:val="00903D04"/>
    <w:rsid w:val="00906497"/>
    <w:rsid w:val="00921243"/>
    <w:rsid w:val="00945EFB"/>
    <w:rsid w:val="00953601"/>
    <w:rsid w:val="009734CD"/>
    <w:rsid w:val="00973A58"/>
    <w:rsid w:val="0099333F"/>
    <w:rsid w:val="00A00CAC"/>
    <w:rsid w:val="00A123BC"/>
    <w:rsid w:val="00A16239"/>
    <w:rsid w:val="00A31130"/>
    <w:rsid w:val="00A461EE"/>
    <w:rsid w:val="00A60FAF"/>
    <w:rsid w:val="00A83B12"/>
    <w:rsid w:val="00AA175D"/>
    <w:rsid w:val="00AB2A6A"/>
    <w:rsid w:val="00B12BED"/>
    <w:rsid w:val="00B177DA"/>
    <w:rsid w:val="00B22153"/>
    <w:rsid w:val="00B32C4B"/>
    <w:rsid w:val="00B44638"/>
    <w:rsid w:val="00B87296"/>
    <w:rsid w:val="00BB5C8E"/>
    <w:rsid w:val="00BC402C"/>
    <w:rsid w:val="00BC493F"/>
    <w:rsid w:val="00BD714D"/>
    <w:rsid w:val="00BE18CF"/>
    <w:rsid w:val="00BE3364"/>
    <w:rsid w:val="00BE4335"/>
    <w:rsid w:val="00BE641B"/>
    <w:rsid w:val="00BF4D5C"/>
    <w:rsid w:val="00C02FD3"/>
    <w:rsid w:val="00C0535F"/>
    <w:rsid w:val="00C22569"/>
    <w:rsid w:val="00C3152B"/>
    <w:rsid w:val="00C33A0A"/>
    <w:rsid w:val="00C347D2"/>
    <w:rsid w:val="00C365D5"/>
    <w:rsid w:val="00C77B91"/>
    <w:rsid w:val="00CB605A"/>
    <w:rsid w:val="00CC05C8"/>
    <w:rsid w:val="00CD1D93"/>
    <w:rsid w:val="00CE2927"/>
    <w:rsid w:val="00CF07B3"/>
    <w:rsid w:val="00D04DB9"/>
    <w:rsid w:val="00D07A24"/>
    <w:rsid w:val="00D152AF"/>
    <w:rsid w:val="00D18FEC"/>
    <w:rsid w:val="00D23D86"/>
    <w:rsid w:val="00D30DA1"/>
    <w:rsid w:val="00D50273"/>
    <w:rsid w:val="00D5129B"/>
    <w:rsid w:val="00D556D9"/>
    <w:rsid w:val="00D55EF3"/>
    <w:rsid w:val="00D6408F"/>
    <w:rsid w:val="00D8109A"/>
    <w:rsid w:val="00D9558B"/>
    <w:rsid w:val="00DB212E"/>
    <w:rsid w:val="00DB2F8E"/>
    <w:rsid w:val="00DB7226"/>
    <w:rsid w:val="00DC0884"/>
    <w:rsid w:val="00DE28A1"/>
    <w:rsid w:val="00E00913"/>
    <w:rsid w:val="00E22FE5"/>
    <w:rsid w:val="00E2373D"/>
    <w:rsid w:val="00E47A15"/>
    <w:rsid w:val="00E605E2"/>
    <w:rsid w:val="00E66908"/>
    <w:rsid w:val="00E73D69"/>
    <w:rsid w:val="00E745F2"/>
    <w:rsid w:val="00E8677A"/>
    <w:rsid w:val="00EA2243"/>
    <w:rsid w:val="00EB6131"/>
    <w:rsid w:val="00ED1A5E"/>
    <w:rsid w:val="00ED3400"/>
    <w:rsid w:val="00EE6227"/>
    <w:rsid w:val="00EE6250"/>
    <w:rsid w:val="00EF31AD"/>
    <w:rsid w:val="00F01D02"/>
    <w:rsid w:val="00F1470F"/>
    <w:rsid w:val="00F3010C"/>
    <w:rsid w:val="00F30F24"/>
    <w:rsid w:val="00F35274"/>
    <w:rsid w:val="00F5054B"/>
    <w:rsid w:val="00F50611"/>
    <w:rsid w:val="00F53286"/>
    <w:rsid w:val="00F56CC5"/>
    <w:rsid w:val="00F94342"/>
    <w:rsid w:val="00FA5D85"/>
    <w:rsid w:val="00FB3765"/>
    <w:rsid w:val="00FC0DB6"/>
    <w:rsid w:val="00FD15C6"/>
    <w:rsid w:val="014F278D"/>
    <w:rsid w:val="01843E9C"/>
    <w:rsid w:val="0199B6A0"/>
    <w:rsid w:val="02547CCC"/>
    <w:rsid w:val="02DA03E7"/>
    <w:rsid w:val="03366AF1"/>
    <w:rsid w:val="034F2A6F"/>
    <w:rsid w:val="037BBB46"/>
    <w:rsid w:val="03AC7AA2"/>
    <w:rsid w:val="03C30159"/>
    <w:rsid w:val="049A29D8"/>
    <w:rsid w:val="04F3C9CE"/>
    <w:rsid w:val="0534AB41"/>
    <w:rsid w:val="0584760D"/>
    <w:rsid w:val="05D35D2B"/>
    <w:rsid w:val="069D1A51"/>
    <w:rsid w:val="070A3DC6"/>
    <w:rsid w:val="07306554"/>
    <w:rsid w:val="0777993E"/>
    <w:rsid w:val="0809FAB4"/>
    <w:rsid w:val="08C08DCC"/>
    <w:rsid w:val="08E28A62"/>
    <w:rsid w:val="08E460FD"/>
    <w:rsid w:val="09323B13"/>
    <w:rsid w:val="0A1833B9"/>
    <w:rsid w:val="0AD631A1"/>
    <w:rsid w:val="0AD7CA9B"/>
    <w:rsid w:val="0AF02E2D"/>
    <w:rsid w:val="0B4A5325"/>
    <w:rsid w:val="0B6BC003"/>
    <w:rsid w:val="0BAE94CC"/>
    <w:rsid w:val="0BE91508"/>
    <w:rsid w:val="0C86C642"/>
    <w:rsid w:val="0D53768B"/>
    <w:rsid w:val="0EAC5A80"/>
    <w:rsid w:val="0EB4B9DA"/>
    <w:rsid w:val="0F43BF59"/>
    <w:rsid w:val="0FF58E1C"/>
    <w:rsid w:val="10061D89"/>
    <w:rsid w:val="100D1F29"/>
    <w:rsid w:val="107FE44A"/>
    <w:rsid w:val="109FEDDA"/>
    <w:rsid w:val="11037C1F"/>
    <w:rsid w:val="11404E09"/>
    <w:rsid w:val="114FCA58"/>
    <w:rsid w:val="11760178"/>
    <w:rsid w:val="1374B2BE"/>
    <w:rsid w:val="13929916"/>
    <w:rsid w:val="14C2BA37"/>
    <w:rsid w:val="1705012A"/>
    <w:rsid w:val="170651F1"/>
    <w:rsid w:val="172C5EAA"/>
    <w:rsid w:val="182C5383"/>
    <w:rsid w:val="1854B8A3"/>
    <w:rsid w:val="18AF9CE6"/>
    <w:rsid w:val="18E15374"/>
    <w:rsid w:val="19100FDA"/>
    <w:rsid w:val="193983EF"/>
    <w:rsid w:val="19EB93EC"/>
    <w:rsid w:val="1A1823BF"/>
    <w:rsid w:val="1AA319BA"/>
    <w:rsid w:val="1ADB9DCD"/>
    <w:rsid w:val="1AE06C08"/>
    <w:rsid w:val="1B080A7D"/>
    <w:rsid w:val="1B1D2C72"/>
    <w:rsid w:val="1B40E2D1"/>
    <w:rsid w:val="1CD68144"/>
    <w:rsid w:val="1DA1E76A"/>
    <w:rsid w:val="1DB77D95"/>
    <w:rsid w:val="1E0A977E"/>
    <w:rsid w:val="1E82C031"/>
    <w:rsid w:val="1F1BA00E"/>
    <w:rsid w:val="1F279642"/>
    <w:rsid w:val="1FBA2D17"/>
    <w:rsid w:val="2089D02E"/>
    <w:rsid w:val="20BFA386"/>
    <w:rsid w:val="2148FB42"/>
    <w:rsid w:val="21D62718"/>
    <w:rsid w:val="21E698F4"/>
    <w:rsid w:val="21FA0194"/>
    <w:rsid w:val="23181388"/>
    <w:rsid w:val="2348F713"/>
    <w:rsid w:val="23715C4A"/>
    <w:rsid w:val="2431C23B"/>
    <w:rsid w:val="25EB9128"/>
    <w:rsid w:val="26990999"/>
    <w:rsid w:val="26A486E6"/>
    <w:rsid w:val="26A96AA7"/>
    <w:rsid w:val="27A3D77A"/>
    <w:rsid w:val="27E35653"/>
    <w:rsid w:val="288F3316"/>
    <w:rsid w:val="28CA26DB"/>
    <w:rsid w:val="28D8AD10"/>
    <w:rsid w:val="28F3AD76"/>
    <w:rsid w:val="28FCD107"/>
    <w:rsid w:val="29D53BA6"/>
    <w:rsid w:val="2A59AAD7"/>
    <w:rsid w:val="2A92B4DD"/>
    <w:rsid w:val="2B30C335"/>
    <w:rsid w:val="2B63BA2C"/>
    <w:rsid w:val="2C25C36E"/>
    <w:rsid w:val="2CAD5221"/>
    <w:rsid w:val="2CD4BCEA"/>
    <w:rsid w:val="2CEF269F"/>
    <w:rsid w:val="2DE94826"/>
    <w:rsid w:val="2DFE1B4D"/>
    <w:rsid w:val="2ECEDD97"/>
    <w:rsid w:val="2EE45C1B"/>
    <w:rsid w:val="2F975766"/>
    <w:rsid w:val="2FC62B1F"/>
    <w:rsid w:val="2FED65C6"/>
    <w:rsid w:val="306AEB03"/>
    <w:rsid w:val="30784A6F"/>
    <w:rsid w:val="3117224E"/>
    <w:rsid w:val="3224B1E0"/>
    <w:rsid w:val="32268E59"/>
    <w:rsid w:val="32DE69D9"/>
    <w:rsid w:val="341BA247"/>
    <w:rsid w:val="34DCD01B"/>
    <w:rsid w:val="3504B0EA"/>
    <w:rsid w:val="3596105F"/>
    <w:rsid w:val="35A4D6C7"/>
    <w:rsid w:val="35C48DFA"/>
    <w:rsid w:val="35CB0903"/>
    <w:rsid w:val="361EC341"/>
    <w:rsid w:val="36772234"/>
    <w:rsid w:val="368E9703"/>
    <w:rsid w:val="36D0A442"/>
    <w:rsid w:val="36F708D0"/>
    <w:rsid w:val="370245D5"/>
    <w:rsid w:val="3754675F"/>
    <w:rsid w:val="37BD0F76"/>
    <w:rsid w:val="387A7DC9"/>
    <w:rsid w:val="389ACCAC"/>
    <w:rsid w:val="38AF4380"/>
    <w:rsid w:val="390D9256"/>
    <w:rsid w:val="397FCB1C"/>
    <w:rsid w:val="3A205BFA"/>
    <w:rsid w:val="3A232343"/>
    <w:rsid w:val="3A580FB2"/>
    <w:rsid w:val="3AAB95B1"/>
    <w:rsid w:val="3AD32FDB"/>
    <w:rsid w:val="3AF5C276"/>
    <w:rsid w:val="3B336C9B"/>
    <w:rsid w:val="3BD78897"/>
    <w:rsid w:val="3BEDE8DE"/>
    <w:rsid w:val="3BEFCC13"/>
    <w:rsid w:val="3C33CACE"/>
    <w:rsid w:val="3C48B331"/>
    <w:rsid w:val="3D47F1A7"/>
    <w:rsid w:val="3E0AA3A2"/>
    <w:rsid w:val="3E1EC550"/>
    <w:rsid w:val="3E293FB7"/>
    <w:rsid w:val="3E34CFC8"/>
    <w:rsid w:val="3E3E79B2"/>
    <w:rsid w:val="3E507865"/>
    <w:rsid w:val="3E512912"/>
    <w:rsid w:val="3EF57880"/>
    <w:rsid w:val="3F536B28"/>
    <w:rsid w:val="3F60D2D4"/>
    <w:rsid w:val="3F74957D"/>
    <w:rsid w:val="3FA372B6"/>
    <w:rsid w:val="40412E81"/>
    <w:rsid w:val="408EF90D"/>
    <w:rsid w:val="409224C5"/>
    <w:rsid w:val="411D8C7B"/>
    <w:rsid w:val="4146370A"/>
    <w:rsid w:val="41716C63"/>
    <w:rsid w:val="41918AAC"/>
    <w:rsid w:val="41ECA30C"/>
    <w:rsid w:val="4277B47F"/>
    <w:rsid w:val="435340F3"/>
    <w:rsid w:val="43855C6A"/>
    <w:rsid w:val="43F41B08"/>
    <w:rsid w:val="442464DA"/>
    <w:rsid w:val="442B1DB1"/>
    <w:rsid w:val="444F6B81"/>
    <w:rsid w:val="44D664A2"/>
    <w:rsid w:val="4663CF2B"/>
    <w:rsid w:val="468C5800"/>
    <w:rsid w:val="46AD0DE7"/>
    <w:rsid w:val="470C9709"/>
    <w:rsid w:val="4719DBE5"/>
    <w:rsid w:val="4721B93A"/>
    <w:rsid w:val="485B6285"/>
    <w:rsid w:val="49555279"/>
    <w:rsid w:val="497C4F32"/>
    <w:rsid w:val="49C13CB3"/>
    <w:rsid w:val="4A0987F8"/>
    <w:rsid w:val="4A493041"/>
    <w:rsid w:val="4B4E4108"/>
    <w:rsid w:val="4BF5DF02"/>
    <w:rsid w:val="4C57BF2D"/>
    <w:rsid w:val="4C90C87C"/>
    <w:rsid w:val="4CB1EB0E"/>
    <w:rsid w:val="4D349E85"/>
    <w:rsid w:val="4D7873DB"/>
    <w:rsid w:val="4D87DF0E"/>
    <w:rsid w:val="4DAE237B"/>
    <w:rsid w:val="4DFB3E9A"/>
    <w:rsid w:val="4F067AE3"/>
    <w:rsid w:val="4F7C45ED"/>
    <w:rsid w:val="4F875DA7"/>
    <w:rsid w:val="4FB23B2E"/>
    <w:rsid w:val="4FB86DE1"/>
    <w:rsid w:val="4FC6A98C"/>
    <w:rsid w:val="5012B05A"/>
    <w:rsid w:val="50559B28"/>
    <w:rsid w:val="5072F9AB"/>
    <w:rsid w:val="5146B4BE"/>
    <w:rsid w:val="51548518"/>
    <w:rsid w:val="522CB398"/>
    <w:rsid w:val="527FF9AF"/>
    <w:rsid w:val="52C9AADA"/>
    <w:rsid w:val="534B01DF"/>
    <w:rsid w:val="539A08F9"/>
    <w:rsid w:val="53A05119"/>
    <w:rsid w:val="53E7F957"/>
    <w:rsid w:val="541A2EB9"/>
    <w:rsid w:val="542AF474"/>
    <w:rsid w:val="542B64D2"/>
    <w:rsid w:val="54841EBE"/>
    <w:rsid w:val="549D90D0"/>
    <w:rsid w:val="54CE57DA"/>
    <w:rsid w:val="56109A69"/>
    <w:rsid w:val="56B74C4F"/>
    <w:rsid w:val="573B9BE2"/>
    <w:rsid w:val="578014ED"/>
    <w:rsid w:val="57BD66EC"/>
    <w:rsid w:val="57E80DC3"/>
    <w:rsid w:val="58CB92A9"/>
    <w:rsid w:val="58D390E2"/>
    <w:rsid w:val="59035BDF"/>
    <w:rsid w:val="593B4CDB"/>
    <w:rsid w:val="5A874077"/>
    <w:rsid w:val="5AA6A20D"/>
    <w:rsid w:val="5AB33147"/>
    <w:rsid w:val="5AB5972D"/>
    <w:rsid w:val="5ABFC70D"/>
    <w:rsid w:val="5ACB2555"/>
    <w:rsid w:val="5AEC4775"/>
    <w:rsid w:val="5B18407F"/>
    <w:rsid w:val="5C551B3D"/>
    <w:rsid w:val="5C9832A2"/>
    <w:rsid w:val="5C9E55D1"/>
    <w:rsid w:val="5CEFD0C1"/>
    <w:rsid w:val="5DC4732C"/>
    <w:rsid w:val="5F50766B"/>
    <w:rsid w:val="5FD6008C"/>
    <w:rsid w:val="60848684"/>
    <w:rsid w:val="6095D91D"/>
    <w:rsid w:val="60F58BAA"/>
    <w:rsid w:val="619DE005"/>
    <w:rsid w:val="61EF8042"/>
    <w:rsid w:val="6257C999"/>
    <w:rsid w:val="6267EF87"/>
    <w:rsid w:val="62792F44"/>
    <w:rsid w:val="62B11DBB"/>
    <w:rsid w:val="62F0165D"/>
    <w:rsid w:val="6311C416"/>
    <w:rsid w:val="6316F43C"/>
    <w:rsid w:val="63F1B5D6"/>
    <w:rsid w:val="64416B6D"/>
    <w:rsid w:val="64EF1AFC"/>
    <w:rsid w:val="64FD2E2F"/>
    <w:rsid w:val="65193E7B"/>
    <w:rsid w:val="651BB533"/>
    <w:rsid w:val="654328C2"/>
    <w:rsid w:val="654B94D5"/>
    <w:rsid w:val="6569F037"/>
    <w:rsid w:val="65988BA3"/>
    <w:rsid w:val="66C1BA6F"/>
    <w:rsid w:val="671B594A"/>
    <w:rsid w:val="674D8A16"/>
    <w:rsid w:val="67B03563"/>
    <w:rsid w:val="67B5317A"/>
    <w:rsid w:val="67E1E064"/>
    <w:rsid w:val="67EA06DE"/>
    <w:rsid w:val="683329C6"/>
    <w:rsid w:val="692187F2"/>
    <w:rsid w:val="694C0AF2"/>
    <w:rsid w:val="6973A9CD"/>
    <w:rsid w:val="69972347"/>
    <w:rsid w:val="69F42D10"/>
    <w:rsid w:val="6A86EAF1"/>
    <w:rsid w:val="6AE540D7"/>
    <w:rsid w:val="6B309DB2"/>
    <w:rsid w:val="6B59E72A"/>
    <w:rsid w:val="6B77F7E8"/>
    <w:rsid w:val="6BABA110"/>
    <w:rsid w:val="6BE015DE"/>
    <w:rsid w:val="6C1032BD"/>
    <w:rsid w:val="6C681260"/>
    <w:rsid w:val="6D071C1A"/>
    <w:rsid w:val="6D8648D8"/>
    <w:rsid w:val="6EC6C2C2"/>
    <w:rsid w:val="6F33F7E6"/>
    <w:rsid w:val="6FCD159A"/>
    <w:rsid w:val="7028AFC0"/>
    <w:rsid w:val="7049D10A"/>
    <w:rsid w:val="70966590"/>
    <w:rsid w:val="70A2439A"/>
    <w:rsid w:val="70CB6287"/>
    <w:rsid w:val="70EE52CB"/>
    <w:rsid w:val="7162557B"/>
    <w:rsid w:val="7177540C"/>
    <w:rsid w:val="71D2BE5C"/>
    <w:rsid w:val="72A79266"/>
    <w:rsid w:val="7304CB4B"/>
    <w:rsid w:val="7345184B"/>
    <w:rsid w:val="737C8BBA"/>
    <w:rsid w:val="74520F3B"/>
    <w:rsid w:val="7481797A"/>
    <w:rsid w:val="748C457F"/>
    <w:rsid w:val="74F6154B"/>
    <w:rsid w:val="752BE415"/>
    <w:rsid w:val="7543C346"/>
    <w:rsid w:val="76E7548D"/>
    <w:rsid w:val="7708444D"/>
    <w:rsid w:val="77D3E32B"/>
    <w:rsid w:val="77EF41DF"/>
    <w:rsid w:val="78235631"/>
    <w:rsid w:val="7841B766"/>
    <w:rsid w:val="78AA9BBF"/>
    <w:rsid w:val="792F9F34"/>
    <w:rsid w:val="79D4F5D9"/>
    <w:rsid w:val="79D96244"/>
    <w:rsid w:val="7A574FA5"/>
    <w:rsid w:val="7A5D7626"/>
    <w:rsid w:val="7ADC1A26"/>
    <w:rsid w:val="7B1A322D"/>
    <w:rsid w:val="7BD40C47"/>
    <w:rsid w:val="7BD72806"/>
    <w:rsid w:val="7C0683EE"/>
    <w:rsid w:val="7CE38174"/>
    <w:rsid w:val="7CFA0009"/>
    <w:rsid w:val="7E3C889D"/>
    <w:rsid w:val="7E47FB0C"/>
    <w:rsid w:val="7E6F8C51"/>
    <w:rsid w:val="7EA7041D"/>
    <w:rsid w:val="7EC250AA"/>
    <w:rsid w:val="7F144054"/>
    <w:rsid w:val="7F5398AD"/>
    <w:rsid w:val="7F713560"/>
    <w:rsid w:val="7FD41728"/>
    <w:rsid w:val="7FD6853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390E2"/>
  <w15:chartTrackingRefBased/>
  <w15:docId w15:val="{81D3AF71-1893-425E-9B45-99E2F1545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05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1518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2919A8"/>
    <w:pPr>
      <w:spacing w:after="200" w:line="240" w:lineRule="auto"/>
    </w:pPr>
    <w:rPr>
      <w:i/>
      <w:iCs/>
      <w:color w:val="0E2841" w:themeColor="text2"/>
      <w:sz w:val="18"/>
      <w:szCs w:val="18"/>
    </w:rPr>
  </w:style>
  <w:style w:type="paragraph" w:styleId="TOC2">
    <w:name w:val="toc 2"/>
    <w:basedOn w:val="Normal"/>
    <w:next w:val="Normal"/>
    <w:autoRedefine/>
    <w:uiPriority w:val="39"/>
    <w:unhideWhenUsed/>
    <w:rsid w:val="005F4054"/>
    <w:pPr>
      <w:spacing w:after="100"/>
      <w:ind w:left="240"/>
    </w:pPr>
  </w:style>
  <w:style w:type="character" w:styleId="Hyperlink">
    <w:name w:val="Hyperlink"/>
    <w:basedOn w:val="DefaultParagraphFont"/>
    <w:uiPriority w:val="99"/>
    <w:unhideWhenUsed/>
    <w:rsid w:val="005F4054"/>
    <w:rPr>
      <w:color w:val="467886" w:themeColor="hyperlink"/>
      <w:u w:val="single"/>
    </w:rPr>
  </w:style>
  <w:style w:type="character" w:customStyle="1" w:styleId="Heading2Char">
    <w:name w:val="Heading 2 Char"/>
    <w:basedOn w:val="DefaultParagraphFont"/>
    <w:link w:val="Heading2"/>
    <w:uiPriority w:val="9"/>
    <w:rsid w:val="001518C5"/>
    <w:rPr>
      <w:rFonts w:asciiTheme="majorHAnsi" w:eastAsiaTheme="majorEastAsia" w:hAnsiTheme="majorHAnsi" w:cstheme="majorBidi"/>
      <w:color w:val="0F4761" w:themeColor="accent1" w:themeShade="BF"/>
      <w:sz w:val="32"/>
      <w:szCs w:val="32"/>
    </w:rPr>
  </w:style>
  <w:style w:type="character" w:customStyle="1" w:styleId="Heading1Char">
    <w:name w:val="Heading 1 Char"/>
    <w:basedOn w:val="DefaultParagraphFont"/>
    <w:link w:val="Heading1"/>
    <w:uiPriority w:val="9"/>
    <w:rsid w:val="005F4054"/>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5F4054"/>
    <w:pPr>
      <w:spacing w:line="259" w:lineRule="auto"/>
      <w:outlineLvl w:val="9"/>
    </w:pPr>
    <w:rPr>
      <w:lang w:eastAsia="en-US"/>
    </w:rPr>
  </w:style>
  <w:style w:type="paragraph" w:styleId="Header">
    <w:name w:val="header"/>
    <w:basedOn w:val="Normal"/>
    <w:link w:val="HeaderChar"/>
    <w:uiPriority w:val="99"/>
    <w:unhideWhenUsed/>
    <w:rsid w:val="00A00CA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00CAC"/>
  </w:style>
  <w:style w:type="paragraph" w:styleId="Footer">
    <w:name w:val="footer"/>
    <w:basedOn w:val="Normal"/>
    <w:link w:val="FooterChar"/>
    <w:uiPriority w:val="99"/>
    <w:unhideWhenUsed/>
    <w:rsid w:val="00A00CA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00CAC"/>
  </w:style>
  <w:style w:type="table" w:styleId="TableGrid">
    <w:name w:val="Table Grid"/>
    <w:basedOn w:val="TableNormal"/>
    <w:uiPriority w:val="59"/>
    <w:rsid w:val="0016706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78302D-88A8-4947-BB1A-87C77F2B48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2442</Words>
  <Characters>13920</Characters>
  <Application>Microsoft Office Word</Application>
  <DocSecurity>4</DocSecurity>
  <Lines>116</Lines>
  <Paragraphs>32</Paragraphs>
  <ScaleCrop>false</ScaleCrop>
  <Company/>
  <LinksUpToDate>false</LinksUpToDate>
  <CharactersWithSpaces>16330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Mehgan Paulino-Alejandro</dc:creator>
  <cp:keywords/>
  <dc:description/>
  <cp:lastModifiedBy>Noah Morland</cp:lastModifiedBy>
  <cp:revision>124</cp:revision>
  <dcterms:created xsi:type="dcterms:W3CDTF">2026-04-21T04:15:00Z</dcterms:created>
  <dcterms:modified xsi:type="dcterms:W3CDTF">2026-04-21T16:55:00Z</dcterms:modified>
</cp:coreProperties>
</file>